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2C80B8C">
      <w:pPr>
        <w:spacing w:line="360" w:lineRule="auto"/>
        <w:rPr>
          <w:rFonts w:ascii="黑体" w:hAnsi="黑体" w:eastAsia="黑体" w:cs="黑体"/>
          <w:color w:val="auto"/>
          <w:sz w:val="72"/>
          <w:szCs w:val="72"/>
        </w:rPr>
      </w:pPr>
      <w:r>
        <w:rPr>
          <w:rFonts w:hint="eastAsia" w:ascii="黑体" w:hAnsi="黑体" w:eastAsia="黑体" w:cs="黑体"/>
          <w:color w:val="auto"/>
          <w:sz w:val="72"/>
          <w:szCs w:val="72"/>
        </w:rPr>
        <w:t>CECS</w:t>
      </w:r>
    </w:p>
    <w:p w14:paraId="311FF9FA">
      <w:pPr>
        <w:spacing w:line="360" w:lineRule="auto"/>
        <w:jc w:val="right"/>
        <w:rPr>
          <w:rFonts w:hint="eastAsia" w:ascii="黑体" w:hAnsi="黑体" w:eastAsia="黑体" w:cs="黑体"/>
          <w:color w:val="auto"/>
          <w:sz w:val="36"/>
          <w:szCs w:val="36"/>
          <w:lang w:eastAsia="zh-CN"/>
        </w:rPr>
      </w:pPr>
      <w:r>
        <w:rPr>
          <w:rFonts w:hint="eastAsia" w:ascii="黑体" w:hAnsi="黑体" w:eastAsia="黑体" w:cs="黑体"/>
          <w:color w:val="auto"/>
          <w:sz w:val="36"/>
          <w:szCs w:val="36"/>
        </w:rPr>
        <w:t>T/CECS XXX-202</w:t>
      </w:r>
      <w:r>
        <w:rPr>
          <w:rFonts w:hint="eastAsia" w:ascii="黑体" w:hAnsi="黑体" w:eastAsia="黑体" w:cs="黑体"/>
          <w:color w:val="auto"/>
          <w:sz w:val="36"/>
          <w:szCs w:val="36"/>
          <w:lang w:val="en-US" w:eastAsia="zh-CN"/>
        </w:rPr>
        <w:t>5</w:t>
      </w:r>
    </w:p>
    <w:p w14:paraId="03E2EC2B">
      <w:pPr>
        <w:spacing w:line="360" w:lineRule="auto"/>
        <w:rPr>
          <w:rFonts w:ascii="Times New Roman" w:hAnsi="Times New Roman" w:eastAsia="宋体"/>
          <w:color w:val="auto"/>
          <w:sz w:val="24"/>
        </w:rPr>
      </w:pPr>
      <w:r>
        <w:rPr>
          <w:rFonts w:ascii="Times New Roman" w:hAnsi="Times New Roman" w:eastAsia="宋体" w:cs="黑体"/>
          <w:color w:val="auto"/>
          <w:kern w:val="2"/>
          <w:sz w:val="24"/>
          <w:szCs w:val="24"/>
          <w:lang w:val="en-US" w:eastAsia="zh-CN" w:bidi="ar-SA"/>
        </w:rPr>
        <mc:AlternateContent>
          <mc:Choice Requires="wps">
            <w:drawing>
              <wp:anchor distT="0" distB="0" distL="114300" distR="114300" simplePos="0" relativeHeight="251659264" behindDoc="0" locked="0" layoutInCell="1" allowOverlap="1">
                <wp:simplePos x="0" y="0"/>
                <wp:positionH relativeFrom="column">
                  <wp:posOffset>11430</wp:posOffset>
                </wp:positionH>
                <wp:positionV relativeFrom="paragraph">
                  <wp:posOffset>85090</wp:posOffset>
                </wp:positionV>
                <wp:extent cx="5220335" cy="635"/>
                <wp:effectExtent l="0" t="10795" r="18415" b="17145"/>
                <wp:wrapNone/>
                <wp:docPr id="1" name="直接连接符 2"/>
                <wp:cNvGraphicFramePr/>
                <a:graphic xmlns:a="http://schemas.openxmlformats.org/drawingml/2006/main">
                  <a:graphicData uri="http://schemas.microsoft.com/office/word/2010/wordprocessingShape">
                    <wps:wsp>
                      <wps:cNvCnPr/>
                      <wps:spPr>
                        <a:xfrm>
                          <a:off x="0" y="0"/>
                          <a:ext cx="5220335" cy="635"/>
                        </a:xfrm>
                        <a:prstGeom prst="line">
                          <a:avLst/>
                        </a:prstGeom>
                        <a:ln w="22225" cap="flat" cmpd="sng">
                          <a:solidFill>
                            <a:srgbClr val="000000"/>
                          </a:solidFill>
                          <a:prstDash val="solid"/>
                          <a:round/>
                          <a:headEnd type="none" w="med" len="med"/>
                          <a:tailEnd type="none" w="med" len="med"/>
                        </a:ln>
                      </wps:spPr>
                      <wps:bodyPr upright="0"/>
                    </wps:wsp>
                  </a:graphicData>
                </a:graphic>
              </wp:anchor>
            </w:drawing>
          </mc:Choice>
          <mc:Fallback>
            <w:pict>
              <v:line id="直接连接符 2" o:spid="_x0000_s1026" o:spt="20" style="position:absolute;left:0pt;margin-left:0.9pt;margin-top:6.7pt;height:0.05pt;width:411.05pt;z-index:251659264;mso-width-relative:page;mso-height-relative:page;" filled="f" stroked="t" coordsize="21600,21600" o:gfxdata="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BVIY/S1QAAAAcBAAAPAAAAAAAAAAEAIAAAACIAAABkcnMvZG93bnJldi54bWxQSwEC&#10;FAAUAAAACACHTuJA089DtfcBAADxAwAADgAAAAAAAAABACAAAAAkAQAAZHJzL2Uyb0RvYy54bWxQ&#10;SwUGAAAAAAYABgBZAQAAjQUAAAAA&#10;">
                <v:fill on="f" focussize="0,0"/>
                <v:stroke weight="1.75pt" color="#000000" joinstyle="round"/>
                <v:imagedata o:title=""/>
                <o:lock v:ext="edit" aspectratio="f"/>
              </v:line>
            </w:pict>
          </mc:Fallback>
        </mc:AlternateContent>
      </w:r>
    </w:p>
    <w:p w14:paraId="0679B414">
      <w:pPr>
        <w:spacing w:line="360" w:lineRule="auto"/>
        <w:rPr>
          <w:rFonts w:ascii="Times New Roman" w:hAnsi="Times New Roman" w:eastAsia="宋体"/>
          <w:color w:val="auto"/>
          <w:sz w:val="24"/>
        </w:rPr>
      </w:pPr>
    </w:p>
    <w:p w14:paraId="2AF62FB1">
      <w:pPr>
        <w:widowControl/>
        <w:spacing w:line="360" w:lineRule="auto"/>
        <w:jc w:val="center"/>
        <w:rPr>
          <w:rFonts w:ascii="黑体" w:hAnsi="宋体" w:eastAsia="黑体" w:cs="黑体"/>
          <w:color w:val="auto"/>
          <w:spacing w:val="20"/>
          <w:kern w:val="0"/>
          <w:sz w:val="36"/>
          <w:szCs w:val="36"/>
        </w:rPr>
      </w:pPr>
    </w:p>
    <w:p w14:paraId="7261D227">
      <w:pPr>
        <w:widowControl/>
        <w:spacing w:line="360" w:lineRule="auto"/>
        <w:jc w:val="center"/>
        <w:rPr>
          <w:color w:val="auto"/>
          <w:spacing w:val="34"/>
        </w:rPr>
      </w:pPr>
      <w:r>
        <w:rPr>
          <w:rFonts w:ascii="黑体" w:hAnsi="宋体" w:eastAsia="黑体" w:cs="黑体"/>
          <w:color w:val="auto"/>
          <w:spacing w:val="34"/>
          <w:kern w:val="0"/>
          <w:sz w:val="36"/>
          <w:szCs w:val="36"/>
        </w:rPr>
        <w:t>中国工程建设标准化协会标准</w:t>
      </w:r>
    </w:p>
    <w:p w14:paraId="5C3BE53A">
      <w:pPr>
        <w:spacing w:line="360" w:lineRule="auto"/>
        <w:rPr>
          <w:rFonts w:ascii="Times New Roman" w:hAnsi="Times New Roman" w:eastAsia="宋体"/>
          <w:color w:val="auto"/>
          <w:sz w:val="24"/>
        </w:rPr>
      </w:pPr>
    </w:p>
    <w:p w14:paraId="46BD81B3">
      <w:pPr>
        <w:spacing w:line="360" w:lineRule="auto"/>
        <w:rPr>
          <w:rFonts w:ascii="Times New Roman" w:hAnsi="Times New Roman" w:eastAsia="宋体"/>
          <w:color w:val="auto"/>
          <w:sz w:val="24"/>
        </w:rPr>
      </w:pPr>
    </w:p>
    <w:p w14:paraId="1C87460B">
      <w:pPr>
        <w:widowControl/>
        <w:spacing w:line="360" w:lineRule="auto"/>
        <w:jc w:val="center"/>
        <w:rPr>
          <w:rFonts w:ascii="黑体" w:hAnsi="宋体" w:eastAsia="黑体" w:cs="黑体"/>
          <w:color w:val="auto"/>
          <w:kern w:val="0"/>
          <w:sz w:val="44"/>
          <w:szCs w:val="44"/>
        </w:rPr>
      </w:pPr>
      <w:r>
        <w:rPr>
          <w:rFonts w:hint="eastAsia" w:ascii="黑体" w:hAnsi="宋体" w:eastAsia="黑体" w:cs="黑体"/>
          <w:color w:val="auto"/>
          <w:kern w:val="0"/>
          <w:sz w:val="44"/>
          <w:szCs w:val="44"/>
          <w:lang w:eastAsia="zh-CN"/>
        </w:rPr>
        <w:t>城市新型基础设施</w:t>
      </w:r>
      <w:r>
        <w:rPr>
          <w:rFonts w:hint="eastAsia" w:ascii="黑体" w:hAnsi="宋体" w:eastAsia="黑体" w:cs="黑体"/>
          <w:color w:val="auto"/>
          <w:kern w:val="0"/>
          <w:sz w:val="44"/>
          <w:szCs w:val="44"/>
        </w:rPr>
        <w:t>可持续性评价标准</w:t>
      </w:r>
    </w:p>
    <w:p w14:paraId="182B60A0">
      <w:pPr>
        <w:widowControl/>
        <w:spacing w:line="360" w:lineRule="auto"/>
        <w:jc w:val="center"/>
        <w:rPr>
          <w:color w:val="auto"/>
        </w:rPr>
      </w:pPr>
      <w:r>
        <w:rPr>
          <w:rFonts w:ascii="Times New Roman" w:hAnsi="Times New Roman" w:eastAsia="宋体" w:cs="Times New Roman"/>
          <w:color w:val="auto"/>
          <w:kern w:val="0"/>
          <w:sz w:val="32"/>
          <w:szCs w:val="32"/>
        </w:rPr>
        <w:t xml:space="preserve">Assessment standard for </w:t>
      </w:r>
      <w:r>
        <w:rPr>
          <w:rFonts w:hint="eastAsia" w:ascii="Times New Roman" w:hAnsi="Times New Roman" w:eastAsia="宋体" w:cs="Times New Roman"/>
          <w:color w:val="auto"/>
          <w:kern w:val="0"/>
          <w:sz w:val="32"/>
          <w:szCs w:val="32"/>
        </w:rPr>
        <w:t>the S</w:t>
      </w:r>
      <w:r>
        <w:rPr>
          <w:rFonts w:ascii="Times New Roman" w:hAnsi="Times New Roman" w:eastAsia="宋体" w:cs="Times New Roman"/>
          <w:color w:val="auto"/>
          <w:kern w:val="0"/>
          <w:sz w:val="32"/>
          <w:szCs w:val="32"/>
        </w:rPr>
        <w:t>ustainability</w:t>
      </w:r>
      <w:r>
        <w:rPr>
          <w:rFonts w:hint="eastAsia" w:ascii="Times New Roman" w:hAnsi="Times New Roman" w:eastAsia="宋体" w:cs="Times New Roman"/>
          <w:color w:val="auto"/>
          <w:kern w:val="0"/>
          <w:sz w:val="32"/>
          <w:szCs w:val="32"/>
        </w:rPr>
        <w:t xml:space="preserve"> of </w:t>
      </w:r>
      <w:r>
        <w:rPr>
          <w:rFonts w:ascii="Times New Roman" w:hAnsi="Times New Roman" w:eastAsia="宋体" w:cs="Times New Roman"/>
          <w:color w:val="auto"/>
          <w:kern w:val="0"/>
          <w:sz w:val="32"/>
          <w:szCs w:val="32"/>
        </w:rPr>
        <w:t xml:space="preserve">New urban infrastructure  </w:t>
      </w:r>
    </w:p>
    <w:p w14:paraId="7A74C363">
      <w:pPr>
        <w:spacing w:line="360" w:lineRule="auto"/>
        <w:rPr>
          <w:rFonts w:hint="default" w:ascii="Times New Roman" w:hAnsi="Times New Roman" w:eastAsia="宋体"/>
          <w:color w:val="auto"/>
          <w:sz w:val="24"/>
          <w:lang w:val="en-US" w:eastAsia="zh-CN"/>
        </w:rPr>
      </w:pPr>
      <w:r>
        <w:rPr>
          <w:rFonts w:hint="eastAsia" w:ascii="Times New Roman" w:hAnsi="Times New Roman" w:eastAsia="宋体"/>
          <w:color w:val="auto"/>
          <w:sz w:val="24"/>
          <w:lang w:val="en-US" w:eastAsia="zh-CN"/>
        </w:rPr>
        <w:t xml:space="preserve">   </w:t>
      </w:r>
    </w:p>
    <w:p w14:paraId="33BFFE7E">
      <w:pPr>
        <w:widowControl/>
        <w:spacing w:line="360" w:lineRule="auto"/>
        <w:jc w:val="center"/>
        <w:rPr>
          <w:color w:val="auto"/>
        </w:rPr>
      </w:pPr>
      <w:r>
        <w:rPr>
          <w:rFonts w:ascii="黑体" w:hAnsi="宋体" w:eastAsia="黑体" w:cs="黑体"/>
          <w:color w:val="auto"/>
          <w:kern w:val="0"/>
          <w:sz w:val="32"/>
          <w:szCs w:val="32"/>
        </w:rPr>
        <w:t>（</w:t>
      </w:r>
      <w:r>
        <w:rPr>
          <w:rFonts w:hint="eastAsia" w:ascii="黑体" w:hAnsi="宋体" w:eastAsia="黑体" w:cs="黑体"/>
          <w:color w:val="auto"/>
          <w:kern w:val="0"/>
          <w:sz w:val="32"/>
          <w:szCs w:val="32"/>
          <w:lang w:val="en-US" w:eastAsia="zh-CN"/>
        </w:rPr>
        <w:t>征求意见</w:t>
      </w:r>
      <w:r>
        <w:rPr>
          <w:rFonts w:ascii="黑体" w:hAnsi="宋体" w:eastAsia="黑体" w:cs="黑体"/>
          <w:color w:val="auto"/>
          <w:kern w:val="0"/>
          <w:sz w:val="32"/>
          <w:szCs w:val="32"/>
        </w:rPr>
        <w:t>稿）</w:t>
      </w:r>
    </w:p>
    <w:p w14:paraId="68980A64">
      <w:pPr>
        <w:spacing w:line="360" w:lineRule="auto"/>
        <w:rPr>
          <w:rFonts w:ascii="Times New Roman" w:hAnsi="Times New Roman" w:eastAsia="宋体"/>
          <w:color w:val="auto"/>
          <w:sz w:val="24"/>
        </w:rPr>
      </w:pPr>
    </w:p>
    <w:p w14:paraId="460CDDA4">
      <w:pPr>
        <w:spacing w:line="360" w:lineRule="auto"/>
        <w:rPr>
          <w:rFonts w:ascii="Times New Roman" w:hAnsi="Times New Roman" w:eastAsia="宋体"/>
          <w:color w:val="auto"/>
          <w:sz w:val="24"/>
        </w:rPr>
      </w:pPr>
    </w:p>
    <w:p w14:paraId="40F1BFFE">
      <w:pPr>
        <w:spacing w:line="360" w:lineRule="auto"/>
        <w:rPr>
          <w:rFonts w:ascii="Times New Roman" w:hAnsi="Times New Roman" w:eastAsia="宋体"/>
          <w:color w:val="auto"/>
          <w:sz w:val="24"/>
        </w:rPr>
      </w:pPr>
    </w:p>
    <w:p w14:paraId="5F9626E5">
      <w:pPr>
        <w:pStyle w:val="5"/>
        <w:rPr>
          <w:rFonts w:ascii="Times New Roman" w:hAnsi="Times New Roman" w:eastAsia="宋体"/>
          <w:color w:val="auto"/>
        </w:rPr>
      </w:pPr>
    </w:p>
    <w:p w14:paraId="23D190D3">
      <w:pPr>
        <w:pStyle w:val="5"/>
        <w:rPr>
          <w:rFonts w:ascii="Times New Roman" w:hAnsi="Times New Roman" w:eastAsia="宋体"/>
          <w:color w:val="auto"/>
        </w:rPr>
      </w:pPr>
    </w:p>
    <w:p w14:paraId="56B20811">
      <w:pPr>
        <w:pStyle w:val="5"/>
        <w:rPr>
          <w:rFonts w:ascii="Times New Roman" w:hAnsi="Times New Roman" w:eastAsia="宋体"/>
          <w:color w:val="auto"/>
        </w:rPr>
      </w:pPr>
    </w:p>
    <w:p w14:paraId="4B8C3E88">
      <w:pPr>
        <w:pStyle w:val="5"/>
        <w:rPr>
          <w:rFonts w:ascii="Times New Roman" w:hAnsi="Times New Roman" w:eastAsia="宋体"/>
          <w:color w:val="auto"/>
        </w:rPr>
      </w:pPr>
    </w:p>
    <w:p w14:paraId="3E0FE918">
      <w:pPr>
        <w:pStyle w:val="5"/>
        <w:rPr>
          <w:rFonts w:ascii="Times New Roman" w:hAnsi="Times New Roman" w:eastAsia="宋体"/>
          <w:color w:val="auto"/>
        </w:rPr>
      </w:pPr>
    </w:p>
    <w:p w14:paraId="2B850638">
      <w:pPr>
        <w:pStyle w:val="5"/>
        <w:rPr>
          <w:rFonts w:ascii="Times New Roman" w:hAnsi="Times New Roman" w:eastAsia="宋体"/>
          <w:color w:val="auto"/>
        </w:rPr>
      </w:pPr>
    </w:p>
    <w:p w14:paraId="744E0BE9">
      <w:pPr>
        <w:spacing w:line="360" w:lineRule="auto"/>
        <w:rPr>
          <w:rFonts w:ascii="Times New Roman" w:hAnsi="Times New Roman" w:eastAsia="宋体"/>
          <w:color w:val="auto"/>
          <w:sz w:val="24"/>
        </w:rPr>
      </w:pPr>
    </w:p>
    <w:p w14:paraId="6610E727">
      <w:pPr>
        <w:spacing w:line="360" w:lineRule="auto"/>
        <w:rPr>
          <w:rFonts w:ascii="Times New Roman" w:hAnsi="Times New Roman" w:eastAsia="宋体"/>
          <w:color w:val="auto"/>
          <w:sz w:val="24"/>
        </w:rPr>
      </w:pPr>
    </w:p>
    <w:p w14:paraId="2A8089CE">
      <w:pPr>
        <w:spacing w:line="360" w:lineRule="auto"/>
        <w:jc w:val="center"/>
        <w:rPr>
          <w:rFonts w:ascii="Times New Roman" w:hAnsi="Times New Roman" w:eastAsia="宋体"/>
          <w:color w:val="auto"/>
          <w:sz w:val="24"/>
        </w:rPr>
      </w:pPr>
      <w:r>
        <w:rPr>
          <w:rFonts w:hint="eastAsia" w:ascii="Times New Roman" w:hAnsi="Times New Roman" w:eastAsia="宋体"/>
          <w:color w:val="auto"/>
          <w:sz w:val="24"/>
        </w:rPr>
        <w:t>中国XXX出版社</w:t>
      </w:r>
    </w:p>
    <w:p w14:paraId="46077A04">
      <w:pPr>
        <w:pStyle w:val="5"/>
        <w:rPr>
          <w:rFonts w:ascii="宋体" w:hAnsi="宋体" w:eastAsia="宋体" w:cs="宋体"/>
          <w:b/>
          <w:color w:val="auto"/>
          <w:sz w:val="28"/>
          <w:szCs w:val="28"/>
        </w:rPr>
      </w:pPr>
    </w:p>
    <w:p w14:paraId="6AE153A4">
      <w:pPr>
        <w:pStyle w:val="5"/>
        <w:rPr>
          <w:rFonts w:ascii="宋体" w:hAnsi="宋体" w:eastAsia="宋体" w:cs="宋体"/>
          <w:b/>
          <w:color w:val="auto"/>
          <w:sz w:val="28"/>
          <w:szCs w:val="28"/>
        </w:rPr>
        <w:sectPr>
          <w:footerReference r:id="rId3" w:type="default"/>
          <w:pgSz w:w="11906" w:h="16838"/>
          <w:pgMar w:top="1440" w:right="1800" w:bottom="1440" w:left="1800" w:header="851" w:footer="992" w:gutter="0"/>
          <w:pgNumType w:fmt="decimal" w:start="1"/>
          <w:cols w:space="720" w:num="1"/>
          <w:docGrid w:linePitch="312" w:charSpace="0"/>
        </w:sectPr>
      </w:pPr>
    </w:p>
    <w:p w14:paraId="7D54CB0B">
      <w:pPr>
        <w:spacing w:line="360" w:lineRule="auto"/>
        <w:rPr>
          <w:rFonts w:ascii="Times New Roman" w:hAnsi="Times New Roman" w:eastAsia="宋体"/>
          <w:color w:val="auto"/>
          <w:sz w:val="24"/>
        </w:rPr>
      </w:pPr>
    </w:p>
    <w:p w14:paraId="0AD48081">
      <w:pPr>
        <w:widowControl/>
        <w:spacing w:line="360" w:lineRule="auto"/>
        <w:jc w:val="center"/>
        <w:rPr>
          <w:rFonts w:ascii="黑体" w:hAnsi="宋体" w:eastAsia="黑体" w:cs="黑体"/>
          <w:color w:val="auto"/>
          <w:spacing w:val="20"/>
          <w:kern w:val="0"/>
          <w:sz w:val="36"/>
          <w:szCs w:val="36"/>
        </w:rPr>
      </w:pPr>
    </w:p>
    <w:p w14:paraId="076A9A2B">
      <w:pPr>
        <w:widowControl/>
        <w:spacing w:line="360" w:lineRule="auto"/>
        <w:jc w:val="center"/>
        <w:rPr>
          <w:b/>
          <w:bCs/>
          <w:color w:val="auto"/>
          <w:spacing w:val="34"/>
        </w:rPr>
      </w:pPr>
      <w:r>
        <w:rPr>
          <w:rFonts w:ascii="黑体" w:hAnsi="宋体" w:eastAsia="黑体" w:cs="黑体"/>
          <w:b/>
          <w:bCs/>
          <w:color w:val="auto"/>
          <w:spacing w:val="34"/>
          <w:kern w:val="0"/>
          <w:sz w:val="36"/>
          <w:szCs w:val="36"/>
        </w:rPr>
        <w:t>中国工程建设标准化协会标准</w:t>
      </w:r>
    </w:p>
    <w:p w14:paraId="26DDC193">
      <w:pPr>
        <w:spacing w:line="360" w:lineRule="auto"/>
        <w:rPr>
          <w:rFonts w:ascii="Times New Roman" w:hAnsi="Times New Roman" w:eastAsia="宋体"/>
          <w:color w:val="auto"/>
          <w:sz w:val="24"/>
        </w:rPr>
      </w:pPr>
    </w:p>
    <w:p w14:paraId="367B41E1">
      <w:pPr>
        <w:pStyle w:val="5"/>
        <w:rPr>
          <w:rFonts w:ascii="Times New Roman" w:hAnsi="Times New Roman" w:eastAsia="宋体"/>
          <w:color w:val="auto"/>
        </w:rPr>
      </w:pPr>
    </w:p>
    <w:p w14:paraId="2C14172D">
      <w:pPr>
        <w:pStyle w:val="5"/>
        <w:rPr>
          <w:rFonts w:ascii="Times New Roman" w:hAnsi="Times New Roman" w:eastAsia="宋体"/>
          <w:color w:val="auto"/>
        </w:rPr>
      </w:pPr>
    </w:p>
    <w:p w14:paraId="066C2EB3">
      <w:pPr>
        <w:pStyle w:val="5"/>
        <w:rPr>
          <w:rFonts w:ascii="Times New Roman" w:hAnsi="Times New Roman" w:eastAsia="宋体"/>
          <w:color w:val="auto"/>
        </w:rPr>
      </w:pPr>
    </w:p>
    <w:p w14:paraId="6CDC37EE">
      <w:pPr>
        <w:spacing w:line="360" w:lineRule="auto"/>
        <w:rPr>
          <w:rFonts w:ascii="Times New Roman" w:hAnsi="Times New Roman" w:eastAsia="宋体"/>
          <w:color w:val="auto"/>
          <w:sz w:val="24"/>
        </w:rPr>
      </w:pPr>
    </w:p>
    <w:p w14:paraId="4EF5721B">
      <w:pPr>
        <w:widowControl/>
        <w:spacing w:line="360" w:lineRule="auto"/>
        <w:jc w:val="center"/>
        <w:rPr>
          <w:rFonts w:ascii="黑体" w:hAnsi="宋体" w:eastAsia="黑体" w:cs="黑体"/>
          <w:color w:val="auto"/>
          <w:kern w:val="0"/>
          <w:sz w:val="44"/>
          <w:szCs w:val="44"/>
        </w:rPr>
      </w:pPr>
      <w:r>
        <w:rPr>
          <w:rFonts w:hint="eastAsia" w:ascii="黑体" w:hAnsi="宋体" w:eastAsia="黑体" w:cs="黑体"/>
          <w:color w:val="auto"/>
          <w:kern w:val="0"/>
          <w:sz w:val="44"/>
          <w:szCs w:val="44"/>
          <w:lang w:eastAsia="zh-CN"/>
        </w:rPr>
        <w:t>城市新型基础设施</w:t>
      </w:r>
      <w:r>
        <w:rPr>
          <w:rFonts w:hint="eastAsia" w:ascii="黑体" w:hAnsi="宋体" w:eastAsia="黑体" w:cs="黑体"/>
          <w:color w:val="auto"/>
          <w:kern w:val="0"/>
          <w:sz w:val="44"/>
          <w:szCs w:val="44"/>
        </w:rPr>
        <w:t>可持续性评价标准</w:t>
      </w:r>
    </w:p>
    <w:p w14:paraId="21A9A3C8">
      <w:pPr>
        <w:widowControl/>
        <w:spacing w:line="360" w:lineRule="auto"/>
        <w:jc w:val="center"/>
        <w:rPr>
          <w:color w:val="auto"/>
        </w:rPr>
      </w:pPr>
      <w:r>
        <w:rPr>
          <w:rFonts w:ascii="Times New Roman" w:hAnsi="Times New Roman" w:eastAsia="宋体" w:cs="Times New Roman"/>
          <w:color w:val="auto"/>
          <w:kern w:val="0"/>
          <w:sz w:val="32"/>
          <w:szCs w:val="32"/>
        </w:rPr>
        <w:t xml:space="preserve">Assessment standard for </w:t>
      </w:r>
      <w:r>
        <w:rPr>
          <w:rFonts w:hint="eastAsia" w:ascii="Times New Roman" w:hAnsi="Times New Roman" w:eastAsia="宋体" w:cs="Times New Roman"/>
          <w:color w:val="auto"/>
          <w:kern w:val="0"/>
          <w:sz w:val="32"/>
          <w:szCs w:val="32"/>
        </w:rPr>
        <w:t>the S</w:t>
      </w:r>
      <w:r>
        <w:rPr>
          <w:rFonts w:ascii="Times New Roman" w:hAnsi="Times New Roman" w:eastAsia="宋体" w:cs="Times New Roman"/>
          <w:color w:val="auto"/>
          <w:kern w:val="0"/>
          <w:sz w:val="32"/>
          <w:szCs w:val="32"/>
        </w:rPr>
        <w:t>ustainability</w:t>
      </w:r>
      <w:r>
        <w:rPr>
          <w:rFonts w:hint="eastAsia" w:ascii="Times New Roman" w:hAnsi="Times New Roman" w:eastAsia="宋体" w:cs="Times New Roman"/>
          <w:color w:val="auto"/>
          <w:kern w:val="0"/>
          <w:sz w:val="32"/>
          <w:szCs w:val="32"/>
        </w:rPr>
        <w:t xml:space="preserve"> of </w:t>
      </w:r>
      <w:r>
        <w:rPr>
          <w:rFonts w:ascii="Times New Roman" w:hAnsi="Times New Roman" w:eastAsia="宋体" w:cs="Times New Roman"/>
          <w:color w:val="auto"/>
          <w:kern w:val="0"/>
          <w:sz w:val="32"/>
          <w:szCs w:val="32"/>
        </w:rPr>
        <w:t xml:space="preserve">New urban infrastructure  </w:t>
      </w:r>
    </w:p>
    <w:p w14:paraId="79A83D17">
      <w:pPr>
        <w:spacing w:line="360" w:lineRule="auto"/>
        <w:jc w:val="center"/>
        <w:rPr>
          <w:rFonts w:hint="eastAsia" w:ascii="Times New Roman" w:hAnsi="Times New Roman" w:eastAsia="黑体"/>
          <w:color w:val="auto"/>
          <w:sz w:val="24"/>
          <w:lang w:eastAsia="zh-CN"/>
        </w:rPr>
      </w:pPr>
      <w:r>
        <w:rPr>
          <w:rFonts w:hint="eastAsia" w:ascii="黑体" w:hAnsi="宋体" w:eastAsia="黑体" w:cs="黑体"/>
          <w:color w:val="auto"/>
          <w:kern w:val="0"/>
          <w:sz w:val="32"/>
          <w:szCs w:val="32"/>
        </w:rPr>
        <w:t>T/CECS XXX-202</w:t>
      </w:r>
      <w:r>
        <w:rPr>
          <w:rFonts w:hint="eastAsia" w:ascii="黑体" w:hAnsi="宋体" w:eastAsia="黑体" w:cs="黑体"/>
          <w:color w:val="auto"/>
          <w:kern w:val="0"/>
          <w:sz w:val="32"/>
          <w:szCs w:val="32"/>
          <w:lang w:val="en-US" w:eastAsia="zh-CN"/>
        </w:rPr>
        <w:t>5</w:t>
      </w:r>
    </w:p>
    <w:p w14:paraId="3A7D403D">
      <w:pPr>
        <w:spacing w:line="360" w:lineRule="auto"/>
        <w:rPr>
          <w:rFonts w:ascii="Times New Roman" w:hAnsi="Times New Roman" w:eastAsia="宋体"/>
          <w:color w:val="auto"/>
          <w:sz w:val="24"/>
        </w:rPr>
      </w:pPr>
    </w:p>
    <w:p w14:paraId="3C78FFF3">
      <w:pPr>
        <w:pStyle w:val="5"/>
        <w:rPr>
          <w:color w:val="auto"/>
        </w:rPr>
      </w:pPr>
    </w:p>
    <w:p w14:paraId="12973AF9">
      <w:pPr>
        <w:widowControl/>
        <w:spacing w:line="360" w:lineRule="auto"/>
        <w:ind w:firstLine="1960" w:firstLineChars="700"/>
        <w:jc w:val="left"/>
        <w:rPr>
          <w:color w:val="auto"/>
          <w:sz w:val="28"/>
          <w:szCs w:val="28"/>
        </w:rPr>
      </w:pPr>
      <w:r>
        <w:rPr>
          <w:rFonts w:ascii="STSong-Light" w:hAnsi="STSong-Light" w:eastAsia="STSong-Light" w:cs="STSong-Light"/>
          <w:color w:val="auto"/>
          <w:kern w:val="0"/>
          <w:sz w:val="28"/>
          <w:szCs w:val="28"/>
        </w:rPr>
        <w:t>主编单位</w:t>
      </w:r>
      <w:r>
        <w:rPr>
          <w:rFonts w:hint="eastAsia" w:ascii="STSong-Light" w:hAnsi="STSong-Light" w:eastAsia="STSong-Light" w:cs="STSong-Light"/>
          <w:color w:val="auto"/>
          <w:kern w:val="0"/>
          <w:sz w:val="28"/>
          <w:szCs w:val="28"/>
        </w:rPr>
        <w:t>：</w:t>
      </w:r>
      <w:r>
        <w:rPr>
          <w:rFonts w:ascii="STSong-Light" w:hAnsi="STSong-Light" w:eastAsia="STSong-Light" w:cs="STSong-Light"/>
          <w:color w:val="auto"/>
          <w:kern w:val="0"/>
          <w:sz w:val="28"/>
          <w:szCs w:val="28"/>
        </w:rPr>
        <w:t>X</w:t>
      </w:r>
      <w:r>
        <w:rPr>
          <w:rFonts w:hint="eastAsia" w:ascii="STSong-Light" w:hAnsi="STSong-Light" w:eastAsia="STSong-Light" w:cs="STSong-Light"/>
          <w:color w:val="auto"/>
          <w:kern w:val="0"/>
          <w:sz w:val="28"/>
          <w:szCs w:val="28"/>
        </w:rPr>
        <w:t xml:space="preserve"> </w:t>
      </w:r>
      <w:r>
        <w:rPr>
          <w:rFonts w:ascii="STSong-Light" w:hAnsi="STSong-Light" w:eastAsia="STSong-Light" w:cs="STSong-Light"/>
          <w:color w:val="auto"/>
          <w:kern w:val="0"/>
          <w:sz w:val="28"/>
          <w:szCs w:val="28"/>
        </w:rPr>
        <w:t>X</w:t>
      </w:r>
      <w:r>
        <w:rPr>
          <w:rFonts w:hint="eastAsia" w:ascii="STSong-Light" w:hAnsi="STSong-Light" w:eastAsia="STSong-Light" w:cs="STSong-Light"/>
          <w:color w:val="auto"/>
          <w:kern w:val="0"/>
          <w:sz w:val="28"/>
          <w:szCs w:val="28"/>
        </w:rPr>
        <w:t xml:space="preserve"> </w:t>
      </w:r>
      <w:r>
        <w:rPr>
          <w:rFonts w:ascii="STSong-Light" w:hAnsi="STSong-Light" w:eastAsia="STSong-Light" w:cs="STSong-Light"/>
          <w:color w:val="auto"/>
          <w:kern w:val="0"/>
          <w:sz w:val="28"/>
          <w:szCs w:val="28"/>
        </w:rPr>
        <w:t>X</w:t>
      </w:r>
      <w:r>
        <w:rPr>
          <w:rFonts w:hint="eastAsia" w:ascii="STSong-Light" w:hAnsi="STSong-Light" w:eastAsia="STSong-Light" w:cs="STSong-Light"/>
          <w:color w:val="auto"/>
          <w:kern w:val="0"/>
          <w:sz w:val="28"/>
          <w:szCs w:val="28"/>
        </w:rPr>
        <w:t xml:space="preserve"> </w:t>
      </w:r>
      <w:r>
        <w:rPr>
          <w:rFonts w:ascii="STSong-Light" w:hAnsi="STSong-Light" w:eastAsia="STSong-Light" w:cs="STSong-Light"/>
          <w:color w:val="auto"/>
          <w:kern w:val="0"/>
          <w:sz w:val="28"/>
          <w:szCs w:val="28"/>
        </w:rPr>
        <w:t>X</w:t>
      </w:r>
      <w:r>
        <w:rPr>
          <w:rFonts w:hint="eastAsia" w:ascii="STSong-Light" w:hAnsi="STSong-Light" w:eastAsia="STSong-Light" w:cs="STSong-Light"/>
          <w:color w:val="auto"/>
          <w:kern w:val="0"/>
          <w:sz w:val="28"/>
          <w:szCs w:val="28"/>
        </w:rPr>
        <w:t xml:space="preserve"> </w:t>
      </w:r>
      <w:r>
        <w:rPr>
          <w:rFonts w:ascii="STSong-Light" w:hAnsi="STSong-Light" w:eastAsia="STSong-Light" w:cs="STSong-Light"/>
          <w:color w:val="auto"/>
          <w:kern w:val="0"/>
          <w:sz w:val="28"/>
          <w:szCs w:val="28"/>
        </w:rPr>
        <w:t>X</w:t>
      </w:r>
      <w:r>
        <w:rPr>
          <w:rFonts w:hint="eastAsia" w:ascii="STSong-Light" w:hAnsi="STSong-Light" w:eastAsia="STSong-Light" w:cs="STSong-Light"/>
          <w:color w:val="auto"/>
          <w:kern w:val="0"/>
          <w:sz w:val="28"/>
          <w:szCs w:val="28"/>
        </w:rPr>
        <w:t xml:space="preserve"> </w:t>
      </w:r>
      <w:r>
        <w:rPr>
          <w:rFonts w:ascii="STSong-Light" w:hAnsi="STSong-Light" w:eastAsia="STSong-Light" w:cs="STSong-Light"/>
          <w:color w:val="auto"/>
          <w:kern w:val="0"/>
          <w:sz w:val="28"/>
          <w:szCs w:val="28"/>
        </w:rPr>
        <w:t>X</w:t>
      </w:r>
      <w:r>
        <w:rPr>
          <w:rFonts w:hint="eastAsia" w:ascii="STSong-Light" w:hAnsi="STSong-Light" w:eastAsia="STSong-Light" w:cs="STSong-Light"/>
          <w:color w:val="auto"/>
          <w:kern w:val="0"/>
          <w:sz w:val="28"/>
          <w:szCs w:val="28"/>
        </w:rPr>
        <w:t xml:space="preserve"> </w:t>
      </w:r>
      <w:r>
        <w:rPr>
          <w:rFonts w:ascii="STSong-Light" w:hAnsi="STSong-Light" w:eastAsia="STSong-Light" w:cs="STSong-Light"/>
          <w:color w:val="auto"/>
          <w:kern w:val="0"/>
          <w:sz w:val="28"/>
          <w:szCs w:val="28"/>
        </w:rPr>
        <w:t>X</w:t>
      </w:r>
      <w:r>
        <w:rPr>
          <w:rFonts w:hint="eastAsia" w:ascii="STSong-Light" w:hAnsi="STSong-Light" w:eastAsia="STSong-Light" w:cs="STSong-Light"/>
          <w:color w:val="auto"/>
          <w:kern w:val="0"/>
          <w:sz w:val="28"/>
          <w:szCs w:val="28"/>
        </w:rPr>
        <w:t xml:space="preserve"> </w:t>
      </w:r>
      <w:r>
        <w:rPr>
          <w:rFonts w:ascii="STSong-Light" w:hAnsi="STSong-Light" w:eastAsia="STSong-Light" w:cs="STSong-Light"/>
          <w:color w:val="auto"/>
          <w:kern w:val="0"/>
          <w:sz w:val="28"/>
          <w:szCs w:val="28"/>
        </w:rPr>
        <w:t>X</w:t>
      </w:r>
      <w:r>
        <w:rPr>
          <w:rFonts w:hint="eastAsia" w:ascii="STSong-Light" w:hAnsi="STSong-Light" w:eastAsia="STSong-Light" w:cs="STSong-Light"/>
          <w:color w:val="auto"/>
          <w:kern w:val="0"/>
          <w:sz w:val="28"/>
          <w:szCs w:val="28"/>
        </w:rPr>
        <w:t xml:space="preserve"> </w:t>
      </w:r>
      <w:r>
        <w:rPr>
          <w:rFonts w:ascii="STSong-Light" w:hAnsi="STSong-Light" w:eastAsia="STSong-Light" w:cs="STSong-Light"/>
          <w:color w:val="auto"/>
          <w:kern w:val="0"/>
          <w:sz w:val="28"/>
          <w:szCs w:val="28"/>
        </w:rPr>
        <w:t>X</w:t>
      </w:r>
      <w:r>
        <w:rPr>
          <w:rFonts w:hint="eastAsia" w:ascii="STSong-Light" w:hAnsi="STSong-Light" w:eastAsia="STSong-Light" w:cs="STSong-Light"/>
          <w:color w:val="auto"/>
          <w:kern w:val="0"/>
          <w:sz w:val="28"/>
          <w:szCs w:val="28"/>
        </w:rPr>
        <w:t xml:space="preserve"> </w:t>
      </w:r>
      <w:r>
        <w:rPr>
          <w:rFonts w:ascii="STSong-Light" w:hAnsi="STSong-Light" w:eastAsia="STSong-Light" w:cs="STSong-Light"/>
          <w:color w:val="auto"/>
          <w:kern w:val="0"/>
          <w:sz w:val="28"/>
          <w:szCs w:val="28"/>
        </w:rPr>
        <w:t>X</w:t>
      </w:r>
      <w:r>
        <w:rPr>
          <w:rFonts w:hint="eastAsia" w:ascii="STSong-Light" w:hAnsi="STSong-Light" w:eastAsia="STSong-Light" w:cs="STSong-Light"/>
          <w:color w:val="auto"/>
          <w:kern w:val="0"/>
          <w:sz w:val="28"/>
          <w:szCs w:val="28"/>
        </w:rPr>
        <w:t xml:space="preserve"> </w:t>
      </w:r>
      <w:r>
        <w:rPr>
          <w:rFonts w:ascii="STSong-Light" w:hAnsi="STSong-Light" w:eastAsia="STSong-Light" w:cs="STSong-Light"/>
          <w:color w:val="auto"/>
          <w:kern w:val="0"/>
          <w:sz w:val="28"/>
          <w:szCs w:val="28"/>
        </w:rPr>
        <w:t xml:space="preserve">X </w:t>
      </w:r>
    </w:p>
    <w:p w14:paraId="11FCCECF">
      <w:pPr>
        <w:widowControl/>
        <w:spacing w:line="360" w:lineRule="auto"/>
        <w:ind w:firstLine="1960" w:firstLineChars="700"/>
        <w:jc w:val="left"/>
        <w:rPr>
          <w:color w:val="auto"/>
          <w:sz w:val="28"/>
          <w:szCs w:val="28"/>
        </w:rPr>
      </w:pPr>
      <w:r>
        <w:rPr>
          <w:rFonts w:ascii="STSong-Light" w:hAnsi="STSong-Light" w:eastAsia="STSong-Light" w:cs="STSong-Light"/>
          <w:color w:val="auto"/>
          <w:kern w:val="0"/>
          <w:sz w:val="28"/>
          <w:szCs w:val="28"/>
        </w:rPr>
        <w:t>批准单位</w:t>
      </w:r>
      <w:r>
        <w:rPr>
          <w:rFonts w:hint="eastAsia" w:ascii="STSong-Light" w:hAnsi="STSong-Light" w:eastAsia="STSong-Light" w:cs="STSong-Light"/>
          <w:color w:val="auto"/>
          <w:kern w:val="0"/>
          <w:sz w:val="28"/>
          <w:szCs w:val="28"/>
        </w:rPr>
        <w:t>：</w:t>
      </w:r>
      <w:r>
        <w:rPr>
          <w:rFonts w:ascii="STSong-Light" w:hAnsi="STSong-Light" w:eastAsia="STSong-Light" w:cs="STSong-Light"/>
          <w:color w:val="auto"/>
          <w:kern w:val="0"/>
          <w:sz w:val="28"/>
          <w:szCs w:val="28"/>
        </w:rPr>
        <w:t xml:space="preserve">中国工程建设标准化协会 </w:t>
      </w:r>
    </w:p>
    <w:p w14:paraId="35DBC62B">
      <w:pPr>
        <w:widowControl/>
        <w:spacing w:line="360" w:lineRule="auto"/>
        <w:ind w:firstLine="1960" w:firstLineChars="700"/>
        <w:jc w:val="left"/>
        <w:rPr>
          <w:rFonts w:ascii="STSong-Light" w:hAnsi="STSong-Light" w:eastAsia="STSong-Light" w:cs="STSong-Light"/>
          <w:color w:val="auto"/>
          <w:kern w:val="0"/>
          <w:sz w:val="28"/>
          <w:szCs w:val="28"/>
        </w:rPr>
      </w:pPr>
      <w:r>
        <w:rPr>
          <w:rFonts w:ascii="STSong-Light" w:hAnsi="STSong-Light" w:eastAsia="STSong-Light" w:cs="STSong-Light"/>
          <w:color w:val="auto"/>
          <w:kern w:val="0"/>
          <w:sz w:val="28"/>
          <w:szCs w:val="28"/>
        </w:rPr>
        <w:t>施行日期</w:t>
      </w:r>
      <w:r>
        <w:rPr>
          <w:rFonts w:hint="eastAsia" w:ascii="STSong-Light" w:hAnsi="STSong-Light" w:eastAsia="STSong-Light" w:cs="STSong-Light"/>
          <w:color w:val="auto"/>
          <w:kern w:val="0"/>
          <w:sz w:val="28"/>
          <w:szCs w:val="28"/>
        </w:rPr>
        <w:t xml:space="preserve">：2 0 </w:t>
      </w:r>
      <w:r>
        <w:rPr>
          <w:rFonts w:ascii="STSong-Light" w:hAnsi="STSong-Light" w:eastAsia="STSong-Light" w:cs="STSong-Light"/>
          <w:color w:val="auto"/>
          <w:kern w:val="0"/>
          <w:sz w:val="28"/>
          <w:szCs w:val="28"/>
        </w:rPr>
        <w:t xml:space="preserve">X X 年 X 月 X 日 </w:t>
      </w:r>
    </w:p>
    <w:p w14:paraId="2962E60B">
      <w:pPr>
        <w:pStyle w:val="5"/>
        <w:rPr>
          <w:rFonts w:ascii="STSong-Light" w:hAnsi="STSong-Light" w:eastAsia="STSong-Light" w:cs="STSong-Light"/>
          <w:color w:val="auto"/>
          <w:kern w:val="0"/>
          <w:sz w:val="22"/>
          <w:szCs w:val="22"/>
        </w:rPr>
      </w:pPr>
    </w:p>
    <w:p w14:paraId="41F5A3E5">
      <w:pPr>
        <w:pStyle w:val="5"/>
        <w:rPr>
          <w:rFonts w:ascii="STSong-Light" w:hAnsi="STSong-Light" w:eastAsia="STSong-Light" w:cs="STSong-Light"/>
          <w:color w:val="auto"/>
          <w:kern w:val="0"/>
          <w:sz w:val="22"/>
          <w:szCs w:val="22"/>
        </w:rPr>
      </w:pPr>
    </w:p>
    <w:p w14:paraId="32A51A65">
      <w:pPr>
        <w:pStyle w:val="5"/>
        <w:rPr>
          <w:rFonts w:ascii="STSong-Light" w:hAnsi="STSong-Light" w:eastAsia="STSong-Light" w:cs="STSong-Light"/>
          <w:color w:val="auto"/>
          <w:kern w:val="0"/>
          <w:sz w:val="22"/>
          <w:szCs w:val="22"/>
        </w:rPr>
      </w:pPr>
    </w:p>
    <w:p w14:paraId="391719C2">
      <w:pPr>
        <w:pStyle w:val="5"/>
        <w:rPr>
          <w:rFonts w:ascii="STSong-Light" w:hAnsi="STSong-Light" w:eastAsia="STSong-Light" w:cs="STSong-Light"/>
          <w:color w:val="auto"/>
          <w:kern w:val="0"/>
          <w:sz w:val="22"/>
          <w:szCs w:val="22"/>
        </w:rPr>
      </w:pPr>
    </w:p>
    <w:p w14:paraId="01D5CC7A">
      <w:pPr>
        <w:pStyle w:val="5"/>
        <w:rPr>
          <w:rFonts w:ascii="STSong-Light" w:hAnsi="STSong-Light" w:eastAsia="STSong-Light" w:cs="STSong-Light"/>
          <w:color w:val="auto"/>
          <w:kern w:val="0"/>
          <w:sz w:val="22"/>
          <w:szCs w:val="22"/>
        </w:rPr>
      </w:pPr>
    </w:p>
    <w:p w14:paraId="0F9641A2">
      <w:pPr>
        <w:pStyle w:val="5"/>
        <w:rPr>
          <w:rFonts w:ascii="STSong-Light" w:hAnsi="STSong-Light" w:eastAsia="STSong-Light" w:cs="STSong-Light"/>
          <w:color w:val="auto"/>
          <w:kern w:val="0"/>
          <w:sz w:val="22"/>
          <w:szCs w:val="22"/>
        </w:rPr>
      </w:pPr>
    </w:p>
    <w:p w14:paraId="3C7AD922">
      <w:pPr>
        <w:pStyle w:val="5"/>
        <w:rPr>
          <w:rFonts w:ascii="STSong-Light" w:hAnsi="STSong-Light" w:eastAsia="STSong-Light" w:cs="STSong-Light"/>
          <w:color w:val="auto"/>
          <w:kern w:val="0"/>
          <w:sz w:val="22"/>
          <w:szCs w:val="22"/>
        </w:rPr>
      </w:pPr>
    </w:p>
    <w:p w14:paraId="3E1D80A0">
      <w:pPr>
        <w:widowControl/>
        <w:jc w:val="center"/>
        <w:rPr>
          <w:rFonts w:ascii="STSong-Light" w:hAnsi="STSong-Light" w:eastAsia="STSong-Light" w:cs="STSong-Light"/>
          <w:color w:val="auto"/>
          <w:kern w:val="0"/>
          <w:sz w:val="32"/>
          <w:szCs w:val="32"/>
        </w:rPr>
      </w:pPr>
      <w:r>
        <w:rPr>
          <w:rFonts w:hint="eastAsia" w:ascii="宋体" w:hAnsi="宋体" w:eastAsia="宋体" w:cs="宋体"/>
          <w:color w:val="auto"/>
          <w:kern w:val="0"/>
          <w:sz w:val="32"/>
          <w:szCs w:val="32"/>
        </w:rPr>
        <w:t>中国计划出版社</w:t>
      </w:r>
    </w:p>
    <w:p w14:paraId="671C1BF9">
      <w:pPr>
        <w:pStyle w:val="5"/>
        <w:jc w:val="center"/>
        <w:rPr>
          <w:color w:val="auto"/>
        </w:rPr>
      </w:pPr>
    </w:p>
    <w:p w14:paraId="6AF5C24F">
      <w:pPr>
        <w:widowControl/>
        <w:jc w:val="center"/>
        <w:rPr>
          <w:color w:val="auto"/>
          <w:szCs w:val="21"/>
        </w:rPr>
      </w:pPr>
      <w:r>
        <w:rPr>
          <w:rFonts w:ascii="STSong-Light" w:hAnsi="STSong-Light" w:eastAsia="STSong-Light" w:cs="STSong-Light"/>
          <w:color w:val="auto"/>
          <w:kern w:val="0"/>
          <w:szCs w:val="21"/>
        </w:rPr>
        <w:t xml:space="preserve">20 XX </w:t>
      </w:r>
      <w:r>
        <w:rPr>
          <w:rFonts w:hint="eastAsia" w:ascii="宋体" w:hAnsi="宋体" w:eastAsia="宋体" w:cs="宋体"/>
          <w:color w:val="auto"/>
          <w:kern w:val="0"/>
          <w:szCs w:val="21"/>
        </w:rPr>
        <w:t>北</w:t>
      </w:r>
      <w:r>
        <w:rPr>
          <w:rFonts w:ascii="STSong-Light" w:hAnsi="STSong-Light" w:eastAsia="STSong-Light" w:cs="STSong-Light"/>
          <w:color w:val="auto"/>
          <w:kern w:val="0"/>
          <w:szCs w:val="21"/>
        </w:rPr>
        <w:t xml:space="preserve"> </w:t>
      </w:r>
      <w:r>
        <w:rPr>
          <w:rFonts w:hint="eastAsia" w:ascii="宋体" w:hAnsi="宋体" w:eastAsia="宋体" w:cs="宋体"/>
          <w:color w:val="auto"/>
          <w:kern w:val="0"/>
          <w:szCs w:val="21"/>
        </w:rPr>
        <w:t>京</w:t>
      </w:r>
    </w:p>
    <w:p w14:paraId="5E617738">
      <w:pPr>
        <w:pStyle w:val="5"/>
        <w:rPr>
          <w:rFonts w:ascii="宋体" w:hAnsi="宋体" w:eastAsia="宋体" w:cs="宋体"/>
          <w:b/>
          <w:color w:val="auto"/>
          <w:sz w:val="28"/>
          <w:szCs w:val="28"/>
        </w:rPr>
        <w:sectPr>
          <w:footerReference r:id="rId4" w:type="default"/>
          <w:pgSz w:w="11906" w:h="16838"/>
          <w:pgMar w:top="1440" w:right="1800" w:bottom="1440" w:left="1800" w:header="851" w:footer="992" w:gutter="0"/>
          <w:pgNumType w:fmt="decimal" w:start="1"/>
          <w:cols w:space="720" w:num="1"/>
          <w:docGrid w:linePitch="312" w:charSpace="0"/>
        </w:sectPr>
      </w:pPr>
    </w:p>
    <w:p w14:paraId="2BE7B32E">
      <w:pPr>
        <w:widowControl/>
        <w:spacing w:line="360" w:lineRule="auto"/>
        <w:jc w:val="center"/>
        <w:outlineLvl w:val="9"/>
        <w:rPr>
          <w:color w:val="auto"/>
        </w:rPr>
      </w:pPr>
      <w:bookmarkStart w:id="0" w:name="_Toc10530"/>
      <w:bookmarkStart w:id="1" w:name="_Toc30521"/>
      <w:bookmarkStart w:id="2" w:name="_Toc16563"/>
      <w:bookmarkStart w:id="3" w:name="_Toc17377"/>
      <w:bookmarkStart w:id="4" w:name="_Toc29706"/>
      <w:bookmarkStart w:id="5" w:name="_Toc14981"/>
      <w:bookmarkStart w:id="6" w:name="_Toc30160"/>
      <w:r>
        <w:rPr>
          <w:rFonts w:hint="eastAsia" w:ascii="宋体" w:hAnsi="宋体" w:eastAsia="宋体" w:cs="宋体"/>
          <w:b/>
          <w:bCs/>
          <w:color w:val="auto"/>
          <w:kern w:val="0"/>
          <w:sz w:val="32"/>
          <w:szCs w:val="32"/>
        </w:rPr>
        <w:t>前言</w:t>
      </w:r>
      <w:bookmarkEnd w:id="0"/>
      <w:bookmarkEnd w:id="1"/>
      <w:bookmarkEnd w:id="2"/>
      <w:bookmarkEnd w:id="3"/>
      <w:bookmarkEnd w:id="4"/>
      <w:bookmarkEnd w:id="5"/>
      <w:bookmarkEnd w:id="6"/>
    </w:p>
    <w:p w14:paraId="374FE9AD">
      <w:pPr>
        <w:widowControl/>
        <w:spacing w:line="360" w:lineRule="auto"/>
        <w:ind w:firstLine="480" w:firstLineChars="200"/>
        <w:jc w:val="left"/>
        <w:rPr>
          <w:rFonts w:ascii="宋体" w:hAnsi="宋体" w:eastAsia="宋体" w:cs="宋体"/>
          <w:color w:val="auto"/>
          <w:kern w:val="0"/>
          <w:sz w:val="24"/>
        </w:rPr>
      </w:pPr>
    </w:p>
    <w:p w14:paraId="0F73683E">
      <w:pPr>
        <w:widowControl/>
        <w:spacing w:line="360" w:lineRule="auto"/>
        <w:ind w:firstLine="480" w:firstLineChars="200"/>
        <w:jc w:val="left"/>
        <w:rPr>
          <w:color w:val="auto"/>
        </w:rPr>
      </w:pPr>
      <w:r>
        <w:rPr>
          <w:rFonts w:hint="eastAsia" w:ascii="宋体" w:hAnsi="宋体" w:eastAsia="宋体" w:cs="宋体"/>
          <w:color w:val="auto"/>
          <w:kern w:val="0"/>
          <w:sz w:val="24"/>
        </w:rPr>
        <w:t>根据中国工程建设标准化协会《关于印发&lt;2022年第二批协会标准制订、修订计划&gt;的通知》(建标协</w:t>
      </w:r>
      <w:r>
        <w:rPr>
          <w:rFonts w:hint="eastAsia" w:ascii="宋体" w:hAnsi="宋体" w:cs="宋体"/>
          <w:color w:val="auto"/>
          <w:kern w:val="0"/>
          <w:sz w:val="24"/>
          <w:lang w:val="en-US" w:eastAsia="zh-CN"/>
        </w:rPr>
        <w:t>字</w:t>
      </w:r>
      <w:r>
        <w:rPr>
          <w:rFonts w:hint="eastAsia" w:ascii="宋体" w:hAnsi="宋体" w:eastAsia="宋体" w:cs="宋体"/>
          <w:color w:val="auto"/>
          <w:kern w:val="0"/>
          <w:sz w:val="24"/>
        </w:rPr>
        <w:t>〔2022〕</w:t>
      </w:r>
      <w:r>
        <w:rPr>
          <w:rFonts w:hint="eastAsia" w:ascii="宋体" w:hAnsi="宋体" w:cs="宋体"/>
          <w:color w:val="auto"/>
          <w:kern w:val="0"/>
          <w:sz w:val="24"/>
          <w:lang w:val="en-US" w:eastAsia="zh-CN"/>
        </w:rPr>
        <w:t>40</w:t>
      </w:r>
      <w:r>
        <w:rPr>
          <w:rFonts w:hint="eastAsia" w:ascii="宋体" w:hAnsi="宋体" w:eastAsia="宋体" w:cs="宋体"/>
          <w:color w:val="auto"/>
          <w:kern w:val="0"/>
          <w:sz w:val="24"/>
        </w:rPr>
        <w:t>号)的要求，标准编制组经</w:t>
      </w:r>
      <w:r>
        <w:rPr>
          <w:rFonts w:hint="eastAsia" w:ascii="宋体" w:hAnsi="宋体" w:cs="宋体"/>
          <w:color w:val="auto"/>
          <w:kern w:val="0"/>
          <w:sz w:val="24"/>
          <w:lang w:val="en-US" w:eastAsia="zh-CN"/>
        </w:rPr>
        <w:t>深入</w:t>
      </w:r>
      <w:r>
        <w:rPr>
          <w:rFonts w:hint="eastAsia" w:ascii="宋体" w:hAnsi="宋体" w:eastAsia="宋体" w:cs="宋体"/>
          <w:color w:val="auto"/>
          <w:kern w:val="0"/>
          <w:sz w:val="24"/>
        </w:rPr>
        <w:t>调查研究，认真总结实践经验，参考国内外</w:t>
      </w:r>
      <w:r>
        <w:rPr>
          <w:rFonts w:hint="eastAsia" w:ascii="宋体" w:hAnsi="宋体" w:cs="宋体"/>
          <w:color w:val="auto"/>
          <w:kern w:val="0"/>
          <w:sz w:val="24"/>
          <w:lang w:val="en-US" w:eastAsia="zh-CN"/>
        </w:rPr>
        <w:t>先进</w:t>
      </w:r>
      <w:r>
        <w:rPr>
          <w:rFonts w:hint="eastAsia" w:ascii="宋体" w:hAnsi="宋体" w:eastAsia="宋体" w:cs="宋体"/>
          <w:color w:val="auto"/>
          <w:kern w:val="0"/>
          <w:sz w:val="24"/>
        </w:rPr>
        <w:t>标准，并在广泛征求意见的基础上，编制本标准。</w:t>
      </w:r>
    </w:p>
    <w:p w14:paraId="73E66185">
      <w:pPr>
        <w:widowControl/>
        <w:spacing w:line="360" w:lineRule="auto"/>
        <w:ind w:firstLine="480" w:firstLineChars="200"/>
        <w:jc w:val="left"/>
        <w:rPr>
          <w:rFonts w:hint="eastAsia" w:ascii="宋体" w:hAnsi="宋体" w:eastAsia="宋体" w:cs="宋体"/>
          <w:color w:val="auto"/>
          <w:kern w:val="0"/>
          <w:sz w:val="24"/>
        </w:rPr>
      </w:pPr>
      <w:r>
        <w:rPr>
          <w:rFonts w:hint="eastAsia" w:ascii="宋体" w:hAnsi="宋体" w:eastAsia="宋体" w:cs="宋体"/>
          <w:color w:val="auto"/>
          <w:kern w:val="0"/>
          <w:sz w:val="24"/>
        </w:rPr>
        <w:t>本标准</w:t>
      </w:r>
      <w:r>
        <w:rPr>
          <w:rFonts w:hint="eastAsia" w:ascii="宋体" w:hAnsi="宋体" w:cs="宋体"/>
          <w:color w:val="auto"/>
          <w:kern w:val="0"/>
          <w:sz w:val="24"/>
          <w:lang w:val="en-US" w:eastAsia="zh-CN"/>
        </w:rPr>
        <w:t>共分7章和5个附录，</w:t>
      </w:r>
      <w:r>
        <w:rPr>
          <w:rFonts w:hint="eastAsia" w:ascii="宋体" w:hAnsi="宋体" w:eastAsia="宋体" w:cs="宋体"/>
          <w:color w:val="auto"/>
          <w:kern w:val="0"/>
          <w:sz w:val="24"/>
        </w:rPr>
        <w:t>主要内容</w:t>
      </w:r>
      <w:r>
        <w:rPr>
          <w:rFonts w:hint="eastAsia" w:ascii="宋体" w:hAnsi="宋体" w:cs="宋体"/>
          <w:color w:val="auto"/>
          <w:kern w:val="0"/>
          <w:sz w:val="24"/>
          <w:lang w:val="en-US" w:eastAsia="zh-CN"/>
        </w:rPr>
        <w:t>包括</w:t>
      </w:r>
      <w:r>
        <w:rPr>
          <w:rFonts w:hint="eastAsia" w:ascii="宋体" w:hAnsi="宋体" w:eastAsia="宋体" w:cs="宋体"/>
          <w:color w:val="auto"/>
          <w:kern w:val="0"/>
          <w:sz w:val="24"/>
        </w:rPr>
        <w:t>：总则</w:t>
      </w:r>
      <w:r>
        <w:rPr>
          <w:rFonts w:hint="eastAsia" w:ascii="宋体" w:hAnsi="宋体" w:cs="宋体"/>
          <w:color w:val="auto"/>
          <w:kern w:val="0"/>
          <w:sz w:val="24"/>
          <w:lang w:eastAsia="zh-CN"/>
        </w:rPr>
        <w:t>、</w:t>
      </w:r>
      <w:r>
        <w:rPr>
          <w:rFonts w:hint="eastAsia" w:ascii="宋体" w:hAnsi="宋体" w:eastAsia="宋体" w:cs="宋体"/>
          <w:color w:val="auto"/>
          <w:kern w:val="0"/>
          <w:sz w:val="24"/>
        </w:rPr>
        <w:t>术语</w:t>
      </w:r>
      <w:r>
        <w:rPr>
          <w:rFonts w:hint="eastAsia" w:ascii="Times New Roman" w:hAnsi="Times New Roman" w:cs="Times New Roman"/>
          <w:color w:val="auto"/>
          <w:kern w:val="0"/>
          <w:sz w:val="24"/>
          <w:lang w:eastAsia="zh-CN"/>
        </w:rPr>
        <w:t>、</w:t>
      </w:r>
      <w:r>
        <w:rPr>
          <w:rFonts w:hint="eastAsia" w:ascii="宋体" w:hAnsi="宋体" w:eastAsia="宋体" w:cs="宋体"/>
          <w:color w:val="auto"/>
          <w:kern w:val="0"/>
          <w:sz w:val="24"/>
        </w:rPr>
        <w:t>基本规定</w:t>
      </w:r>
      <w:r>
        <w:rPr>
          <w:rFonts w:hint="eastAsia" w:ascii="宋体" w:hAnsi="宋体" w:cs="宋体"/>
          <w:color w:val="auto"/>
          <w:kern w:val="0"/>
          <w:sz w:val="24"/>
          <w:lang w:eastAsia="zh-CN"/>
        </w:rPr>
        <w:t>、</w:t>
      </w:r>
      <w:r>
        <w:rPr>
          <w:rFonts w:hint="eastAsia" w:ascii="宋体" w:hAnsi="宋体" w:eastAsia="宋体" w:cs="宋体"/>
          <w:color w:val="auto"/>
          <w:kern w:val="0"/>
          <w:sz w:val="24"/>
        </w:rPr>
        <w:t>环境可持续</w:t>
      </w:r>
      <w:r>
        <w:rPr>
          <w:rFonts w:hint="eastAsia" w:ascii="宋体" w:hAnsi="宋体" w:cs="宋体"/>
          <w:color w:val="auto"/>
          <w:kern w:val="0"/>
          <w:sz w:val="24"/>
          <w:lang w:eastAsia="zh-CN"/>
        </w:rPr>
        <w:t>、</w:t>
      </w:r>
      <w:r>
        <w:rPr>
          <w:rFonts w:hint="eastAsia" w:ascii="宋体" w:hAnsi="宋体" w:eastAsia="宋体" w:cs="宋体"/>
          <w:color w:val="auto"/>
          <w:kern w:val="0"/>
          <w:sz w:val="24"/>
        </w:rPr>
        <w:t>资源可持续</w:t>
      </w:r>
      <w:r>
        <w:rPr>
          <w:rFonts w:hint="eastAsia" w:ascii="宋体" w:hAnsi="宋体" w:cs="宋体"/>
          <w:color w:val="auto"/>
          <w:kern w:val="0"/>
          <w:sz w:val="24"/>
          <w:lang w:eastAsia="zh-CN"/>
        </w:rPr>
        <w:t>、</w:t>
      </w:r>
      <w:r>
        <w:rPr>
          <w:rFonts w:hint="eastAsia" w:ascii="宋体" w:hAnsi="宋体" w:eastAsia="宋体" w:cs="宋体"/>
          <w:color w:val="auto"/>
          <w:kern w:val="0"/>
          <w:sz w:val="24"/>
        </w:rPr>
        <w:t>社会可持续</w:t>
      </w:r>
      <w:r>
        <w:rPr>
          <w:rFonts w:hint="eastAsia" w:ascii="宋体" w:hAnsi="宋体" w:cs="宋体"/>
          <w:color w:val="auto"/>
          <w:kern w:val="0"/>
          <w:sz w:val="24"/>
          <w:lang w:eastAsia="zh-CN"/>
        </w:rPr>
        <w:t>、</w:t>
      </w:r>
      <w:r>
        <w:rPr>
          <w:rFonts w:hint="eastAsia" w:ascii="宋体" w:hAnsi="宋体" w:eastAsia="宋体" w:cs="宋体"/>
          <w:color w:val="auto"/>
          <w:kern w:val="0"/>
          <w:sz w:val="24"/>
        </w:rPr>
        <w:t>治理可持续等。</w:t>
      </w:r>
    </w:p>
    <w:p w14:paraId="204CB5D1">
      <w:pPr>
        <w:keepNext w:val="0"/>
        <w:keepLines w:val="0"/>
        <w:widowControl/>
        <w:suppressLineNumbers w:val="0"/>
        <w:spacing w:line="360" w:lineRule="auto"/>
        <w:ind w:firstLine="480" w:firstLineChars="200"/>
        <w:jc w:val="left"/>
        <w:rPr>
          <w:rFonts w:hint="eastAsia" w:ascii="宋体" w:hAnsi="宋体" w:cs="宋体"/>
          <w:color w:val="auto"/>
          <w:kern w:val="0"/>
          <w:sz w:val="24"/>
        </w:rPr>
      </w:pPr>
      <w:r>
        <w:rPr>
          <w:rFonts w:hint="eastAsia" w:ascii="宋体" w:hAnsi="宋体" w:cs="宋体"/>
          <w:color w:val="auto"/>
          <w:kern w:val="0"/>
          <w:sz w:val="24"/>
          <w:szCs w:val="24"/>
          <w:lang w:val="en-US" w:eastAsia="zh-CN" w:bidi="ar"/>
        </w:rPr>
        <w:t>本</w:t>
      </w:r>
      <w:r>
        <w:rPr>
          <w:rFonts w:hint="eastAsia" w:ascii="宋体" w:hAnsi="宋体" w:eastAsia="宋体" w:cs="宋体"/>
          <w:color w:val="auto"/>
          <w:kern w:val="0"/>
          <w:sz w:val="24"/>
          <w:szCs w:val="24"/>
          <w:lang w:val="en-US" w:eastAsia="zh-CN" w:bidi="ar"/>
        </w:rPr>
        <w:t>标准</w:t>
      </w:r>
      <w:r>
        <w:rPr>
          <w:rFonts w:hint="eastAsia" w:ascii="宋体" w:hAnsi="宋体" w:cs="宋体"/>
          <w:color w:val="auto"/>
          <w:kern w:val="0"/>
          <w:sz w:val="24"/>
          <w:szCs w:val="24"/>
          <w:lang w:val="en-US" w:eastAsia="zh-CN" w:bidi="ar"/>
        </w:rPr>
        <w:t>的某些内容</w:t>
      </w:r>
      <w:r>
        <w:rPr>
          <w:rFonts w:hint="eastAsia" w:ascii="宋体" w:hAnsi="宋体" w:eastAsia="宋体" w:cs="宋体"/>
          <w:color w:val="auto"/>
          <w:kern w:val="0"/>
          <w:sz w:val="24"/>
          <w:szCs w:val="24"/>
          <w:lang w:val="en-US" w:eastAsia="zh-CN" w:bidi="ar"/>
        </w:rPr>
        <w:t>内容</w:t>
      </w:r>
      <w:r>
        <w:rPr>
          <w:rFonts w:hint="eastAsia" w:ascii="宋体" w:hAnsi="宋体" w:cs="宋体"/>
          <w:color w:val="auto"/>
          <w:kern w:val="0"/>
          <w:sz w:val="24"/>
          <w:szCs w:val="24"/>
          <w:lang w:val="en-US" w:eastAsia="zh-CN" w:bidi="ar"/>
        </w:rPr>
        <w:t>可能</w:t>
      </w:r>
      <w:r>
        <w:rPr>
          <w:rFonts w:hint="eastAsia" w:ascii="宋体" w:hAnsi="宋体" w:eastAsia="宋体" w:cs="宋体"/>
          <w:color w:val="auto"/>
          <w:kern w:val="0"/>
          <w:sz w:val="24"/>
          <w:szCs w:val="24"/>
          <w:lang w:val="en-US" w:eastAsia="zh-CN" w:bidi="ar"/>
        </w:rPr>
        <w:t>直接或间接涉及专利，本标准的发布机构不承担识别这些专利的责任</w:t>
      </w:r>
      <w:r>
        <w:rPr>
          <w:rFonts w:hint="eastAsia" w:ascii="宋体" w:hAnsi="宋体" w:cs="宋体"/>
          <w:color w:val="auto"/>
          <w:kern w:val="0"/>
          <w:sz w:val="24"/>
          <w:szCs w:val="24"/>
          <w:lang w:val="en-US" w:eastAsia="zh-CN" w:bidi="ar"/>
        </w:rPr>
        <w:t>。</w:t>
      </w:r>
    </w:p>
    <w:p w14:paraId="17D66C40">
      <w:pPr>
        <w:pStyle w:val="5"/>
        <w:keepNext w:val="0"/>
        <w:keepLines w:val="0"/>
        <w:widowControl/>
        <w:suppressLineNumbers w:val="0"/>
        <w:spacing w:line="360" w:lineRule="auto"/>
        <w:jc w:val="left"/>
      </w:pPr>
      <w:r>
        <w:rPr>
          <w:rFonts w:hint="eastAsia"/>
          <w:lang w:val="en-US" w:eastAsia="zh-CN"/>
        </w:rPr>
        <w:t xml:space="preserve">    </w:t>
      </w:r>
      <w:r>
        <w:rPr>
          <w:rFonts w:hint="eastAsia" w:ascii="宋体" w:hAnsi="宋体" w:cs="宋体"/>
          <w:color w:val="auto"/>
          <w:kern w:val="0"/>
          <w:sz w:val="24"/>
          <w:szCs w:val="24"/>
          <w:lang w:val="en-US" w:eastAsia="zh-CN" w:bidi="ar"/>
        </w:rPr>
        <w:t>本标准</w:t>
      </w:r>
      <w:r>
        <w:rPr>
          <w:rFonts w:hint="eastAsia" w:ascii="宋体" w:hAnsi="宋体" w:eastAsia="宋体" w:cs="宋体"/>
          <w:color w:val="auto"/>
          <w:kern w:val="0"/>
          <w:sz w:val="24"/>
          <w:szCs w:val="24"/>
          <w:lang w:val="en-US" w:eastAsia="zh-CN" w:bidi="ar"/>
        </w:rPr>
        <w:t>由中国工程建设标准化协会</w:t>
      </w:r>
      <w:r>
        <w:rPr>
          <w:rFonts w:hint="eastAsia" w:ascii="宋体" w:hAnsi="宋体" w:cs="宋体"/>
          <w:color w:val="auto"/>
          <w:kern w:val="0"/>
          <w:sz w:val="24"/>
          <w:szCs w:val="24"/>
          <w:lang w:val="en-US" w:eastAsia="zh-CN" w:bidi="ar"/>
        </w:rPr>
        <w:t>绿色建造专业委员会</w:t>
      </w:r>
      <w:r>
        <w:rPr>
          <w:rFonts w:hint="eastAsia" w:ascii="宋体" w:hAnsi="宋体" w:eastAsia="宋体" w:cs="宋体"/>
          <w:color w:val="auto"/>
          <w:kern w:val="0"/>
          <w:sz w:val="24"/>
          <w:szCs w:val="24"/>
          <w:lang w:val="en-US" w:eastAsia="zh-CN" w:bidi="ar"/>
        </w:rPr>
        <w:t>归口管理，由中新城镇化（北京）科技有限责任公司负责具体技术内容的解释。执行过程中，如有意见或建议，请反馈给中新城镇化（北京）科技有限责任公司(地址:</w:t>
      </w:r>
      <w:r>
        <w:rPr>
          <w:rFonts w:hint="eastAsia" w:ascii="宋体" w:hAnsi="宋体" w:cs="宋体"/>
          <w:color w:val="auto"/>
          <w:kern w:val="0"/>
          <w:sz w:val="24"/>
          <w:szCs w:val="24"/>
          <w:lang w:val="en-US" w:eastAsia="zh-CN" w:bidi="ar"/>
        </w:rPr>
        <w:t>北京</w:t>
      </w:r>
      <w:r>
        <w:rPr>
          <w:rFonts w:hint="eastAsia" w:ascii="宋体" w:hAnsi="宋体" w:eastAsia="宋体" w:cs="宋体"/>
          <w:color w:val="auto"/>
          <w:kern w:val="0"/>
          <w:sz w:val="24"/>
          <w:szCs w:val="24"/>
          <w:lang w:val="en-US" w:eastAsia="zh-CN" w:bidi="ar"/>
        </w:rPr>
        <w:t>市</w:t>
      </w:r>
      <w:r>
        <w:rPr>
          <w:rFonts w:hint="eastAsia" w:ascii="宋体" w:hAnsi="宋体" w:cs="宋体"/>
          <w:color w:val="auto"/>
          <w:kern w:val="0"/>
          <w:sz w:val="24"/>
          <w:szCs w:val="24"/>
          <w:lang w:val="en-US" w:eastAsia="zh-CN" w:bidi="ar"/>
        </w:rPr>
        <w:t>西城区月坛北小街13号院北楼，</w:t>
      </w:r>
      <w:r>
        <w:rPr>
          <w:rFonts w:hint="eastAsia" w:ascii="宋体" w:hAnsi="宋体" w:eastAsia="宋体" w:cs="宋体"/>
          <w:color w:val="auto"/>
          <w:kern w:val="0"/>
          <w:sz w:val="24"/>
          <w:szCs w:val="24"/>
          <w:lang w:val="en-US" w:eastAsia="zh-CN" w:bidi="ar"/>
        </w:rPr>
        <w:t>邮编</w:t>
      </w:r>
      <w:r>
        <w:rPr>
          <w:rFonts w:hint="eastAsia" w:ascii="宋体" w:hAnsi="宋体" w:cs="宋体"/>
          <w:color w:val="auto"/>
          <w:kern w:val="0"/>
          <w:sz w:val="24"/>
          <w:szCs w:val="24"/>
          <w:lang w:val="en-US" w:eastAsia="zh-CN" w:bidi="ar"/>
        </w:rPr>
        <w:t>：100032）</w:t>
      </w:r>
      <w:r>
        <w:rPr>
          <w:rFonts w:hint="eastAsia" w:ascii="宋体" w:hAnsi="宋体" w:eastAsia="宋体" w:cs="宋体"/>
          <w:color w:val="auto"/>
          <w:kern w:val="0"/>
          <w:sz w:val="24"/>
          <w:szCs w:val="24"/>
          <w:lang w:val="en-US" w:eastAsia="zh-CN" w:bidi="ar"/>
        </w:rPr>
        <w:t>。</w:t>
      </w:r>
      <w:r>
        <w:rPr>
          <w:rFonts w:hint="default" w:ascii="STSong-Light" w:hAnsi="STSong-Light" w:eastAsia="STSong-Light" w:cs="STSong-Light"/>
          <w:color w:val="000000"/>
          <w:kern w:val="0"/>
          <w:sz w:val="20"/>
          <w:szCs w:val="20"/>
          <w:lang w:val="en-US" w:eastAsia="zh-CN" w:bidi="ar"/>
        </w:rPr>
        <w:t xml:space="preserve"> </w:t>
      </w:r>
    </w:p>
    <w:p w14:paraId="0C60921E">
      <w:pPr>
        <w:pStyle w:val="5"/>
        <w:spacing w:line="360" w:lineRule="auto"/>
        <w:rPr>
          <w:rFonts w:hint="eastAsia"/>
        </w:rPr>
      </w:pPr>
    </w:p>
    <w:p w14:paraId="7C37EA0E">
      <w:pPr>
        <w:widowControl/>
        <w:spacing w:line="360" w:lineRule="auto"/>
        <w:ind w:firstLine="480" w:firstLineChars="200"/>
        <w:jc w:val="left"/>
        <w:rPr>
          <w:rFonts w:ascii="宋体" w:hAnsi="宋体" w:eastAsia="宋体" w:cs="宋体"/>
          <w:color w:val="auto"/>
          <w:kern w:val="0"/>
          <w:sz w:val="24"/>
        </w:rPr>
      </w:pPr>
      <w:r>
        <w:rPr>
          <w:rFonts w:hint="eastAsia" w:ascii="宋体" w:hAnsi="宋体" w:eastAsia="宋体" w:cs="宋体"/>
          <w:color w:val="auto"/>
          <w:kern w:val="0"/>
          <w:sz w:val="24"/>
        </w:rPr>
        <w:t xml:space="preserve">主编单位： </w:t>
      </w:r>
    </w:p>
    <w:p w14:paraId="6867CBAD">
      <w:pPr>
        <w:widowControl/>
        <w:spacing w:line="360" w:lineRule="auto"/>
        <w:ind w:firstLine="480" w:firstLineChars="200"/>
        <w:jc w:val="left"/>
        <w:rPr>
          <w:rFonts w:ascii="宋体" w:hAnsi="宋体" w:eastAsia="宋体" w:cs="宋体"/>
          <w:color w:val="auto"/>
          <w:kern w:val="0"/>
          <w:sz w:val="24"/>
        </w:rPr>
      </w:pPr>
    </w:p>
    <w:p w14:paraId="0EE3ABDE">
      <w:pPr>
        <w:widowControl/>
        <w:spacing w:line="360" w:lineRule="auto"/>
        <w:ind w:firstLine="480" w:firstLineChars="200"/>
        <w:jc w:val="left"/>
        <w:rPr>
          <w:rFonts w:ascii="宋体" w:hAnsi="宋体" w:eastAsia="宋体" w:cs="宋体"/>
          <w:color w:val="auto"/>
          <w:kern w:val="0"/>
          <w:sz w:val="24"/>
        </w:rPr>
      </w:pPr>
      <w:r>
        <w:rPr>
          <w:rFonts w:hint="eastAsia" w:ascii="宋体" w:hAnsi="宋体" w:eastAsia="宋体" w:cs="宋体"/>
          <w:color w:val="auto"/>
          <w:kern w:val="0"/>
          <w:sz w:val="24"/>
        </w:rPr>
        <w:t xml:space="preserve">参编单位： </w:t>
      </w:r>
    </w:p>
    <w:p w14:paraId="19400396">
      <w:pPr>
        <w:widowControl/>
        <w:spacing w:line="360" w:lineRule="auto"/>
        <w:ind w:firstLine="480" w:firstLineChars="200"/>
        <w:jc w:val="left"/>
        <w:rPr>
          <w:rFonts w:ascii="宋体" w:hAnsi="宋体" w:eastAsia="宋体" w:cs="宋体"/>
          <w:color w:val="auto"/>
          <w:kern w:val="0"/>
          <w:sz w:val="24"/>
        </w:rPr>
      </w:pPr>
    </w:p>
    <w:p w14:paraId="285B914B">
      <w:pPr>
        <w:widowControl/>
        <w:spacing w:line="360" w:lineRule="auto"/>
        <w:ind w:firstLine="480" w:firstLineChars="200"/>
        <w:jc w:val="left"/>
        <w:rPr>
          <w:rFonts w:ascii="宋体" w:hAnsi="宋体" w:eastAsia="宋体" w:cs="宋体"/>
          <w:color w:val="auto"/>
          <w:kern w:val="0"/>
          <w:sz w:val="24"/>
        </w:rPr>
      </w:pPr>
      <w:r>
        <w:rPr>
          <w:rFonts w:hint="eastAsia" w:ascii="宋体" w:hAnsi="宋体" w:eastAsia="宋体" w:cs="宋体"/>
          <w:color w:val="auto"/>
          <w:kern w:val="0"/>
          <w:sz w:val="24"/>
        </w:rPr>
        <w:t xml:space="preserve">主要起草人： </w:t>
      </w:r>
    </w:p>
    <w:p w14:paraId="38F14A57">
      <w:pPr>
        <w:widowControl/>
        <w:spacing w:line="360" w:lineRule="auto"/>
        <w:ind w:firstLine="480" w:firstLineChars="200"/>
        <w:jc w:val="left"/>
        <w:rPr>
          <w:rFonts w:ascii="宋体" w:hAnsi="宋体" w:eastAsia="宋体" w:cs="宋体"/>
          <w:color w:val="auto"/>
          <w:kern w:val="0"/>
          <w:sz w:val="24"/>
        </w:rPr>
      </w:pPr>
    </w:p>
    <w:p w14:paraId="179BC4C4">
      <w:pPr>
        <w:widowControl/>
        <w:spacing w:line="360" w:lineRule="auto"/>
        <w:ind w:firstLine="480" w:firstLineChars="200"/>
        <w:jc w:val="left"/>
        <w:rPr>
          <w:rFonts w:hint="eastAsia" w:ascii="宋体" w:hAnsi="宋体" w:eastAsia="宋体" w:cs="宋体"/>
          <w:color w:val="auto"/>
          <w:kern w:val="0"/>
          <w:sz w:val="24"/>
        </w:rPr>
      </w:pPr>
      <w:r>
        <w:rPr>
          <w:rFonts w:hint="eastAsia" w:ascii="宋体" w:hAnsi="宋体" w:eastAsia="宋体" w:cs="宋体"/>
          <w:color w:val="auto"/>
          <w:kern w:val="0"/>
          <w:sz w:val="24"/>
        </w:rPr>
        <w:t>主要审查人：</w:t>
      </w:r>
    </w:p>
    <w:p w14:paraId="75E66556">
      <w:pPr>
        <w:widowControl/>
        <w:spacing w:line="360" w:lineRule="auto"/>
        <w:ind w:firstLine="480" w:firstLineChars="200"/>
        <w:jc w:val="left"/>
        <w:rPr>
          <w:rFonts w:hint="eastAsia" w:ascii="宋体" w:hAnsi="宋体" w:eastAsia="宋体" w:cs="宋体"/>
          <w:color w:val="auto"/>
          <w:kern w:val="0"/>
          <w:sz w:val="24"/>
        </w:rPr>
      </w:pPr>
    </w:p>
    <w:p w14:paraId="1C2AF25D">
      <w:pPr>
        <w:widowControl/>
        <w:spacing w:line="360" w:lineRule="auto"/>
        <w:ind w:firstLine="480" w:firstLineChars="200"/>
        <w:jc w:val="left"/>
        <w:rPr>
          <w:rFonts w:hint="eastAsia" w:ascii="宋体" w:hAnsi="宋体" w:eastAsia="宋体" w:cs="宋体"/>
          <w:color w:val="auto"/>
          <w:kern w:val="0"/>
          <w:sz w:val="24"/>
        </w:rPr>
        <w:sectPr>
          <w:pgSz w:w="11906" w:h="16838"/>
          <w:pgMar w:top="1440" w:right="1800" w:bottom="1440" w:left="1800" w:header="851" w:footer="992" w:gutter="0"/>
          <w:pgNumType w:fmt="decimal" w:start="1"/>
          <w:cols w:space="720" w:num="1"/>
          <w:docGrid w:type="lines" w:linePitch="312" w:charSpace="0"/>
        </w:sectPr>
      </w:pPr>
    </w:p>
    <w:sdt>
      <w:sdtPr>
        <w:rPr>
          <w:rFonts w:ascii="宋体" w:hAnsi="宋体" w:eastAsia="宋体" w:cs="黑体"/>
          <w:kern w:val="2"/>
          <w:sz w:val="21"/>
          <w:szCs w:val="24"/>
          <w:lang w:val="en-US" w:eastAsia="zh-CN" w:bidi="ar-SA"/>
        </w:rPr>
        <w:id w:val="147480999"/>
        <w15:color w:val="DBDBDB"/>
        <w:docPartObj>
          <w:docPartGallery w:val="Table of Contents"/>
          <w:docPartUnique/>
        </w:docPartObj>
      </w:sdtPr>
      <w:sdtEndPr>
        <w:rPr>
          <w:rFonts w:ascii="宋体" w:hAnsi="宋体" w:eastAsia="宋体" w:cs="黑体"/>
          <w:kern w:val="2"/>
          <w:sz w:val="21"/>
          <w:szCs w:val="24"/>
          <w:lang w:val="en-US" w:eastAsia="zh-CN" w:bidi="ar-SA"/>
        </w:rPr>
      </w:sdtEndPr>
      <w:sdtContent>
        <w:p w14:paraId="636FD345">
          <w:pPr>
            <w:spacing w:before="0" w:beforeLines="0" w:after="0" w:afterLines="0" w:line="240" w:lineRule="auto"/>
            <w:ind w:left="0" w:leftChars="0" w:right="0" w:rightChars="0" w:firstLine="0" w:firstLineChars="0"/>
            <w:jc w:val="center"/>
            <w:rPr>
              <w:rFonts w:hint="eastAsia" w:eastAsia="宋体"/>
              <w:lang w:val="en-US" w:eastAsia="zh-CN"/>
            </w:rPr>
          </w:pPr>
          <w:r>
            <w:rPr>
              <w:rFonts w:ascii="宋体" w:hAnsi="宋体" w:eastAsia="宋体"/>
              <w:sz w:val="21"/>
            </w:rPr>
            <w:t>目</w:t>
          </w:r>
          <w:r>
            <w:rPr>
              <w:rFonts w:hint="eastAsia" w:ascii="宋体" w:hAnsi="宋体"/>
              <w:sz w:val="21"/>
              <w:lang w:val="en-US" w:eastAsia="zh-CN"/>
            </w:rPr>
            <w:t xml:space="preserve"> </w:t>
          </w:r>
          <w:r>
            <w:rPr>
              <w:rFonts w:hint="eastAsia" w:ascii="宋体" w:hAnsi="宋体" w:eastAsia="宋体"/>
              <w:sz w:val="21"/>
              <w:lang w:val="en-US" w:eastAsia="zh-CN"/>
            </w:rPr>
            <w:t>次</w:t>
          </w:r>
        </w:p>
        <w:p w14:paraId="6E11DD1A">
          <w:pPr>
            <w:pStyle w:val="10"/>
            <w:tabs>
              <w:tab w:val="right" w:leader="dot" w:pos="8306"/>
            </w:tabs>
            <w:rPr>
              <w:rFonts w:hint="eastAsia" w:ascii="宋体" w:hAnsi="宋体" w:cs="宋体"/>
            </w:rPr>
          </w:pPr>
          <w:r>
            <w:rPr>
              <w:rFonts w:hint="eastAsia" w:ascii="宋体" w:hAnsi="宋体" w:cs="宋体"/>
            </w:rPr>
            <w:fldChar w:fldCharType="begin"/>
          </w:r>
          <w:r>
            <w:rPr>
              <w:rFonts w:hint="eastAsia" w:ascii="宋体" w:hAnsi="宋体" w:cs="宋体"/>
            </w:rPr>
            <w:instrText xml:space="preserve">TOC \o "1-2" \h \u </w:instrText>
          </w:r>
          <w:r>
            <w:rPr>
              <w:rFonts w:hint="eastAsia" w:ascii="宋体" w:hAnsi="宋体" w:cs="宋体"/>
            </w:rPr>
            <w:fldChar w:fldCharType="separate"/>
          </w:r>
          <w:r>
            <w:rPr>
              <w:rFonts w:hint="eastAsia" w:ascii="宋体" w:hAnsi="宋体" w:cs="宋体"/>
            </w:rPr>
            <w:fldChar w:fldCharType="begin"/>
          </w:r>
          <w:r>
            <w:rPr>
              <w:rFonts w:hint="eastAsia" w:ascii="宋体" w:hAnsi="宋体" w:cs="宋体"/>
            </w:rPr>
            <w:instrText xml:space="preserve"> HYPERLINK \l _Toc9340 </w:instrText>
          </w:r>
          <w:r>
            <w:rPr>
              <w:rFonts w:hint="eastAsia" w:ascii="宋体" w:hAnsi="宋体" w:cs="宋体"/>
            </w:rPr>
            <w:fldChar w:fldCharType="separate"/>
          </w:r>
          <w:r>
            <w:rPr>
              <w:rFonts w:hint="eastAsia" w:ascii="宋体" w:hAnsi="宋体" w:eastAsia="宋体" w:cs="宋体"/>
              <w:bCs/>
              <w:szCs w:val="30"/>
            </w:rPr>
            <w:t>1 总 则</w:t>
          </w:r>
          <w:r>
            <w:rPr>
              <w:rFonts w:hint="eastAsia" w:ascii="宋体" w:hAnsi="宋体" w:cs="宋体"/>
            </w:rPr>
            <w:tab/>
          </w:r>
          <w:r>
            <w:rPr>
              <w:rFonts w:hint="eastAsia" w:ascii="宋体" w:hAnsi="宋体" w:cs="宋体"/>
            </w:rPr>
            <w:fldChar w:fldCharType="begin"/>
          </w:r>
          <w:r>
            <w:rPr>
              <w:rFonts w:hint="eastAsia" w:ascii="宋体" w:hAnsi="宋体" w:cs="宋体"/>
            </w:rPr>
            <w:instrText xml:space="preserve"> PAGEREF _Toc9340 \h </w:instrText>
          </w:r>
          <w:r>
            <w:rPr>
              <w:rFonts w:hint="eastAsia" w:ascii="宋体" w:hAnsi="宋体" w:cs="宋体"/>
            </w:rPr>
            <w:fldChar w:fldCharType="separate"/>
          </w:r>
          <w:r>
            <w:rPr>
              <w:rFonts w:hint="eastAsia" w:ascii="宋体" w:hAnsi="宋体" w:cs="宋体"/>
            </w:rPr>
            <w:t>1</w:t>
          </w:r>
          <w:r>
            <w:rPr>
              <w:rFonts w:hint="eastAsia" w:ascii="宋体" w:hAnsi="宋体" w:cs="宋体"/>
            </w:rPr>
            <w:fldChar w:fldCharType="end"/>
          </w:r>
          <w:r>
            <w:rPr>
              <w:rFonts w:hint="eastAsia" w:ascii="宋体" w:hAnsi="宋体" w:cs="宋体"/>
            </w:rPr>
            <w:fldChar w:fldCharType="end"/>
          </w:r>
        </w:p>
        <w:p w14:paraId="0601BA69">
          <w:pPr>
            <w:pStyle w:val="10"/>
            <w:tabs>
              <w:tab w:val="right" w:leader="dot" w:pos="8306"/>
            </w:tabs>
            <w:rPr>
              <w:rFonts w:hint="eastAsia" w:ascii="宋体" w:hAnsi="宋体" w:cs="宋体"/>
            </w:rPr>
          </w:pPr>
          <w:r>
            <w:rPr>
              <w:rFonts w:hint="eastAsia" w:ascii="宋体" w:hAnsi="宋体" w:cs="宋体"/>
            </w:rPr>
            <w:fldChar w:fldCharType="begin"/>
          </w:r>
          <w:r>
            <w:rPr>
              <w:rFonts w:hint="eastAsia" w:ascii="宋体" w:hAnsi="宋体" w:cs="宋体"/>
            </w:rPr>
            <w:instrText xml:space="preserve"> HYPERLINK \l _Toc4816 </w:instrText>
          </w:r>
          <w:r>
            <w:rPr>
              <w:rFonts w:hint="eastAsia" w:ascii="宋体" w:hAnsi="宋体" w:cs="宋体"/>
            </w:rPr>
            <w:fldChar w:fldCharType="separate"/>
          </w:r>
          <w:r>
            <w:rPr>
              <w:rFonts w:hint="eastAsia" w:ascii="宋体" w:hAnsi="宋体" w:eastAsia="宋体" w:cs="宋体"/>
              <w:bCs/>
              <w:szCs w:val="30"/>
            </w:rPr>
            <w:t>2 术 语</w:t>
          </w:r>
          <w:r>
            <w:rPr>
              <w:rFonts w:hint="eastAsia" w:ascii="宋体" w:hAnsi="宋体" w:cs="宋体"/>
            </w:rPr>
            <w:tab/>
          </w:r>
          <w:r>
            <w:rPr>
              <w:rFonts w:hint="eastAsia" w:ascii="宋体" w:hAnsi="宋体" w:cs="宋体"/>
            </w:rPr>
            <w:fldChar w:fldCharType="begin"/>
          </w:r>
          <w:r>
            <w:rPr>
              <w:rFonts w:hint="eastAsia" w:ascii="宋体" w:hAnsi="宋体" w:cs="宋体"/>
            </w:rPr>
            <w:instrText xml:space="preserve"> PAGEREF _Toc4816 \h </w:instrText>
          </w:r>
          <w:r>
            <w:rPr>
              <w:rFonts w:hint="eastAsia" w:ascii="宋体" w:hAnsi="宋体" w:cs="宋体"/>
            </w:rPr>
            <w:fldChar w:fldCharType="separate"/>
          </w:r>
          <w:r>
            <w:rPr>
              <w:rFonts w:hint="eastAsia" w:ascii="宋体" w:hAnsi="宋体" w:cs="宋体"/>
            </w:rPr>
            <w:t>2</w:t>
          </w:r>
          <w:r>
            <w:rPr>
              <w:rFonts w:hint="eastAsia" w:ascii="宋体" w:hAnsi="宋体" w:cs="宋体"/>
            </w:rPr>
            <w:fldChar w:fldCharType="end"/>
          </w:r>
          <w:r>
            <w:rPr>
              <w:rFonts w:hint="eastAsia" w:ascii="宋体" w:hAnsi="宋体" w:cs="宋体"/>
            </w:rPr>
            <w:fldChar w:fldCharType="end"/>
          </w:r>
        </w:p>
        <w:p w14:paraId="4F150170">
          <w:pPr>
            <w:pStyle w:val="10"/>
            <w:tabs>
              <w:tab w:val="right" w:leader="dot" w:pos="8306"/>
            </w:tabs>
            <w:rPr>
              <w:rFonts w:hint="eastAsia" w:ascii="宋体" w:hAnsi="宋体" w:cs="宋体"/>
            </w:rPr>
          </w:pPr>
          <w:r>
            <w:rPr>
              <w:rFonts w:hint="eastAsia" w:ascii="宋体" w:hAnsi="宋体" w:cs="宋体"/>
            </w:rPr>
            <w:fldChar w:fldCharType="begin"/>
          </w:r>
          <w:r>
            <w:rPr>
              <w:rFonts w:hint="eastAsia" w:ascii="宋体" w:hAnsi="宋体" w:cs="宋体"/>
            </w:rPr>
            <w:instrText xml:space="preserve"> HYPERLINK \l _Toc23384 </w:instrText>
          </w:r>
          <w:r>
            <w:rPr>
              <w:rFonts w:hint="eastAsia" w:ascii="宋体" w:hAnsi="宋体" w:cs="宋体"/>
            </w:rPr>
            <w:fldChar w:fldCharType="separate"/>
          </w:r>
          <w:r>
            <w:rPr>
              <w:rFonts w:hint="eastAsia" w:ascii="宋体" w:hAnsi="宋体" w:eastAsia="宋体" w:cs="宋体"/>
              <w:bCs/>
              <w:szCs w:val="30"/>
            </w:rPr>
            <w:t>3 基本规定</w:t>
          </w:r>
          <w:r>
            <w:rPr>
              <w:rFonts w:hint="eastAsia" w:ascii="宋体" w:hAnsi="宋体" w:cs="宋体"/>
            </w:rPr>
            <w:tab/>
          </w:r>
          <w:r>
            <w:rPr>
              <w:rFonts w:hint="eastAsia" w:ascii="宋体" w:hAnsi="宋体" w:cs="宋体"/>
            </w:rPr>
            <w:fldChar w:fldCharType="begin"/>
          </w:r>
          <w:r>
            <w:rPr>
              <w:rFonts w:hint="eastAsia" w:ascii="宋体" w:hAnsi="宋体" w:cs="宋体"/>
            </w:rPr>
            <w:instrText xml:space="preserve"> PAGEREF _Toc23384 \h </w:instrText>
          </w:r>
          <w:r>
            <w:rPr>
              <w:rFonts w:hint="eastAsia" w:ascii="宋体" w:hAnsi="宋体" w:cs="宋体"/>
            </w:rPr>
            <w:fldChar w:fldCharType="separate"/>
          </w:r>
          <w:r>
            <w:rPr>
              <w:rFonts w:hint="eastAsia" w:ascii="宋体" w:hAnsi="宋体" w:cs="宋体"/>
            </w:rPr>
            <w:t>5</w:t>
          </w:r>
          <w:r>
            <w:rPr>
              <w:rFonts w:hint="eastAsia" w:ascii="宋体" w:hAnsi="宋体" w:cs="宋体"/>
            </w:rPr>
            <w:fldChar w:fldCharType="end"/>
          </w:r>
          <w:r>
            <w:rPr>
              <w:rFonts w:hint="eastAsia" w:ascii="宋体" w:hAnsi="宋体" w:cs="宋体"/>
            </w:rPr>
            <w:fldChar w:fldCharType="end"/>
          </w:r>
        </w:p>
        <w:p w14:paraId="4CF3A8C1">
          <w:pPr>
            <w:pStyle w:val="11"/>
            <w:tabs>
              <w:tab w:val="right" w:leader="dot" w:pos="8306"/>
            </w:tabs>
            <w:rPr>
              <w:rFonts w:hint="eastAsia" w:ascii="宋体" w:hAnsi="宋体" w:cs="宋体"/>
            </w:rPr>
          </w:pPr>
          <w:r>
            <w:rPr>
              <w:rFonts w:hint="eastAsia" w:ascii="宋体" w:hAnsi="宋体" w:cs="宋体"/>
            </w:rPr>
            <w:fldChar w:fldCharType="begin"/>
          </w:r>
          <w:r>
            <w:rPr>
              <w:rFonts w:hint="eastAsia" w:ascii="宋体" w:hAnsi="宋体" w:cs="宋体"/>
            </w:rPr>
            <w:instrText xml:space="preserve"> HYPERLINK \l _Toc6949 </w:instrText>
          </w:r>
          <w:r>
            <w:rPr>
              <w:rFonts w:hint="eastAsia" w:ascii="宋体" w:hAnsi="宋体" w:cs="宋体"/>
            </w:rPr>
            <w:fldChar w:fldCharType="separate"/>
          </w:r>
          <w:r>
            <w:rPr>
              <w:rFonts w:hint="eastAsia" w:ascii="宋体" w:hAnsi="宋体" w:eastAsia="宋体" w:cs="宋体"/>
              <w:bCs/>
              <w:szCs w:val="28"/>
            </w:rPr>
            <w:t>3.1 一般规定</w:t>
          </w:r>
          <w:r>
            <w:rPr>
              <w:rFonts w:hint="eastAsia" w:ascii="宋体" w:hAnsi="宋体" w:cs="宋体"/>
            </w:rPr>
            <w:tab/>
          </w:r>
          <w:r>
            <w:rPr>
              <w:rFonts w:hint="eastAsia" w:ascii="宋体" w:hAnsi="宋体" w:cs="宋体"/>
            </w:rPr>
            <w:fldChar w:fldCharType="begin"/>
          </w:r>
          <w:r>
            <w:rPr>
              <w:rFonts w:hint="eastAsia" w:ascii="宋体" w:hAnsi="宋体" w:cs="宋体"/>
            </w:rPr>
            <w:instrText xml:space="preserve"> PAGEREF _Toc6949 \h </w:instrText>
          </w:r>
          <w:r>
            <w:rPr>
              <w:rFonts w:hint="eastAsia" w:ascii="宋体" w:hAnsi="宋体" w:cs="宋体"/>
            </w:rPr>
            <w:fldChar w:fldCharType="separate"/>
          </w:r>
          <w:r>
            <w:rPr>
              <w:rFonts w:hint="eastAsia" w:ascii="宋体" w:hAnsi="宋体" w:cs="宋体"/>
            </w:rPr>
            <w:t>5</w:t>
          </w:r>
          <w:r>
            <w:rPr>
              <w:rFonts w:hint="eastAsia" w:ascii="宋体" w:hAnsi="宋体" w:cs="宋体"/>
            </w:rPr>
            <w:fldChar w:fldCharType="end"/>
          </w:r>
          <w:r>
            <w:rPr>
              <w:rFonts w:hint="eastAsia" w:ascii="宋体" w:hAnsi="宋体" w:cs="宋体"/>
            </w:rPr>
            <w:fldChar w:fldCharType="end"/>
          </w:r>
        </w:p>
        <w:p w14:paraId="780E29CA">
          <w:pPr>
            <w:pStyle w:val="11"/>
            <w:tabs>
              <w:tab w:val="right" w:leader="dot" w:pos="8306"/>
            </w:tabs>
            <w:rPr>
              <w:rFonts w:hint="eastAsia" w:ascii="宋体" w:hAnsi="宋体" w:cs="宋体"/>
            </w:rPr>
          </w:pPr>
          <w:r>
            <w:rPr>
              <w:rFonts w:hint="eastAsia" w:ascii="宋体" w:hAnsi="宋体" w:cs="宋体"/>
            </w:rPr>
            <w:fldChar w:fldCharType="begin"/>
          </w:r>
          <w:r>
            <w:rPr>
              <w:rFonts w:hint="eastAsia" w:ascii="宋体" w:hAnsi="宋体" w:cs="宋体"/>
            </w:rPr>
            <w:instrText xml:space="preserve"> HYPERLINK \l _Toc21445 </w:instrText>
          </w:r>
          <w:r>
            <w:rPr>
              <w:rFonts w:hint="eastAsia" w:ascii="宋体" w:hAnsi="宋体" w:cs="宋体"/>
            </w:rPr>
            <w:fldChar w:fldCharType="separate"/>
          </w:r>
          <w:r>
            <w:rPr>
              <w:rFonts w:hint="eastAsia" w:ascii="宋体" w:hAnsi="宋体" w:eastAsia="宋体" w:cs="宋体"/>
              <w:bCs/>
              <w:szCs w:val="28"/>
            </w:rPr>
            <w:t xml:space="preserve">3.2 </w:t>
          </w:r>
          <w:r>
            <w:rPr>
              <w:rFonts w:hint="eastAsia" w:ascii="宋体" w:hAnsi="宋体" w:eastAsia="宋体" w:cs="宋体"/>
              <w:bCs/>
              <w:szCs w:val="28"/>
              <w:lang w:val="en-US" w:eastAsia="zh-CN"/>
            </w:rPr>
            <w:t>评价与等级划分</w:t>
          </w:r>
          <w:r>
            <w:rPr>
              <w:rFonts w:hint="eastAsia" w:ascii="宋体" w:hAnsi="宋体" w:cs="宋体"/>
            </w:rPr>
            <w:tab/>
          </w:r>
          <w:r>
            <w:rPr>
              <w:rFonts w:hint="eastAsia" w:ascii="宋体" w:hAnsi="宋体" w:cs="宋体"/>
            </w:rPr>
            <w:fldChar w:fldCharType="begin"/>
          </w:r>
          <w:r>
            <w:rPr>
              <w:rFonts w:hint="eastAsia" w:ascii="宋体" w:hAnsi="宋体" w:cs="宋体"/>
            </w:rPr>
            <w:instrText xml:space="preserve"> PAGEREF _Toc21445 \h </w:instrText>
          </w:r>
          <w:r>
            <w:rPr>
              <w:rFonts w:hint="eastAsia" w:ascii="宋体" w:hAnsi="宋体" w:cs="宋体"/>
            </w:rPr>
            <w:fldChar w:fldCharType="separate"/>
          </w:r>
          <w:r>
            <w:rPr>
              <w:rFonts w:hint="eastAsia" w:ascii="宋体" w:hAnsi="宋体" w:cs="宋体"/>
            </w:rPr>
            <w:t>5</w:t>
          </w:r>
          <w:r>
            <w:rPr>
              <w:rFonts w:hint="eastAsia" w:ascii="宋体" w:hAnsi="宋体" w:cs="宋体"/>
            </w:rPr>
            <w:fldChar w:fldCharType="end"/>
          </w:r>
          <w:r>
            <w:rPr>
              <w:rFonts w:hint="eastAsia" w:ascii="宋体" w:hAnsi="宋体" w:cs="宋体"/>
            </w:rPr>
            <w:fldChar w:fldCharType="end"/>
          </w:r>
        </w:p>
        <w:p w14:paraId="4EEA6D34">
          <w:pPr>
            <w:pStyle w:val="10"/>
            <w:tabs>
              <w:tab w:val="right" w:leader="dot" w:pos="8306"/>
            </w:tabs>
            <w:rPr>
              <w:rFonts w:hint="eastAsia" w:ascii="宋体" w:hAnsi="宋体" w:cs="宋体"/>
            </w:rPr>
          </w:pPr>
          <w:r>
            <w:rPr>
              <w:rFonts w:hint="eastAsia" w:ascii="宋体" w:hAnsi="宋体" w:cs="宋体"/>
            </w:rPr>
            <w:fldChar w:fldCharType="begin"/>
          </w:r>
          <w:r>
            <w:rPr>
              <w:rFonts w:hint="eastAsia" w:ascii="宋体" w:hAnsi="宋体" w:cs="宋体"/>
            </w:rPr>
            <w:instrText xml:space="preserve"> HYPERLINK \l _Toc13634 </w:instrText>
          </w:r>
          <w:r>
            <w:rPr>
              <w:rFonts w:hint="eastAsia" w:ascii="宋体" w:hAnsi="宋体" w:cs="宋体"/>
            </w:rPr>
            <w:fldChar w:fldCharType="separate"/>
          </w:r>
          <w:r>
            <w:rPr>
              <w:rFonts w:hint="eastAsia" w:ascii="宋体" w:hAnsi="宋体" w:eastAsia="宋体" w:cs="宋体"/>
              <w:bCs/>
              <w:szCs w:val="30"/>
            </w:rPr>
            <w:t>4 环境可持续</w:t>
          </w:r>
          <w:r>
            <w:rPr>
              <w:rFonts w:hint="eastAsia" w:ascii="宋体" w:hAnsi="宋体" w:cs="宋体"/>
            </w:rPr>
            <w:tab/>
          </w:r>
          <w:r>
            <w:rPr>
              <w:rFonts w:hint="eastAsia" w:ascii="宋体" w:hAnsi="宋体" w:cs="宋体"/>
            </w:rPr>
            <w:fldChar w:fldCharType="begin"/>
          </w:r>
          <w:r>
            <w:rPr>
              <w:rFonts w:hint="eastAsia" w:ascii="宋体" w:hAnsi="宋体" w:cs="宋体"/>
            </w:rPr>
            <w:instrText xml:space="preserve"> PAGEREF _Toc13634 \h </w:instrText>
          </w:r>
          <w:r>
            <w:rPr>
              <w:rFonts w:hint="eastAsia" w:ascii="宋体" w:hAnsi="宋体" w:cs="宋体"/>
            </w:rPr>
            <w:fldChar w:fldCharType="separate"/>
          </w:r>
          <w:r>
            <w:rPr>
              <w:rFonts w:hint="eastAsia" w:ascii="宋体" w:hAnsi="宋体" w:cs="宋体"/>
            </w:rPr>
            <w:t>7</w:t>
          </w:r>
          <w:r>
            <w:rPr>
              <w:rFonts w:hint="eastAsia" w:ascii="宋体" w:hAnsi="宋体" w:cs="宋体"/>
            </w:rPr>
            <w:fldChar w:fldCharType="end"/>
          </w:r>
          <w:r>
            <w:rPr>
              <w:rFonts w:hint="eastAsia" w:ascii="宋体" w:hAnsi="宋体" w:cs="宋体"/>
            </w:rPr>
            <w:fldChar w:fldCharType="end"/>
          </w:r>
        </w:p>
        <w:p w14:paraId="58BABB2F">
          <w:pPr>
            <w:pStyle w:val="11"/>
            <w:tabs>
              <w:tab w:val="right" w:leader="dot" w:pos="8306"/>
            </w:tabs>
            <w:rPr>
              <w:rFonts w:hint="eastAsia" w:ascii="宋体" w:hAnsi="宋体" w:cs="宋体"/>
            </w:rPr>
          </w:pPr>
          <w:r>
            <w:rPr>
              <w:rFonts w:hint="eastAsia" w:ascii="宋体" w:hAnsi="宋体" w:cs="宋体"/>
            </w:rPr>
            <w:fldChar w:fldCharType="begin"/>
          </w:r>
          <w:r>
            <w:rPr>
              <w:rFonts w:hint="eastAsia" w:ascii="宋体" w:hAnsi="宋体" w:cs="宋体"/>
            </w:rPr>
            <w:instrText xml:space="preserve"> HYPERLINK \l _Toc21600 </w:instrText>
          </w:r>
          <w:r>
            <w:rPr>
              <w:rFonts w:hint="eastAsia" w:ascii="宋体" w:hAnsi="宋体" w:cs="宋体"/>
            </w:rPr>
            <w:fldChar w:fldCharType="separate"/>
          </w:r>
          <w:r>
            <w:rPr>
              <w:rFonts w:hint="eastAsia" w:ascii="宋体" w:hAnsi="宋体" w:eastAsia="宋体" w:cs="宋体"/>
              <w:bCs/>
              <w:szCs w:val="28"/>
            </w:rPr>
            <w:t>4.1 控制项</w:t>
          </w:r>
          <w:r>
            <w:rPr>
              <w:rFonts w:hint="eastAsia" w:ascii="宋体" w:hAnsi="宋体" w:cs="宋体"/>
            </w:rPr>
            <w:tab/>
          </w:r>
          <w:r>
            <w:rPr>
              <w:rFonts w:hint="eastAsia" w:ascii="宋体" w:hAnsi="宋体" w:cs="宋体"/>
            </w:rPr>
            <w:fldChar w:fldCharType="begin"/>
          </w:r>
          <w:r>
            <w:rPr>
              <w:rFonts w:hint="eastAsia" w:ascii="宋体" w:hAnsi="宋体" w:cs="宋体"/>
            </w:rPr>
            <w:instrText xml:space="preserve"> PAGEREF _Toc21600 \h </w:instrText>
          </w:r>
          <w:r>
            <w:rPr>
              <w:rFonts w:hint="eastAsia" w:ascii="宋体" w:hAnsi="宋体" w:cs="宋体"/>
            </w:rPr>
            <w:fldChar w:fldCharType="separate"/>
          </w:r>
          <w:r>
            <w:rPr>
              <w:rFonts w:hint="eastAsia" w:ascii="宋体" w:hAnsi="宋体" w:cs="宋体"/>
            </w:rPr>
            <w:t>7</w:t>
          </w:r>
          <w:r>
            <w:rPr>
              <w:rFonts w:hint="eastAsia" w:ascii="宋体" w:hAnsi="宋体" w:cs="宋体"/>
            </w:rPr>
            <w:fldChar w:fldCharType="end"/>
          </w:r>
          <w:r>
            <w:rPr>
              <w:rFonts w:hint="eastAsia" w:ascii="宋体" w:hAnsi="宋体" w:cs="宋体"/>
            </w:rPr>
            <w:fldChar w:fldCharType="end"/>
          </w:r>
        </w:p>
        <w:p w14:paraId="60338098">
          <w:pPr>
            <w:pStyle w:val="11"/>
            <w:tabs>
              <w:tab w:val="right" w:leader="dot" w:pos="8306"/>
            </w:tabs>
            <w:rPr>
              <w:rFonts w:hint="eastAsia" w:ascii="宋体" w:hAnsi="宋体" w:cs="宋体"/>
            </w:rPr>
          </w:pPr>
          <w:r>
            <w:rPr>
              <w:rFonts w:hint="eastAsia" w:ascii="宋体" w:hAnsi="宋体" w:cs="宋体"/>
            </w:rPr>
            <w:fldChar w:fldCharType="begin"/>
          </w:r>
          <w:r>
            <w:rPr>
              <w:rFonts w:hint="eastAsia" w:ascii="宋体" w:hAnsi="宋体" w:cs="宋体"/>
            </w:rPr>
            <w:instrText xml:space="preserve"> HYPERLINK \l _Toc15153 </w:instrText>
          </w:r>
          <w:r>
            <w:rPr>
              <w:rFonts w:hint="eastAsia" w:ascii="宋体" w:hAnsi="宋体" w:cs="宋体"/>
            </w:rPr>
            <w:fldChar w:fldCharType="separate"/>
          </w:r>
          <w:r>
            <w:rPr>
              <w:rFonts w:hint="eastAsia" w:ascii="宋体" w:hAnsi="宋体" w:eastAsia="宋体" w:cs="宋体"/>
              <w:bCs/>
              <w:szCs w:val="28"/>
            </w:rPr>
            <w:t>4.2 评分项</w:t>
          </w:r>
          <w:r>
            <w:rPr>
              <w:rFonts w:hint="eastAsia" w:ascii="宋体" w:hAnsi="宋体" w:cs="宋体"/>
            </w:rPr>
            <w:tab/>
          </w:r>
          <w:r>
            <w:rPr>
              <w:rFonts w:hint="eastAsia" w:ascii="宋体" w:hAnsi="宋体" w:cs="宋体"/>
            </w:rPr>
            <w:fldChar w:fldCharType="begin"/>
          </w:r>
          <w:r>
            <w:rPr>
              <w:rFonts w:hint="eastAsia" w:ascii="宋体" w:hAnsi="宋体" w:cs="宋体"/>
            </w:rPr>
            <w:instrText xml:space="preserve"> PAGEREF _Toc15153 \h </w:instrText>
          </w:r>
          <w:r>
            <w:rPr>
              <w:rFonts w:hint="eastAsia" w:ascii="宋体" w:hAnsi="宋体" w:cs="宋体"/>
            </w:rPr>
            <w:fldChar w:fldCharType="separate"/>
          </w:r>
          <w:r>
            <w:rPr>
              <w:rFonts w:hint="eastAsia" w:ascii="宋体" w:hAnsi="宋体" w:cs="宋体"/>
            </w:rPr>
            <w:t>7</w:t>
          </w:r>
          <w:r>
            <w:rPr>
              <w:rFonts w:hint="eastAsia" w:ascii="宋体" w:hAnsi="宋体" w:cs="宋体"/>
            </w:rPr>
            <w:fldChar w:fldCharType="end"/>
          </w:r>
          <w:r>
            <w:rPr>
              <w:rFonts w:hint="eastAsia" w:ascii="宋体" w:hAnsi="宋体" w:cs="宋体"/>
            </w:rPr>
            <w:fldChar w:fldCharType="end"/>
          </w:r>
        </w:p>
        <w:p w14:paraId="76CBF849">
          <w:pPr>
            <w:pStyle w:val="10"/>
            <w:tabs>
              <w:tab w:val="right" w:leader="dot" w:pos="8306"/>
            </w:tabs>
            <w:rPr>
              <w:rFonts w:hint="eastAsia" w:ascii="宋体" w:hAnsi="宋体" w:cs="宋体"/>
            </w:rPr>
          </w:pPr>
          <w:r>
            <w:rPr>
              <w:rFonts w:hint="eastAsia" w:ascii="宋体" w:hAnsi="宋体" w:cs="宋体"/>
            </w:rPr>
            <w:fldChar w:fldCharType="begin"/>
          </w:r>
          <w:r>
            <w:rPr>
              <w:rFonts w:hint="eastAsia" w:ascii="宋体" w:hAnsi="宋体" w:cs="宋体"/>
            </w:rPr>
            <w:instrText xml:space="preserve"> HYPERLINK \l _Toc19822 </w:instrText>
          </w:r>
          <w:r>
            <w:rPr>
              <w:rFonts w:hint="eastAsia" w:ascii="宋体" w:hAnsi="宋体" w:cs="宋体"/>
            </w:rPr>
            <w:fldChar w:fldCharType="separate"/>
          </w:r>
          <w:r>
            <w:rPr>
              <w:rFonts w:hint="eastAsia" w:ascii="宋体" w:hAnsi="宋体" w:eastAsia="宋体" w:cs="宋体"/>
              <w:bCs/>
              <w:szCs w:val="30"/>
            </w:rPr>
            <w:t>5 资源可持续</w:t>
          </w:r>
          <w:r>
            <w:rPr>
              <w:rFonts w:hint="eastAsia" w:ascii="宋体" w:hAnsi="宋体" w:cs="宋体"/>
            </w:rPr>
            <w:tab/>
          </w:r>
          <w:r>
            <w:rPr>
              <w:rFonts w:hint="eastAsia" w:ascii="宋体" w:hAnsi="宋体" w:cs="宋体"/>
            </w:rPr>
            <w:fldChar w:fldCharType="begin"/>
          </w:r>
          <w:r>
            <w:rPr>
              <w:rFonts w:hint="eastAsia" w:ascii="宋体" w:hAnsi="宋体" w:cs="宋体"/>
            </w:rPr>
            <w:instrText xml:space="preserve"> PAGEREF _Toc19822 \h </w:instrText>
          </w:r>
          <w:r>
            <w:rPr>
              <w:rFonts w:hint="eastAsia" w:ascii="宋体" w:hAnsi="宋体" w:cs="宋体"/>
            </w:rPr>
            <w:fldChar w:fldCharType="separate"/>
          </w:r>
          <w:r>
            <w:rPr>
              <w:rFonts w:hint="eastAsia" w:ascii="宋体" w:hAnsi="宋体" w:cs="宋体"/>
            </w:rPr>
            <w:t>11</w:t>
          </w:r>
          <w:r>
            <w:rPr>
              <w:rFonts w:hint="eastAsia" w:ascii="宋体" w:hAnsi="宋体" w:cs="宋体"/>
            </w:rPr>
            <w:fldChar w:fldCharType="end"/>
          </w:r>
          <w:r>
            <w:rPr>
              <w:rFonts w:hint="eastAsia" w:ascii="宋体" w:hAnsi="宋体" w:cs="宋体"/>
            </w:rPr>
            <w:fldChar w:fldCharType="end"/>
          </w:r>
        </w:p>
        <w:p w14:paraId="2DD25D48">
          <w:pPr>
            <w:pStyle w:val="11"/>
            <w:tabs>
              <w:tab w:val="right" w:leader="dot" w:pos="8306"/>
            </w:tabs>
            <w:rPr>
              <w:rFonts w:hint="eastAsia" w:ascii="宋体" w:hAnsi="宋体" w:cs="宋体"/>
            </w:rPr>
          </w:pPr>
          <w:r>
            <w:rPr>
              <w:rFonts w:hint="eastAsia" w:ascii="宋体" w:hAnsi="宋体" w:cs="宋体"/>
            </w:rPr>
            <w:fldChar w:fldCharType="begin"/>
          </w:r>
          <w:r>
            <w:rPr>
              <w:rFonts w:hint="eastAsia" w:ascii="宋体" w:hAnsi="宋体" w:cs="宋体"/>
            </w:rPr>
            <w:instrText xml:space="preserve"> HYPERLINK \l _Toc18715 </w:instrText>
          </w:r>
          <w:r>
            <w:rPr>
              <w:rFonts w:hint="eastAsia" w:ascii="宋体" w:hAnsi="宋体" w:cs="宋体"/>
            </w:rPr>
            <w:fldChar w:fldCharType="separate"/>
          </w:r>
          <w:r>
            <w:rPr>
              <w:rFonts w:hint="eastAsia" w:ascii="宋体" w:hAnsi="宋体" w:eastAsia="宋体" w:cs="宋体"/>
              <w:bCs/>
              <w:szCs w:val="28"/>
            </w:rPr>
            <w:t>5.1 控制项</w:t>
          </w:r>
          <w:r>
            <w:rPr>
              <w:rFonts w:hint="eastAsia" w:ascii="宋体" w:hAnsi="宋体" w:cs="宋体"/>
            </w:rPr>
            <w:tab/>
          </w:r>
          <w:r>
            <w:rPr>
              <w:rFonts w:hint="eastAsia" w:ascii="宋体" w:hAnsi="宋体" w:cs="宋体"/>
            </w:rPr>
            <w:fldChar w:fldCharType="begin"/>
          </w:r>
          <w:r>
            <w:rPr>
              <w:rFonts w:hint="eastAsia" w:ascii="宋体" w:hAnsi="宋体" w:cs="宋体"/>
            </w:rPr>
            <w:instrText xml:space="preserve"> PAGEREF _Toc18715 \h </w:instrText>
          </w:r>
          <w:r>
            <w:rPr>
              <w:rFonts w:hint="eastAsia" w:ascii="宋体" w:hAnsi="宋体" w:cs="宋体"/>
            </w:rPr>
            <w:fldChar w:fldCharType="separate"/>
          </w:r>
          <w:r>
            <w:rPr>
              <w:rFonts w:hint="eastAsia" w:ascii="宋体" w:hAnsi="宋体" w:cs="宋体"/>
            </w:rPr>
            <w:t>11</w:t>
          </w:r>
          <w:r>
            <w:rPr>
              <w:rFonts w:hint="eastAsia" w:ascii="宋体" w:hAnsi="宋体" w:cs="宋体"/>
            </w:rPr>
            <w:fldChar w:fldCharType="end"/>
          </w:r>
          <w:r>
            <w:rPr>
              <w:rFonts w:hint="eastAsia" w:ascii="宋体" w:hAnsi="宋体" w:cs="宋体"/>
            </w:rPr>
            <w:fldChar w:fldCharType="end"/>
          </w:r>
        </w:p>
        <w:p w14:paraId="13FCEFDA">
          <w:pPr>
            <w:pStyle w:val="11"/>
            <w:tabs>
              <w:tab w:val="right" w:leader="dot" w:pos="8306"/>
            </w:tabs>
            <w:rPr>
              <w:rFonts w:hint="eastAsia" w:ascii="宋体" w:hAnsi="宋体" w:cs="宋体"/>
            </w:rPr>
          </w:pPr>
          <w:r>
            <w:rPr>
              <w:rFonts w:hint="eastAsia" w:ascii="宋体" w:hAnsi="宋体" w:cs="宋体"/>
            </w:rPr>
            <w:fldChar w:fldCharType="begin"/>
          </w:r>
          <w:r>
            <w:rPr>
              <w:rFonts w:hint="eastAsia" w:ascii="宋体" w:hAnsi="宋体" w:cs="宋体"/>
            </w:rPr>
            <w:instrText xml:space="preserve"> HYPERLINK \l _Toc27544 </w:instrText>
          </w:r>
          <w:r>
            <w:rPr>
              <w:rFonts w:hint="eastAsia" w:ascii="宋体" w:hAnsi="宋体" w:cs="宋体"/>
            </w:rPr>
            <w:fldChar w:fldCharType="separate"/>
          </w:r>
          <w:r>
            <w:rPr>
              <w:rFonts w:hint="eastAsia" w:ascii="宋体" w:hAnsi="宋体" w:eastAsia="宋体" w:cs="宋体"/>
              <w:bCs/>
              <w:szCs w:val="28"/>
            </w:rPr>
            <w:t>5.2 评分项</w:t>
          </w:r>
          <w:r>
            <w:rPr>
              <w:rFonts w:hint="eastAsia" w:ascii="宋体" w:hAnsi="宋体" w:cs="宋体"/>
            </w:rPr>
            <w:tab/>
          </w:r>
          <w:r>
            <w:rPr>
              <w:rFonts w:hint="eastAsia" w:ascii="宋体" w:hAnsi="宋体" w:cs="宋体"/>
            </w:rPr>
            <w:fldChar w:fldCharType="begin"/>
          </w:r>
          <w:r>
            <w:rPr>
              <w:rFonts w:hint="eastAsia" w:ascii="宋体" w:hAnsi="宋体" w:cs="宋体"/>
            </w:rPr>
            <w:instrText xml:space="preserve"> PAGEREF _Toc27544 \h </w:instrText>
          </w:r>
          <w:r>
            <w:rPr>
              <w:rFonts w:hint="eastAsia" w:ascii="宋体" w:hAnsi="宋体" w:cs="宋体"/>
            </w:rPr>
            <w:fldChar w:fldCharType="separate"/>
          </w:r>
          <w:r>
            <w:rPr>
              <w:rFonts w:hint="eastAsia" w:ascii="宋体" w:hAnsi="宋体" w:cs="宋体"/>
            </w:rPr>
            <w:t>11</w:t>
          </w:r>
          <w:r>
            <w:rPr>
              <w:rFonts w:hint="eastAsia" w:ascii="宋体" w:hAnsi="宋体" w:cs="宋体"/>
            </w:rPr>
            <w:fldChar w:fldCharType="end"/>
          </w:r>
          <w:r>
            <w:rPr>
              <w:rFonts w:hint="eastAsia" w:ascii="宋体" w:hAnsi="宋体" w:cs="宋体"/>
            </w:rPr>
            <w:fldChar w:fldCharType="end"/>
          </w:r>
        </w:p>
        <w:p w14:paraId="78D3F41A">
          <w:pPr>
            <w:pStyle w:val="10"/>
            <w:tabs>
              <w:tab w:val="right" w:leader="dot" w:pos="8306"/>
            </w:tabs>
            <w:rPr>
              <w:rFonts w:hint="eastAsia" w:ascii="宋体" w:hAnsi="宋体" w:cs="宋体"/>
            </w:rPr>
          </w:pPr>
          <w:r>
            <w:rPr>
              <w:rFonts w:hint="eastAsia" w:ascii="宋体" w:hAnsi="宋体" w:cs="宋体"/>
            </w:rPr>
            <w:fldChar w:fldCharType="begin"/>
          </w:r>
          <w:r>
            <w:rPr>
              <w:rFonts w:hint="eastAsia" w:ascii="宋体" w:hAnsi="宋体" w:cs="宋体"/>
            </w:rPr>
            <w:instrText xml:space="preserve"> HYPERLINK \l _Toc32130 </w:instrText>
          </w:r>
          <w:r>
            <w:rPr>
              <w:rFonts w:hint="eastAsia" w:ascii="宋体" w:hAnsi="宋体" w:cs="宋体"/>
            </w:rPr>
            <w:fldChar w:fldCharType="separate"/>
          </w:r>
          <w:r>
            <w:rPr>
              <w:rFonts w:hint="eastAsia" w:ascii="宋体" w:hAnsi="宋体" w:eastAsia="宋体" w:cs="宋体"/>
              <w:bCs/>
              <w:szCs w:val="30"/>
            </w:rPr>
            <w:t>6 社会可持续</w:t>
          </w:r>
          <w:r>
            <w:rPr>
              <w:rFonts w:hint="eastAsia" w:ascii="宋体" w:hAnsi="宋体" w:cs="宋体"/>
            </w:rPr>
            <w:tab/>
          </w:r>
          <w:r>
            <w:rPr>
              <w:rFonts w:hint="eastAsia" w:ascii="宋体" w:hAnsi="宋体" w:cs="宋体"/>
            </w:rPr>
            <w:fldChar w:fldCharType="begin"/>
          </w:r>
          <w:r>
            <w:rPr>
              <w:rFonts w:hint="eastAsia" w:ascii="宋体" w:hAnsi="宋体" w:cs="宋体"/>
            </w:rPr>
            <w:instrText xml:space="preserve"> PAGEREF _Toc32130 \h </w:instrText>
          </w:r>
          <w:r>
            <w:rPr>
              <w:rFonts w:hint="eastAsia" w:ascii="宋体" w:hAnsi="宋体" w:cs="宋体"/>
            </w:rPr>
            <w:fldChar w:fldCharType="separate"/>
          </w:r>
          <w:r>
            <w:rPr>
              <w:rFonts w:hint="eastAsia" w:ascii="宋体" w:hAnsi="宋体" w:cs="宋体"/>
            </w:rPr>
            <w:t>14</w:t>
          </w:r>
          <w:r>
            <w:rPr>
              <w:rFonts w:hint="eastAsia" w:ascii="宋体" w:hAnsi="宋体" w:cs="宋体"/>
            </w:rPr>
            <w:fldChar w:fldCharType="end"/>
          </w:r>
          <w:r>
            <w:rPr>
              <w:rFonts w:hint="eastAsia" w:ascii="宋体" w:hAnsi="宋体" w:cs="宋体"/>
            </w:rPr>
            <w:fldChar w:fldCharType="end"/>
          </w:r>
        </w:p>
        <w:p w14:paraId="19A58944">
          <w:pPr>
            <w:pStyle w:val="11"/>
            <w:tabs>
              <w:tab w:val="right" w:leader="dot" w:pos="8306"/>
            </w:tabs>
            <w:rPr>
              <w:rFonts w:hint="eastAsia" w:ascii="宋体" w:hAnsi="宋体" w:cs="宋体"/>
            </w:rPr>
          </w:pPr>
          <w:r>
            <w:rPr>
              <w:rFonts w:hint="eastAsia" w:ascii="宋体" w:hAnsi="宋体" w:cs="宋体"/>
            </w:rPr>
            <w:fldChar w:fldCharType="begin"/>
          </w:r>
          <w:r>
            <w:rPr>
              <w:rFonts w:hint="eastAsia" w:ascii="宋体" w:hAnsi="宋体" w:cs="宋体"/>
            </w:rPr>
            <w:instrText xml:space="preserve"> HYPERLINK \l _Toc28120 </w:instrText>
          </w:r>
          <w:r>
            <w:rPr>
              <w:rFonts w:hint="eastAsia" w:ascii="宋体" w:hAnsi="宋体" w:cs="宋体"/>
            </w:rPr>
            <w:fldChar w:fldCharType="separate"/>
          </w:r>
          <w:r>
            <w:rPr>
              <w:rFonts w:hint="eastAsia" w:ascii="宋体" w:hAnsi="宋体" w:eastAsia="宋体" w:cs="宋体"/>
              <w:bCs/>
              <w:szCs w:val="28"/>
            </w:rPr>
            <w:t>6.1 控制项</w:t>
          </w:r>
          <w:r>
            <w:rPr>
              <w:rFonts w:hint="eastAsia" w:ascii="宋体" w:hAnsi="宋体" w:cs="宋体"/>
            </w:rPr>
            <w:tab/>
          </w:r>
          <w:r>
            <w:rPr>
              <w:rFonts w:hint="eastAsia" w:ascii="宋体" w:hAnsi="宋体" w:cs="宋体"/>
            </w:rPr>
            <w:fldChar w:fldCharType="begin"/>
          </w:r>
          <w:r>
            <w:rPr>
              <w:rFonts w:hint="eastAsia" w:ascii="宋体" w:hAnsi="宋体" w:cs="宋体"/>
            </w:rPr>
            <w:instrText xml:space="preserve"> PAGEREF _Toc28120 \h </w:instrText>
          </w:r>
          <w:r>
            <w:rPr>
              <w:rFonts w:hint="eastAsia" w:ascii="宋体" w:hAnsi="宋体" w:cs="宋体"/>
            </w:rPr>
            <w:fldChar w:fldCharType="separate"/>
          </w:r>
          <w:r>
            <w:rPr>
              <w:rFonts w:hint="eastAsia" w:ascii="宋体" w:hAnsi="宋体" w:cs="宋体"/>
            </w:rPr>
            <w:t>14</w:t>
          </w:r>
          <w:r>
            <w:rPr>
              <w:rFonts w:hint="eastAsia" w:ascii="宋体" w:hAnsi="宋体" w:cs="宋体"/>
            </w:rPr>
            <w:fldChar w:fldCharType="end"/>
          </w:r>
          <w:r>
            <w:rPr>
              <w:rFonts w:hint="eastAsia" w:ascii="宋体" w:hAnsi="宋体" w:cs="宋体"/>
            </w:rPr>
            <w:fldChar w:fldCharType="end"/>
          </w:r>
        </w:p>
        <w:p w14:paraId="10773EF5">
          <w:pPr>
            <w:pStyle w:val="11"/>
            <w:tabs>
              <w:tab w:val="right" w:leader="dot" w:pos="8306"/>
            </w:tabs>
            <w:rPr>
              <w:rFonts w:hint="eastAsia" w:ascii="宋体" w:hAnsi="宋体" w:cs="宋体"/>
            </w:rPr>
          </w:pPr>
          <w:r>
            <w:rPr>
              <w:rFonts w:hint="eastAsia" w:ascii="宋体" w:hAnsi="宋体" w:cs="宋体"/>
            </w:rPr>
            <w:fldChar w:fldCharType="begin"/>
          </w:r>
          <w:r>
            <w:rPr>
              <w:rFonts w:hint="eastAsia" w:ascii="宋体" w:hAnsi="宋体" w:cs="宋体"/>
            </w:rPr>
            <w:instrText xml:space="preserve"> HYPERLINK \l _Toc13323 </w:instrText>
          </w:r>
          <w:r>
            <w:rPr>
              <w:rFonts w:hint="eastAsia" w:ascii="宋体" w:hAnsi="宋体" w:cs="宋体"/>
            </w:rPr>
            <w:fldChar w:fldCharType="separate"/>
          </w:r>
          <w:r>
            <w:rPr>
              <w:rFonts w:hint="eastAsia" w:ascii="宋体" w:hAnsi="宋体" w:eastAsia="宋体" w:cs="宋体"/>
              <w:bCs/>
              <w:szCs w:val="28"/>
            </w:rPr>
            <w:t>6.2 评分项</w:t>
          </w:r>
          <w:r>
            <w:rPr>
              <w:rFonts w:hint="eastAsia" w:ascii="宋体" w:hAnsi="宋体" w:cs="宋体"/>
            </w:rPr>
            <w:tab/>
          </w:r>
          <w:r>
            <w:rPr>
              <w:rFonts w:hint="eastAsia" w:ascii="宋体" w:hAnsi="宋体" w:cs="宋体"/>
            </w:rPr>
            <w:fldChar w:fldCharType="begin"/>
          </w:r>
          <w:r>
            <w:rPr>
              <w:rFonts w:hint="eastAsia" w:ascii="宋体" w:hAnsi="宋体" w:cs="宋体"/>
            </w:rPr>
            <w:instrText xml:space="preserve"> PAGEREF _Toc13323 \h </w:instrText>
          </w:r>
          <w:r>
            <w:rPr>
              <w:rFonts w:hint="eastAsia" w:ascii="宋体" w:hAnsi="宋体" w:cs="宋体"/>
            </w:rPr>
            <w:fldChar w:fldCharType="separate"/>
          </w:r>
          <w:r>
            <w:rPr>
              <w:rFonts w:hint="eastAsia" w:ascii="宋体" w:hAnsi="宋体" w:cs="宋体"/>
            </w:rPr>
            <w:t>14</w:t>
          </w:r>
          <w:r>
            <w:rPr>
              <w:rFonts w:hint="eastAsia" w:ascii="宋体" w:hAnsi="宋体" w:cs="宋体"/>
            </w:rPr>
            <w:fldChar w:fldCharType="end"/>
          </w:r>
          <w:r>
            <w:rPr>
              <w:rFonts w:hint="eastAsia" w:ascii="宋体" w:hAnsi="宋体" w:cs="宋体"/>
            </w:rPr>
            <w:fldChar w:fldCharType="end"/>
          </w:r>
        </w:p>
        <w:p w14:paraId="66759C18">
          <w:pPr>
            <w:pStyle w:val="10"/>
            <w:tabs>
              <w:tab w:val="right" w:leader="dot" w:pos="8306"/>
            </w:tabs>
            <w:rPr>
              <w:rFonts w:hint="eastAsia" w:ascii="宋体" w:hAnsi="宋体" w:cs="宋体"/>
            </w:rPr>
          </w:pPr>
          <w:r>
            <w:rPr>
              <w:rFonts w:hint="eastAsia" w:ascii="宋体" w:hAnsi="宋体" w:cs="宋体"/>
            </w:rPr>
            <w:fldChar w:fldCharType="begin"/>
          </w:r>
          <w:r>
            <w:rPr>
              <w:rFonts w:hint="eastAsia" w:ascii="宋体" w:hAnsi="宋体" w:cs="宋体"/>
            </w:rPr>
            <w:instrText xml:space="preserve"> HYPERLINK \l _Toc16258 </w:instrText>
          </w:r>
          <w:r>
            <w:rPr>
              <w:rFonts w:hint="eastAsia" w:ascii="宋体" w:hAnsi="宋体" w:cs="宋体"/>
            </w:rPr>
            <w:fldChar w:fldCharType="separate"/>
          </w:r>
          <w:r>
            <w:rPr>
              <w:rFonts w:hint="eastAsia" w:ascii="宋体" w:hAnsi="宋体" w:eastAsia="宋体" w:cs="宋体"/>
              <w:bCs/>
              <w:szCs w:val="30"/>
            </w:rPr>
            <w:t>7 治理可持续</w:t>
          </w:r>
          <w:r>
            <w:rPr>
              <w:rFonts w:hint="eastAsia" w:ascii="宋体" w:hAnsi="宋体" w:cs="宋体"/>
            </w:rPr>
            <w:tab/>
          </w:r>
          <w:r>
            <w:rPr>
              <w:rFonts w:hint="eastAsia" w:ascii="宋体" w:hAnsi="宋体" w:cs="宋体"/>
            </w:rPr>
            <w:fldChar w:fldCharType="begin"/>
          </w:r>
          <w:r>
            <w:rPr>
              <w:rFonts w:hint="eastAsia" w:ascii="宋体" w:hAnsi="宋体" w:cs="宋体"/>
            </w:rPr>
            <w:instrText xml:space="preserve"> PAGEREF _Toc16258 \h </w:instrText>
          </w:r>
          <w:r>
            <w:rPr>
              <w:rFonts w:hint="eastAsia" w:ascii="宋体" w:hAnsi="宋体" w:cs="宋体"/>
            </w:rPr>
            <w:fldChar w:fldCharType="separate"/>
          </w:r>
          <w:r>
            <w:rPr>
              <w:rFonts w:hint="eastAsia" w:ascii="宋体" w:hAnsi="宋体" w:cs="宋体"/>
            </w:rPr>
            <w:t>18</w:t>
          </w:r>
          <w:r>
            <w:rPr>
              <w:rFonts w:hint="eastAsia" w:ascii="宋体" w:hAnsi="宋体" w:cs="宋体"/>
            </w:rPr>
            <w:fldChar w:fldCharType="end"/>
          </w:r>
          <w:r>
            <w:rPr>
              <w:rFonts w:hint="eastAsia" w:ascii="宋体" w:hAnsi="宋体" w:cs="宋体"/>
            </w:rPr>
            <w:fldChar w:fldCharType="end"/>
          </w:r>
        </w:p>
        <w:p w14:paraId="36735988">
          <w:pPr>
            <w:pStyle w:val="11"/>
            <w:tabs>
              <w:tab w:val="right" w:leader="dot" w:pos="8306"/>
            </w:tabs>
            <w:rPr>
              <w:rFonts w:hint="eastAsia" w:ascii="宋体" w:hAnsi="宋体" w:cs="宋体"/>
            </w:rPr>
          </w:pPr>
          <w:r>
            <w:rPr>
              <w:rFonts w:hint="eastAsia" w:ascii="宋体" w:hAnsi="宋体" w:cs="宋体"/>
            </w:rPr>
            <w:fldChar w:fldCharType="begin"/>
          </w:r>
          <w:r>
            <w:rPr>
              <w:rFonts w:hint="eastAsia" w:ascii="宋体" w:hAnsi="宋体" w:cs="宋体"/>
            </w:rPr>
            <w:instrText xml:space="preserve"> HYPERLINK \l _Toc22490 </w:instrText>
          </w:r>
          <w:r>
            <w:rPr>
              <w:rFonts w:hint="eastAsia" w:ascii="宋体" w:hAnsi="宋体" w:cs="宋体"/>
            </w:rPr>
            <w:fldChar w:fldCharType="separate"/>
          </w:r>
          <w:r>
            <w:rPr>
              <w:rFonts w:hint="eastAsia" w:ascii="宋体" w:hAnsi="宋体" w:eastAsia="宋体" w:cs="宋体"/>
              <w:bCs/>
              <w:szCs w:val="28"/>
            </w:rPr>
            <w:t>7.1 控制项</w:t>
          </w:r>
          <w:r>
            <w:rPr>
              <w:rFonts w:hint="eastAsia" w:ascii="宋体" w:hAnsi="宋体" w:cs="宋体"/>
            </w:rPr>
            <w:tab/>
          </w:r>
          <w:r>
            <w:rPr>
              <w:rFonts w:hint="eastAsia" w:ascii="宋体" w:hAnsi="宋体" w:cs="宋体"/>
            </w:rPr>
            <w:fldChar w:fldCharType="begin"/>
          </w:r>
          <w:r>
            <w:rPr>
              <w:rFonts w:hint="eastAsia" w:ascii="宋体" w:hAnsi="宋体" w:cs="宋体"/>
            </w:rPr>
            <w:instrText xml:space="preserve"> PAGEREF _Toc22490 \h </w:instrText>
          </w:r>
          <w:r>
            <w:rPr>
              <w:rFonts w:hint="eastAsia" w:ascii="宋体" w:hAnsi="宋体" w:cs="宋体"/>
            </w:rPr>
            <w:fldChar w:fldCharType="separate"/>
          </w:r>
          <w:r>
            <w:rPr>
              <w:rFonts w:hint="eastAsia" w:ascii="宋体" w:hAnsi="宋体" w:cs="宋体"/>
            </w:rPr>
            <w:t>18</w:t>
          </w:r>
          <w:r>
            <w:rPr>
              <w:rFonts w:hint="eastAsia" w:ascii="宋体" w:hAnsi="宋体" w:cs="宋体"/>
            </w:rPr>
            <w:fldChar w:fldCharType="end"/>
          </w:r>
          <w:r>
            <w:rPr>
              <w:rFonts w:hint="eastAsia" w:ascii="宋体" w:hAnsi="宋体" w:cs="宋体"/>
            </w:rPr>
            <w:fldChar w:fldCharType="end"/>
          </w:r>
        </w:p>
        <w:p w14:paraId="1911363A">
          <w:pPr>
            <w:pStyle w:val="11"/>
            <w:tabs>
              <w:tab w:val="right" w:leader="dot" w:pos="8306"/>
            </w:tabs>
            <w:rPr>
              <w:rFonts w:hint="eastAsia" w:ascii="宋体" w:hAnsi="宋体" w:cs="宋体"/>
            </w:rPr>
          </w:pPr>
          <w:r>
            <w:rPr>
              <w:rFonts w:hint="eastAsia" w:ascii="宋体" w:hAnsi="宋体" w:cs="宋体"/>
            </w:rPr>
            <w:fldChar w:fldCharType="begin"/>
          </w:r>
          <w:r>
            <w:rPr>
              <w:rFonts w:hint="eastAsia" w:ascii="宋体" w:hAnsi="宋体" w:cs="宋体"/>
            </w:rPr>
            <w:instrText xml:space="preserve"> HYPERLINK \l _Toc8135 </w:instrText>
          </w:r>
          <w:r>
            <w:rPr>
              <w:rFonts w:hint="eastAsia" w:ascii="宋体" w:hAnsi="宋体" w:cs="宋体"/>
            </w:rPr>
            <w:fldChar w:fldCharType="separate"/>
          </w:r>
          <w:r>
            <w:rPr>
              <w:rFonts w:hint="eastAsia" w:ascii="宋体" w:hAnsi="宋体" w:eastAsia="宋体" w:cs="宋体"/>
              <w:bCs/>
              <w:szCs w:val="28"/>
            </w:rPr>
            <w:t>7.2 评分项</w:t>
          </w:r>
          <w:r>
            <w:rPr>
              <w:rFonts w:hint="eastAsia" w:ascii="宋体" w:hAnsi="宋体" w:cs="宋体"/>
            </w:rPr>
            <w:tab/>
          </w:r>
          <w:r>
            <w:rPr>
              <w:rFonts w:hint="eastAsia" w:ascii="宋体" w:hAnsi="宋体" w:cs="宋体"/>
            </w:rPr>
            <w:fldChar w:fldCharType="begin"/>
          </w:r>
          <w:r>
            <w:rPr>
              <w:rFonts w:hint="eastAsia" w:ascii="宋体" w:hAnsi="宋体" w:cs="宋体"/>
            </w:rPr>
            <w:instrText xml:space="preserve"> PAGEREF _Toc8135 \h </w:instrText>
          </w:r>
          <w:r>
            <w:rPr>
              <w:rFonts w:hint="eastAsia" w:ascii="宋体" w:hAnsi="宋体" w:cs="宋体"/>
            </w:rPr>
            <w:fldChar w:fldCharType="separate"/>
          </w:r>
          <w:r>
            <w:rPr>
              <w:rFonts w:hint="eastAsia" w:ascii="宋体" w:hAnsi="宋体" w:cs="宋体"/>
            </w:rPr>
            <w:t>18</w:t>
          </w:r>
          <w:r>
            <w:rPr>
              <w:rFonts w:hint="eastAsia" w:ascii="宋体" w:hAnsi="宋体" w:cs="宋体"/>
            </w:rPr>
            <w:fldChar w:fldCharType="end"/>
          </w:r>
          <w:r>
            <w:rPr>
              <w:rFonts w:hint="eastAsia" w:ascii="宋体" w:hAnsi="宋体" w:cs="宋体"/>
            </w:rPr>
            <w:fldChar w:fldCharType="end"/>
          </w:r>
        </w:p>
        <w:p w14:paraId="5512E929">
          <w:pPr>
            <w:pStyle w:val="10"/>
            <w:tabs>
              <w:tab w:val="right" w:leader="dot" w:pos="8306"/>
            </w:tabs>
            <w:rPr>
              <w:rFonts w:hint="eastAsia" w:ascii="宋体" w:hAnsi="宋体" w:cs="宋体"/>
            </w:rPr>
          </w:pPr>
          <w:r>
            <w:rPr>
              <w:rFonts w:hint="eastAsia" w:ascii="宋体" w:hAnsi="宋体" w:cs="宋体"/>
            </w:rPr>
            <w:fldChar w:fldCharType="begin"/>
          </w:r>
          <w:r>
            <w:rPr>
              <w:rFonts w:hint="eastAsia" w:ascii="宋体" w:hAnsi="宋体" w:cs="宋体"/>
            </w:rPr>
            <w:instrText xml:space="preserve"> HYPERLINK \l _Toc4498 </w:instrText>
          </w:r>
          <w:r>
            <w:rPr>
              <w:rFonts w:hint="eastAsia" w:ascii="宋体" w:hAnsi="宋体" w:cs="宋体"/>
            </w:rPr>
            <w:fldChar w:fldCharType="separate"/>
          </w:r>
          <w:r>
            <w:rPr>
              <w:rFonts w:hint="eastAsia" w:ascii="宋体" w:hAnsi="宋体" w:eastAsia="宋体" w:cs="宋体"/>
              <w:bCs/>
              <w:szCs w:val="30"/>
              <w:lang w:val="en-US" w:eastAsia="zh-CN"/>
            </w:rPr>
            <w:t>附录A 生态价值变化评估报告</w:t>
          </w:r>
          <w:r>
            <w:rPr>
              <w:rFonts w:hint="eastAsia" w:ascii="宋体" w:hAnsi="宋体" w:cs="宋体"/>
            </w:rPr>
            <w:tab/>
          </w:r>
          <w:r>
            <w:rPr>
              <w:rFonts w:hint="eastAsia" w:ascii="宋体" w:hAnsi="宋体" w:cs="宋体"/>
            </w:rPr>
            <w:fldChar w:fldCharType="begin"/>
          </w:r>
          <w:r>
            <w:rPr>
              <w:rFonts w:hint="eastAsia" w:ascii="宋体" w:hAnsi="宋体" w:cs="宋体"/>
            </w:rPr>
            <w:instrText xml:space="preserve"> PAGEREF _Toc4498 \h </w:instrText>
          </w:r>
          <w:r>
            <w:rPr>
              <w:rFonts w:hint="eastAsia" w:ascii="宋体" w:hAnsi="宋体" w:cs="宋体"/>
            </w:rPr>
            <w:fldChar w:fldCharType="separate"/>
          </w:r>
          <w:r>
            <w:rPr>
              <w:rFonts w:hint="eastAsia" w:ascii="宋体" w:hAnsi="宋体" w:cs="宋体"/>
            </w:rPr>
            <w:t>20</w:t>
          </w:r>
          <w:r>
            <w:rPr>
              <w:rFonts w:hint="eastAsia" w:ascii="宋体" w:hAnsi="宋体" w:cs="宋体"/>
            </w:rPr>
            <w:fldChar w:fldCharType="end"/>
          </w:r>
          <w:r>
            <w:rPr>
              <w:rFonts w:hint="eastAsia" w:ascii="宋体" w:hAnsi="宋体" w:cs="宋体"/>
            </w:rPr>
            <w:fldChar w:fldCharType="end"/>
          </w:r>
        </w:p>
        <w:p w14:paraId="05DA4787">
          <w:pPr>
            <w:pStyle w:val="10"/>
            <w:tabs>
              <w:tab w:val="right" w:leader="dot" w:pos="8306"/>
            </w:tabs>
            <w:rPr>
              <w:rFonts w:hint="eastAsia" w:ascii="宋体" w:hAnsi="宋体" w:cs="宋体"/>
            </w:rPr>
          </w:pPr>
          <w:r>
            <w:rPr>
              <w:rFonts w:hint="eastAsia" w:ascii="宋体" w:hAnsi="宋体" w:cs="宋体"/>
            </w:rPr>
            <w:fldChar w:fldCharType="begin"/>
          </w:r>
          <w:r>
            <w:rPr>
              <w:rFonts w:hint="eastAsia" w:ascii="宋体" w:hAnsi="宋体" w:cs="宋体"/>
            </w:rPr>
            <w:instrText xml:space="preserve"> HYPERLINK \l _Toc10794 </w:instrText>
          </w:r>
          <w:r>
            <w:rPr>
              <w:rFonts w:hint="eastAsia" w:ascii="宋体" w:hAnsi="宋体" w:cs="宋体"/>
            </w:rPr>
            <w:fldChar w:fldCharType="separate"/>
          </w:r>
          <w:r>
            <w:rPr>
              <w:rFonts w:hint="eastAsia" w:ascii="宋体" w:hAnsi="宋体" w:eastAsia="宋体" w:cs="宋体"/>
              <w:bCs/>
              <w:szCs w:val="30"/>
              <w:lang w:eastAsia="zh-CN"/>
            </w:rPr>
            <w:t>附录B</w:t>
          </w:r>
          <w:r>
            <w:rPr>
              <w:rFonts w:hint="eastAsia" w:ascii="宋体" w:hAnsi="宋体" w:eastAsia="宋体" w:cs="宋体"/>
              <w:bCs/>
              <w:szCs w:val="30"/>
            </w:rPr>
            <w:t xml:space="preserve"> </w:t>
          </w:r>
          <w:r>
            <w:rPr>
              <w:rFonts w:hint="eastAsia" w:ascii="宋体" w:hAnsi="宋体" w:cs="宋体"/>
              <w:bCs/>
              <w:szCs w:val="30"/>
              <w:lang w:val="en-US" w:eastAsia="zh-CN"/>
            </w:rPr>
            <w:t>八</w:t>
          </w:r>
          <w:r>
            <w:rPr>
              <w:rFonts w:hint="eastAsia" w:ascii="宋体" w:hAnsi="宋体" w:eastAsia="宋体" w:cs="宋体"/>
              <w:bCs/>
              <w:szCs w:val="30"/>
            </w:rPr>
            <w:t>类城市基础设施项目专项内容评价指标</w:t>
          </w:r>
          <w:r>
            <w:rPr>
              <w:rFonts w:hint="eastAsia" w:ascii="宋体" w:hAnsi="宋体" w:cs="宋体"/>
            </w:rPr>
            <w:tab/>
          </w:r>
          <w:r>
            <w:rPr>
              <w:rFonts w:hint="eastAsia" w:ascii="宋体" w:hAnsi="宋体" w:cs="宋体"/>
            </w:rPr>
            <w:fldChar w:fldCharType="begin"/>
          </w:r>
          <w:r>
            <w:rPr>
              <w:rFonts w:hint="eastAsia" w:ascii="宋体" w:hAnsi="宋体" w:cs="宋体"/>
            </w:rPr>
            <w:instrText xml:space="preserve"> PAGEREF _Toc10794 \h </w:instrText>
          </w:r>
          <w:r>
            <w:rPr>
              <w:rFonts w:hint="eastAsia" w:ascii="宋体" w:hAnsi="宋体" w:cs="宋体"/>
            </w:rPr>
            <w:fldChar w:fldCharType="separate"/>
          </w:r>
          <w:r>
            <w:rPr>
              <w:rFonts w:hint="eastAsia" w:ascii="宋体" w:hAnsi="宋体" w:cs="宋体"/>
            </w:rPr>
            <w:t>21</w:t>
          </w:r>
          <w:r>
            <w:rPr>
              <w:rFonts w:hint="eastAsia" w:ascii="宋体" w:hAnsi="宋体" w:cs="宋体"/>
            </w:rPr>
            <w:fldChar w:fldCharType="end"/>
          </w:r>
          <w:r>
            <w:rPr>
              <w:rFonts w:hint="eastAsia" w:ascii="宋体" w:hAnsi="宋体" w:cs="宋体"/>
            </w:rPr>
            <w:fldChar w:fldCharType="end"/>
          </w:r>
        </w:p>
        <w:p w14:paraId="6CD04229">
          <w:pPr>
            <w:pStyle w:val="10"/>
            <w:tabs>
              <w:tab w:val="right" w:leader="dot" w:pos="8306"/>
            </w:tabs>
            <w:rPr>
              <w:rFonts w:hint="eastAsia" w:ascii="宋体" w:hAnsi="宋体" w:cs="宋体"/>
            </w:rPr>
          </w:pPr>
          <w:r>
            <w:rPr>
              <w:rFonts w:hint="eastAsia" w:ascii="宋体" w:hAnsi="宋体" w:cs="宋体"/>
            </w:rPr>
            <w:fldChar w:fldCharType="begin"/>
          </w:r>
          <w:r>
            <w:rPr>
              <w:rFonts w:hint="eastAsia" w:ascii="宋体" w:hAnsi="宋体" w:cs="宋体"/>
            </w:rPr>
            <w:instrText xml:space="preserve"> HYPERLINK \l _Toc20790 </w:instrText>
          </w:r>
          <w:r>
            <w:rPr>
              <w:rFonts w:hint="eastAsia" w:ascii="宋体" w:hAnsi="宋体" w:cs="宋体"/>
            </w:rPr>
            <w:fldChar w:fldCharType="separate"/>
          </w:r>
          <w:r>
            <w:rPr>
              <w:rFonts w:hint="eastAsia" w:ascii="宋体" w:hAnsi="宋体" w:eastAsia="宋体" w:cs="宋体"/>
              <w:bCs/>
              <w:szCs w:val="30"/>
            </w:rPr>
            <w:t>附录</w:t>
          </w:r>
          <w:r>
            <w:rPr>
              <w:rFonts w:hint="eastAsia" w:ascii="宋体" w:hAnsi="宋体" w:eastAsia="宋体" w:cs="宋体"/>
              <w:bCs/>
              <w:szCs w:val="30"/>
              <w:lang w:val="en-US" w:eastAsia="zh-CN"/>
            </w:rPr>
            <w:t>C</w:t>
          </w:r>
          <w:r>
            <w:rPr>
              <w:rFonts w:hint="eastAsia" w:ascii="宋体" w:hAnsi="宋体" w:eastAsia="宋体" w:cs="宋体"/>
              <w:bCs/>
              <w:szCs w:val="30"/>
            </w:rPr>
            <w:t xml:space="preserve"> 项目</w:t>
          </w:r>
          <w:r>
            <w:rPr>
              <w:rFonts w:hint="eastAsia" w:ascii="宋体" w:hAnsi="宋体" w:eastAsia="宋体" w:cs="宋体"/>
              <w:bCs/>
              <w:szCs w:val="30"/>
              <w:lang w:val="en-US" w:eastAsia="zh-CN"/>
            </w:rPr>
            <w:t>碳</w:t>
          </w:r>
          <w:r>
            <w:rPr>
              <w:rFonts w:hint="eastAsia" w:ascii="宋体" w:hAnsi="宋体" w:eastAsia="宋体" w:cs="宋体"/>
              <w:bCs/>
              <w:szCs w:val="30"/>
            </w:rPr>
            <w:t>排放报告</w:t>
          </w:r>
          <w:r>
            <w:rPr>
              <w:rFonts w:hint="eastAsia" w:ascii="宋体" w:hAnsi="宋体" w:cs="宋体"/>
            </w:rPr>
            <w:tab/>
          </w:r>
          <w:r>
            <w:rPr>
              <w:rFonts w:hint="eastAsia" w:ascii="宋体" w:hAnsi="宋体" w:cs="宋体"/>
            </w:rPr>
            <w:fldChar w:fldCharType="begin"/>
          </w:r>
          <w:r>
            <w:rPr>
              <w:rFonts w:hint="eastAsia" w:ascii="宋体" w:hAnsi="宋体" w:cs="宋体"/>
            </w:rPr>
            <w:instrText xml:space="preserve"> PAGEREF _Toc20790 \h </w:instrText>
          </w:r>
          <w:r>
            <w:rPr>
              <w:rFonts w:hint="eastAsia" w:ascii="宋体" w:hAnsi="宋体" w:cs="宋体"/>
            </w:rPr>
            <w:fldChar w:fldCharType="separate"/>
          </w:r>
          <w:r>
            <w:rPr>
              <w:rFonts w:hint="eastAsia" w:ascii="宋体" w:hAnsi="宋体" w:cs="宋体"/>
            </w:rPr>
            <w:t>43</w:t>
          </w:r>
          <w:r>
            <w:rPr>
              <w:rFonts w:hint="eastAsia" w:ascii="宋体" w:hAnsi="宋体" w:cs="宋体"/>
            </w:rPr>
            <w:fldChar w:fldCharType="end"/>
          </w:r>
          <w:r>
            <w:rPr>
              <w:rFonts w:hint="eastAsia" w:ascii="宋体" w:hAnsi="宋体" w:cs="宋体"/>
            </w:rPr>
            <w:fldChar w:fldCharType="end"/>
          </w:r>
        </w:p>
        <w:p w14:paraId="6EDC7E5B">
          <w:pPr>
            <w:pStyle w:val="10"/>
            <w:tabs>
              <w:tab w:val="right" w:leader="dot" w:pos="8306"/>
            </w:tabs>
            <w:rPr>
              <w:rFonts w:hint="eastAsia" w:ascii="宋体" w:hAnsi="宋体" w:cs="宋体"/>
            </w:rPr>
          </w:pPr>
          <w:r>
            <w:rPr>
              <w:rFonts w:hint="eastAsia" w:ascii="宋体" w:hAnsi="宋体" w:cs="宋体"/>
            </w:rPr>
            <w:fldChar w:fldCharType="begin"/>
          </w:r>
          <w:r>
            <w:rPr>
              <w:rFonts w:hint="eastAsia" w:ascii="宋体" w:hAnsi="宋体" w:cs="宋体"/>
            </w:rPr>
            <w:instrText xml:space="preserve"> HYPERLINK \l _Toc29676 </w:instrText>
          </w:r>
          <w:r>
            <w:rPr>
              <w:rFonts w:hint="eastAsia" w:ascii="宋体" w:hAnsi="宋体" w:cs="宋体"/>
            </w:rPr>
            <w:fldChar w:fldCharType="separate"/>
          </w:r>
          <w:r>
            <w:rPr>
              <w:rFonts w:hint="eastAsia" w:ascii="宋体" w:hAnsi="宋体" w:eastAsia="宋体" w:cs="宋体"/>
              <w:bCs/>
              <w:szCs w:val="30"/>
            </w:rPr>
            <w:t>附录</w:t>
          </w:r>
          <w:r>
            <w:rPr>
              <w:rFonts w:hint="eastAsia" w:ascii="宋体" w:hAnsi="宋体" w:eastAsia="宋体" w:cs="宋体"/>
              <w:bCs/>
              <w:szCs w:val="30"/>
              <w:lang w:val="en-US" w:eastAsia="zh-CN"/>
            </w:rPr>
            <w:t>D</w:t>
          </w:r>
          <w:r>
            <w:rPr>
              <w:rFonts w:hint="eastAsia" w:ascii="宋体" w:hAnsi="宋体" w:eastAsia="宋体" w:cs="宋体"/>
              <w:bCs/>
              <w:szCs w:val="30"/>
            </w:rPr>
            <w:t xml:space="preserve"> 项目ESG报告</w:t>
          </w:r>
          <w:r>
            <w:rPr>
              <w:rFonts w:hint="eastAsia" w:ascii="宋体" w:hAnsi="宋体" w:cs="宋体"/>
            </w:rPr>
            <w:tab/>
          </w:r>
          <w:r>
            <w:rPr>
              <w:rFonts w:hint="eastAsia" w:ascii="宋体" w:hAnsi="宋体" w:cs="宋体"/>
            </w:rPr>
            <w:fldChar w:fldCharType="begin"/>
          </w:r>
          <w:r>
            <w:rPr>
              <w:rFonts w:hint="eastAsia" w:ascii="宋体" w:hAnsi="宋体" w:cs="宋体"/>
            </w:rPr>
            <w:instrText xml:space="preserve"> PAGEREF _Toc29676 \h </w:instrText>
          </w:r>
          <w:r>
            <w:rPr>
              <w:rFonts w:hint="eastAsia" w:ascii="宋体" w:hAnsi="宋体" w:cs="宋体"/>
            </w:rPr>
            <w:fldChar w:fldCharType="separate"/>
          </w:r>
          <w:r>
            <w:rPr>
              <w:rFonts w:hint="eastAsia" w:ascii="宋体" w:hAnsi="宋体" w:cs="宋体"/>
            </w:rPr>
            <w:t>44</w:t>
          </w:r>
          <w:r>
            <w:rPr>
              <w:rFonts w:hint="eastAsia" w:ascii="宋体" w:hAnsi="宋体" w:cs="宋体"/>
            </w:rPr>
            <w:fldChar w:fldCharType="end"/>
          </w:r>
          <w:r>
            <w:rPr>
              <w:rFonts w:hint="eastAsia" w:ascii="宋体" w:hAnsi="宋体" w:cs="宋体"/>
            </w:rPr>
            <w:fldChar w:fldCharType="end"/>
          </w:r>
        </w:p>
        <w:p w14:paraId="0A48B149">
          <w:pPr>
            <w:pStyle w:val="10"/>
            <w:tabs>
              <w:tab w:val="right" w:leader="dot" w:pos="8306"/>
            </w:tabs>
            <w:rPr>
              <w:rFonts w:hint="eastAsia" w:ascii="宋体" w:hAnsi="宋体" w:cs="宋体"/>
            </w:rPr>
          </w:pPr>
          <w:r>
            <w:rPr>
              <w:rFonts w:hint="eastAsia" w:ascii="宋体" w:hAnsi="宋体" w:cs="宋体"/>
            </w:rPr>
            <w:fldChar w:fldCharType="begin"/>
          </w:r>
          <w:r>
            <w:rPr>
              <w:rFonts w:hint="eastAsia" w:ascii="宋体" w:hAnsi="宋体" w:cs="宋体"/>
            </w:rPr>
            <w:instrText xml:space="preserve"> HYPERLINK \l _Toc12094 </w:instrText>
          </w:r>
          <w:r>
            <w:rPr>
              <w:rFonts w:hint="eastAsia" w:ascii="宋体" w:hAnsi="宋体" w:cs="宋体"/>
            </w:rPr>
            <w:fldChar w:fldCharType="separate"/>
          </w:r>
          <w:r>
            <w:rPr>
              <w:rFonts w:hint="eastAsia" w:ascii="宋体" w:hAnsi="宋体" w:eastAsia="宋体" w:cs="宋体"/>
              <w:bCs/>
              <w:szCs w:val="30"/>
              <w:highlight w:val="none"/>
            </w:rPr>
            <w:t>附录</w:t>
          </w:r>
          <w:r>
            <w:rPr>
              <w:rFonts w:hint="eastAsia" w:ascii="宋体" w:hAnsi="宋体" w:eastAsia="宋体" w:cs="宋体"/>
              <w:bCs/>
              <w:szCs w:val="30"/>
              <w:highlight w:val="none"/>
              <w:lang w:val="en-US" w:eastAsia="zh-CN"/>
            </w:rPr>
            <w:t>E</w:t>
          </w:r>
          <w:r>
            <w:rPr>
              <w:rFonts w:hint="eastAsia" w:ascii="宋体" w:hAnsi="宋体" w:eastAsia="宋体" w:cs="宋体"/>
              <w:bCs/>
              <w:szCs w:val="30"/>
              <w:highlight w:val="none"/>
            </w:rPr>
            <w:t xml:space="preserve"> 评价</w:t>
          </w:r>
          <w:r>
            <w:rPr>
              <w:rFonts w:hint="eastAsia" w:ascii="宋体" w:hAnsi="宋体" w:eastAsia="宋体" w:cs="宋体"/>
              <w:bCs/>
              <w:szCs w:val="30"/>
              <w:highlight w:val="none"/>
              <w:lang w:val="en-US" w:eastAsia="zh-CN"/>
            </w:rPr>
            <w:t>说明</w:t>
          </w:r>
          <w:r>
            <w:rPr>
              <w:rFonts w:hint="eastAsia" w:ascii="宋体" w:hAnsi="宋体" w:cs="宋体"/>
            </w:rPr>
            <w:tab/>
          </w:r>
          <w:r>
            <w:rPr>
              <w:rFonts w:hint="eastAsia" w:ascii="宋体" w:hAnsi="宋体" w:cs="宋体"/>
            </w:rPr>
            <w:fldChar w:fldCharType="begin"/>
          </w:r>
          <w:r>
            <w:rPr>
              <w:rFonts w:hint="eastAsia" w:ascii="宋体" w:hAnsi="宋体" w:cs="宋体"/>
            </w:rPr>
            <w:instrText xml:space="preserve"> PAGEREF _Toc12094 \h </w:instrText>
          </w:r>
          <w:r>
            <w:rPr>
              <w:rFonts w:hint="eastAsia" w:ascii="宋体" w:hAnsi="宋体" w:cs="宋体"/>
            </w:rPr>
            <w:fldChar w:fldCharType="separate"/>
          </w:r>
          <w:r>
            <w:rPr>
              <w:rFonts w:hint="eastAsia" w:ascii="宋体" w:hAnsi="宋体" w:cs="宋体"/>
            </w:rPr>
            <w:t>45</w:t>
          </w:r>
          <w:r>
            <w:rPr>
              <w:rFonts w:hint="eastAsia" w:ascii="宋体" w:hAnsi="宋体" w:cs="宋体"/>
            </w:rPr>
            <w:fldChar w:fldCharType="end"/>
          </w:r>
          <w:r>
            <w:rPr>
              <w:rFonts w:hint="eastAsia" w:ascii="宋体" w:hAnsi="宋体" w:cs="宋体"/>
            </w:rPr>
            <w:fldChar w:fldCharType="end"/>
          </w:r>
        </w:p>
        <w:p w14:paraId="25BE2EB4">
          <w:pPr>
            <w:pStyle w:val="10"/>
            <w:tabs>
              <w:tab w:val="right" w:leader="dot" w:pos="8306"/>
            </w:tabs>
            <w:rPr>
              <w:rFonts w:hint="eastAsia" w:ascii="宋体" w:hAnsi="宋体" w:cs="宋体"/>
            </w:rPr>
          </w:pPr>
          <w:r>
            <w:rPr>
              <w:rFonts w:hint="eastAsia" w:ascii="宋体" w:hAnsi="宋体" w:cs="宋体"/>
            </w:rPr>
            <w:fldChar w:fldCharType="begin"/>
          </w:r>
          <w:r>
            <w:rPr>
              <w:rFonts w:hint="eastAsia" w:ascii="宋体" w:hAnsi="宋体" w:cs="宋体"/>
            </w:rPr>
            <w:instrText xml:space="preserve"> HYPERLINK \l _Toc29339 </w:instrText>
          </w:r>
          <w:r>
            <w:rPr>
              <w:rFonts w:hint="eastAsia" w:ascii="宋体" w:hAnsi="宋体" w:cs="宋体"/>
            </w:rPr>
            <w:fldChar w:fldCharType="separate"/>
          </w:r>
          <w:r>
            <w:rPr>
              <w:rFonts w:hint="eastAsia" w:ascii="宋体" w:hAnsi="宋体" w:eastAsia="宋体" w:cs="宋体"/>
              <w:bCs/>
              <w:szCs w:val="30"/>
            </w:rPr>
            <w:t>用词说明</w:t>
          </w:r>
          <w:r>
            <w:rPr>
              <w:rFonts w:hint="eastAsia" w:ascii="宋体" w:hAnsi="宋体" w:cs="宋体"/>
            </w:rPr>
            <w:tab/>
          </w:r>
          <w:r>
            <w:rPr>
              <w:rFonts w:hint="eastAsia" w:ascii="宋体" w:hAnsi="宋体" w:cs="宋体"/>
            </w:rPr>
            <w:fldChar w:fldCharType="begin"/>
          </w:r>
          <w:r>
            <w:rPr>
              <w:rFonts w:hint="eastAsia" w:ascii="宋体" w:hAnsi="宋体" w:cs="宋体"/>
            </w:rPr>
            <w:instrText xml:space="preserve"> PAGEREF _Toc29339 \h </w:instrText>
          </w:r>
          <w:r>
            <w:rPr>
              <w:rFonts w:hint="eastAsia" w:ascii="宋体" w:hAnsi="宋体" w:cs="宋体"/>
            </w:rPr>
            <w:fldChar w:fldCharType="separate"/>
          </w:r>
          <w:r>
            <w:rPr>
              <w:rFonts w:hint="eastAsia" w:ascii="宋体" w:hAnsi="宋体" w:cs="宋体"/>
            </w:rPr>
            <w:t>51</w:t>
          </w:r>
          <w:r>
            <w:rPr>
              <w:rFonts w:hint="eastAsia" w:ascii="宋体" w:hAnsi="宋体" w:cs="宋体"/>
            </w:rPr>
            <w:fldChar w:fldCharType="end"/>
          </w:r>
          <w:r>
            <w:rPr>
              <w:rFonts w:hint="eastAsia" w:ascii="宋体" w:hAnsi="宋体" w:cs="宋体"/>
            </w:rPr>
            <w:fldChar w:fldCharType="end"/>
          </w:r>
        </w:p>
        <w:p w14:paraId="39E20042">
          <w:pPr>
            <w:pStyle w:val="10"/>
            <w:tabs>
              <w:tab w:val="right" w:leader="dot" w:pos="8306"/>
            </w:tabs>
            <w:rPr>
              <w:rFonts w:hint="eastAsia" w:ascii="宋体" w:hAnsi="宋体" w:cs="宋体"/>
            </w:rPr>
          </w:pPr>
          <w:r>
            <w:rPr>
              <w:rFonts w:hint="eastAsia" w:ascii="宋体" w:hAnsi="宋体" w:cs="宋体"/>
            </w:rPr>
            <w:fldChar w:fldCharType="begin"/>
          </w:r>
          <w:r>
            <w:rPr>
              <w:rFonts w:hint="eastAsia" w:ascii="宋体" w:hAnsi="宋体" w:cs="宋体"/>
            </w:rPr>
            <w:instrText xml:space="preserve"> HYPERLINK \l _Toc7986 </w:instrText>
          </w:r>
          <w:r>
            <w:rPr>
              <w:rFonts w:hint="eastAsia" w:ascii="宋体" w:hAnsi="宋体" w:cs="宋体"/>
            </w:rPr>
            <w:fldChar w:fldCharType="separate"/>
          </w:r>
          <w:r>
            <w:rPr>
              <w:rFonts w:hint="eastAsia" w:ascii="宋体" w:hAnsi="宋体" w:eastAsia="宋体" w:cs="宋体"/>
              <w:bCs/>
              <w:szCs w:val="30"/>
              <w:highlight w:val="none"/>
            </w:rPr>
            <w:t>引用标准名录</w:t>
          </w:r>
          <w:r>
            <w:rPr>
              <w:rFonts w:hint="eastAsia" w:ascii="宋体" w:hAnsi="宋体" w:cs="宋体"/>
            </w:rPr>
            <w:tab/>
          </w:r>
          <w:r>
            <w:rPr>
              <w:rFonts w:hint="eastAsia" w:ascii="宋体" w:hAnsi="宋体" w:cs="宋体"/>
            </w:rPr>
            <w:fldChar w:fldCharType="begin"/>
          </w:r>
          <w:r>
            <w:rPr>
              <w:rFonts w:hint="eastAsia" w:ascii="宋体" w:hAnsi="宋体" w:cs="宋体"/>
            </w:rPr>
            <w:instrText xml:space="preserve"> PAGEREF _Toc7986 \h </w:instrText>
          </w:r>
          <w:r>
            <w:rPr>
              <w:rFonts w:hint="eastAsia" w:ascii="宋体" w:hAnsi="宋体" w:cs="宋体"/>
            </w:rPr>
            <w:fldChar w:fldCharType="separate"/>
          </w:r>
          <w:r>
            <w:rPr>
              <w:rFonts w:hint="eastAsia" w:ascii="宋体" w:hAnsi="宋体" w:cs="宋体"/>
            </w:rPr>
            <w:t>52</w:t>
          </w:r>
          <w:r>
            <w:rPr>
              <w:rFonts w:hint="eastAsia" w:ascii="宋体" w:hAnsi="宋体" w:cs="宋体"/>
            </w:rPr>
            <w:fldChar w:fldCharType="end"/>
          </w:r>
          <w:r>
            <w:rPr>
              <w:rFonts w:hint="eastAsia" w:ascii="宋体" w:hAnsi="宋体" w:cs="宋体"/>
            </w:rPr>
            <w:fldChar w:fldCharType="end"/>
          </w:r>
        </w:p>
        <w:p w14:paraId="2CD4E7FD">
          <w:pPr>
            <w:pStyle w:val="10"/>
            <w:tabs>
              <w:tab w:val="right" w:leader="dot" w:pos="8306"/>
            </w:tabs>
            <w:rPr>
              <w:rFonts w:hint="eastAsia" w:ascii="宋体" w:hAnsi="宋体" w:cs="宋体"/>
            </w:rPr>
          </w:pPr>
          <w:r>
            <w:rPr>
              <w:rFonts w:hint="eastAsia" w:ascii="宋体" w:hAnsi="宋体" w:cs="宋体"/>
              <w:lang w:val="en-US" w:eastAsia="zh-CN"/>
            </w:rPr>
            <w:t>附：</w:t>
          </w:r>
          <w:r>
            <w:rPr>
              <w:rFonts w:hint="eastAsia" w:ascii="宋体" w:hAnsi="宋体" w:cs="宋体"/>
            </w:rPr>
            <w:fldChar w:fldCharType="begin"/>
          </w:r>
          <w:r>
            <w:rPr>
              <w:rFonts w:hint="eastAsia" w:ascii="宋体" w:hAnsi="宋体" w:cs="宋体"/>
            </w:rPr>
            <w:instrText xml:space="preserve"> HYPERLINK \l _Toc22404 </w:instrText>
          </w:r>
          <w:r>
            <w:rPr>
              <w:rFonts w:hint="eastAsia" w:ascii="宋体" w:hAnsi="宋体" w:cs="宋体"/>
            </w:rPr>
            <w:fldChar w:fldCharType="separate"/>
          </w:r>
          <w:r>
            <w:rPr>
              <w:rFonts w:hint="eastAsia" w:ascii="宋体" w:hAnsi="宋体" w:eastAsia="宋体" w:cs="宋体"/>
              <w:szCs w:val="36"/>
            </w:rPr>
            <w:t>条文说明</w:t>
          </w:r>
          <w:r>
            <w:rPr>
              <w:rFonts w:hint="eastAsia" w:ascii="宋体" w:hAnsi="宋体" w:cs="宋体"/>
            </w:rPr>
            <w:tab/>
          </w:r>
          <w:r>
            <w:rPr>
              <w:rFonts w:hint="eastAsia" w:ascii="宋体" w:hAnsi="宋体" w:cs="宋体"/>
            </w:rPr>
            <w:fldChar w:fldCharType="begin"/>
          </w:r>
          <w:r>
            <w:rPr>
              <w:rFonts w:hint="eastAsia" w:ascii="宋体" w:hAnsi="宋体" w:cs="宋体"/>
            </w:rPr>
            <w:instrText xml:space="preserve"> PAGEREF _Toc22404 \h </w:instrText>
          </w:r>
          <w:r>
            <w:rPr>
              <w:rFonts w:hint="eastAsia" w:ascii="宋体" w:hAnsi="宋体" w:cs="宋体"/>
            </w:rPr>
            <w:fldChar w:fldCharType="separate"/>
          </w:r>
          <w:r>
            <w:rPr>
              <w:rFonts w:hint="eastAsia" w:ascii="宋体" w:hAnsi="宋体" w:cs="宋体"/>
            </w:rPr>
            <w:t>54</w:t>
          </w:r>
          <w:r>
            <w:rPr>
              <w:rFonts w:hint="eastAsia" w:ascii="宋体" w:hAnsi="宋体" w:cs="宋体"/>
            </w:rPr>
            <w:fldChar w:fldCharType="end"/>
          </w:r>
          <w:r>
            <w:rPr>
              <w:rFonts w:hint="eastAsia" w:ascii="宋体" w:hAnsi="宋体" w:cs="宋体"/>
            </w:rPr>
            <w:fldChar w:fldCharType="end"/>
          </w:r>
        </w:p>
        <w:p w14:paraId="279A6C32">
          <w:r>
            <w:rPr>
              <w:rFonts w:hint="eastAsia" w:ascii="宋体" w:hAnsi="宋体" w:cs="宋体"/>
            </w:rPr>
            <w:fldChar w:fldCharType="end"/>
          </w:r>
        </w:p>
      </w:sdtContent>
    </w:sdt>
    <w:p w14:paraId="3D6CBC8B"/>
    <w:p w14:paraId="65DE6328"/>
    <w:p w14:paraId="7B5EA183"/>
    <w:p w14:paraId="1984426F">
      <w:pPr>
        <w:widowControl/>
        <w:adjustRightInd/>
        <w:snapToGrid/>
        <w:spacing w:line="360" w:lineRule="auto"/>
        <w:ind w:firstLine="420" w:firstLineChars="200"/>
        <w:jc w:val="left"/>
        <w:rPr>
          <w:rFonts w:ascii="宋体" w:hAnsi="宋体" w:eastAsia="宋体"/>
          <w:color w:val="auto"/>
          <w:kern w:val="0"/>
        </w:rPr>
      </w:pPr>
    </w:p>
    <w:p w14:paraId="40D0B5D6">
      <w:pPr>
        <w:keepNext/>
        <w:keepLines/>
        <w:spacing w:line="360" w:lineRule="auto"/>
        <w:jc w:val="center"/>
        <w:rPr>
          <w:b/>
          <w:bCs/>
          <w:color w:val="auto"/>
          <w:sz w:val="48"/>
          <w:szCs w:val="56"/>
        </w:rPr>
      </w:pPr>
      <w:r>
        <w:rPr>
          <w:color w:val="auto"/>
          <w:sz w:val="30"/>
        </w:rPr>
        <w:br w:type="page"/>
      </w:r>
    </w:p>
    <w:p w14:paraId="4D5118C3">
      <w:pPr>
        <w:spacing w:before="84" w:line="188" w:lineRule="auto"/>
        <w:ind w:left="16" w:hanging="16" w:hangingChars="6"/>
        <w:jc w:val="center"/>
        <w:rPr>
          <w:rFonts w:ascii="Times New Roman" w:hAnsi="Times New Roman" w:eastAsia="Times New Roman" w:cs="Times New Roman"/>
          <w:color w:val="auto"/>
          <w:sz w:val="29"/>
          <w:szCs w:val="29"/>
        </w:rPr>
      </w:pPr>
      <w:bookmarkStart w:id="7" w:name="_Toc7616"/>
      <w:r>
        <w:rPr>
          <w:rFonts w:ascii="Times New Roman" w:hAnsi="Times New Roman" w:eastAsia="Times New Roman" w:cs="Times New Roman"/>
          <w:b/>
          <w:bCs/>
          <w:color w:val="auto"/>
          <w:spacing w:val="-12"/>
          <w:sz w:val="29"/>
          <w:szCs w:val="29"/>
        </w:rPr>
        <w:t>Contents</w:t>
      </w:r>
    </w:p>
    <w:p w14:paraId="3F23BB70">
      <w:pPr>
        <w:pStyle w:val="10"/>
        <w:tabs>
          <w:tab w:val="right" w:leader="dot" w:pos="8306"/>
        </w:tabs>
        <w:rPr>
          <w:color w:val="auto"/>
        </w:rPr>
      </w:pPr>
    </w:p>
    <w:p w14:paraId="454ED1CC">
      <w:pPr>
        <w:pStyle w:val="10"/>
        <w:tabs>
          <w:tab w:val="right" w:leader="dot" w:pos="8306"/>
        </w:tabs>
        <w:rPr>
          <w:rFonts w:ascii="Times New Roman" w:hAnsi="Times New Roman" w:eastAsia="Times New Roman" w:cs="Times New Roman"/>
          <w:snapToGrid w:val="0"/>
          <w:color w:val="auto"/>
          <w:spacing w:val="-1"/>
          <w:kern w:val="0"/>
          <w:sz w:val="18"/>
          <w:szCs w:val="18"/>
          <w:lang w:eastAsia="en-US"/>
        </w:rPr>
      </w:pPr>
      <w:r>
        <w:rPr>
          <w:color w:val="auto"/>
        </w:rPr>
        <w:fldChar w:fldCharType="begin"/>
      </w:r>
      <w:r>
        <w:rPr>
          <w:color w:val="auto"/>
        </w:rPr>
        <w:instrText xml:space="preserve"> HYPERLINK \l "_Toc9597" </w:instrText>
      </w:r>
      <w:r>
        <w:rPr>
          <w:color w:val="auto"/>
        </w:rPr>
        <w:fldChar w:fldCharType="separate"/>
      </w:r>
      <w:r>
        <w:rPr>
          <w:rFonts w:hint="eastAsia" w:ascii="Times New Roman" w:hAnsi="Times New Roman" w:eastAsia="Times New Roman" w:cs="Times New Roman"/>
          <w:snapToGrid w:val="0"/>
          <w:color w:val="auto"/>
          <w:spacing w:val="-1"/>
          <w:kern w:val="0"/>
          <w:sz w:val="18"/>
          <w:szCs w:val="18"/>
          <w:lang w:eastAsia="en-US"/>
        </w:rPr>
        <w:t>1 General provisions</w:t>
      </w:r>
      <w:r>
        <w:rPr>
          <w:rFonts w:ascii="Times New Roman" w:hAnsi="Times New Roman" w:eastAsia="Times New Roman" w:cs="Times New Roman"/>
          <w:snapToGrid w:val="0"/>
          <w:color w:val="auto"/>
          <w:spacing w:val="-1"/>
          <w:kern w:val="0"/>
          <w:sz w:val="18"/>
          <w:szCs w:val="18"/>
          <w:lang w:eastAsia="en-US"/>
        </w:rPr>
        <w:tab/>
      </w:r>
      <w:r>
        <w:rPr>
          <w:rFonts w:ascii="Times New Roman" w:hAnsi="Times New Roman" w:eastAsia="Times New Roman" w:cs="Times New Roman"/>
          <w:snapToGrid w:val="0"/>
          <w:color w:val="auto"/>
          <w:spacing w:val="-1"/>
          <w:kern w:val="0"/>
          <w:sz w:val="18"/>
          <w:szCs w:val="18"/>
          <w:lang w:eastAsia="en-US"/>
        </w:rPr>
        <w:fldChar w:fldCharType="begin"/>
      </w:r>
      <w:r>
        <w:rPr>
          <w:rFonts w:ascii="Times New Roman" w:hAnsi="Times New Roman" w:eastAsia="Times New Roman" w:cs="Times New Roman"/>
          <w:snapToGrid w:val="0"/>
          <w:color w:val="auto"/>
          <w:spacing w:val="-1"/>
          <w:kern w:val="0"/>
          <w:sz w:val="18"/>
          <w:szCs w:val="18"/>
          <w:lang w:eastAsia="en-US"/>
        </w:rPr>
        <w:instrText xml:space="preserve"> PAGEREF _Toc9597 \h </w:instrText>
      </w:r>
      <w:r>
        <w:rPr>
          <w:rFonts w:ascii="Times New Roman" w:hAnsi="Times New Roman" w:eastAsia="Times New Roman" w:cs="Times New Roman"/>
          <w:snapToGrid w:val="0"/>
          <w:color w:val="auto"/>
          <w:spacing w:val="-1"/>
          <w:kern w:val="0"/>
          <w:sz w:val="18"/>
          <w:szCs w:val="18"/>
          <w:lang w:eastAsia="en-US"/>
        </w:rPr>
        <w:fldChar w:fldCharType="separate"/>
      </w:r>
      <w:r>
        <w:rPr>
          <w:rFonts w:ascii="Times New Roman" w:hAnsi="Times New Roman" w:eastAsia="Times New Roman" w:cs="Times New Roman"/>
          <w:snapToGrid w:val="0"/>
          <w:color w:val="auto"/>
          <w:spacing w:val="-1"/>
          <w:kern w:val="0"/>
          <w:sz w:val="18"/>
          <w:szCs w:val="18"/>
          <w:lang w:eastAsia="en-US"/>
        </w:rPr>
        <w:t>1</w:t>
      </w:r>
      <w:r>
        <w:rPr>
          <w:rFonts w:ascii="Times New Roman" w:hAnsi="Times New Roman" w:eastAsia="Times New Roman" w:cs="Times New Roman"/>
          <w:snapToGrid w:val="0"/>
          <w:color w:val="auto"/>
          <w:spacing w:val="-1"/>
          <w:kern w:val="0"/>
          <w:sz w:val="18"/>
          <w:szCs w:val="18"/>
          <w:lang w:eastAsia="en-US"/>
        </w:rPr>
        <w:fldChar w:fldCharType="end"/>
      </w:r>
      <w:r>
        <w:rPr>
          <w:rFonts w:ascii="Times New Roman" w:hAnsi="Times New Roman" w:eastAsia="Times New Roman" w:cs="Times New Roman"/>
          <w:snapToGrid w:val="0"/>
          <w:color w:val="auto"/>
          <w:spacing w:val="-1"/>
          <w:kern w:val="0"/>
          <w:sz w:val="18"/>
          <w:szCs w:val="18"/>
          <w:lang w:eastAsia="en-US"/>
        </w:rPr>
        <w:fldChar w:fldCharType="end"/>
      </w:r>
    </w:p>
    <w:p w14:paraId="6F310396">
      <w:pPr>
        <w:pStyle w:val="10"/>
        <w:tabs>
          <w:tab w:val="right" w:leader="dot" w:pos="8306"/>
        </w:tabs>
        <w:rPr>
          <w:rFonts w:ascii="Times New Roman" w:hAnsi="Times New Roman" w:eastAsia="Times New Roman" w:cs="Times New Roman"/>
          <w:snapToGrid w:val="0"/>
          <w:color w:val="auto"/>
          <w:spacing w:val="-1"/>
          <w:kern w:val="0"/>
          <w:sz w:val="18"/>
          <w:szCs w:val="18"/>
          <w:lang w:eastAsia="en-US"/>
        </w:rPr>
      </w:pPr>
      <w:r>
        <w:rPr>
          <w:color w:val="auto"/>
        </w:rPr>
        <w:fldChar w:fldCharType="begin"/>
      </w:r>
      <w:r>
        <w:rPr>
          <w:color w:val="auto"/>
        </w:rPr>
        <w:instrText xml:space="preserve"> HYPERLINK \l "_Toc22337" </w:instrText>
      </w:r>
      <w:r>
        <w:rPr>
          <w:color w:val="auto"/>
        </w:rPr>
        <w:fldChar w:fldCharType="separate"/>
      </w:r>
      <w:r>
        <w:rPr>
          <w:rFonts w:hint="eastAsia" w:ascii="Times New Roman" w:hAnsi="Times New Roman" w:eastAsia="Times New Roman" w:cs="Times New Roman"/>
          <w:snapToGrid w:val="0"/>
          <w:color w:val="auto"/>
          <w:spacing w:val="-1"/>
          <w:kern w:val="0"/>
          <w:sz w:val="18"/>
          <w:szCs w:val="18"/>
          <w:lang w:eastAsia="en-US"/>
        </w:rPr>
        <w:t>2 Terms</w:t>
      </w:r>
      <w:r>
        <w:rPr>
          <w:rFonts w:ascii="Times New Roman" w:hAnsi="Times New Roman" w:eastAsia="Times New Roman" w:cs="Times New Roman"/>
          <w:snapToGrid w:val="0"/>
          <w:color w:val="auto"/>
          <w:spacing w:val="-1"/>
          <w:kern w:val="0"/>
          <w:sz w:val="18"/>
          <w:szCs w:val="18"/>
          <w:lang w:eastAsia="en-US"/>
        </w:rPr>
        <w:tab/>
      </w:r>
      <w:r>
        <w:rPr>
          <w:rFonts w:ascii="Times New Roman" w:hAnsi="Times New Roman" w:eastAsia="Times New Roman" w:cs="Times New Roman"/>
          <w:snapToGrid w:val="0"/>
          <w:color w:val="auto"/>
          <w:spacing w:val="-1"/>
          <w:kern w:val="0"/>
          <w:sz w:val="18"/>
          <w:szCs w:val="18"/>
          <w:lang w:eastAsia="en-US"/>
        </w:rPr>
        <w:fldChar w:fldCharType="begin"/>
      </w:r>
      <w:r>
        <w:rPr>
          <w:rFonts w:ascii="Times New Roman" w:hAnsi="Times New Roman" w:eastAsia="Times New Roman" w:cs="Times New Roman"/>
          <w:snapToGrid w:val="0"/>
          <w:color w:val="auto"/>
          <w:spacing w:val="-1"/>
          <w:kern w:val="0"/>
          <w:sz w:val="18"/>
          <w:szCs w:val="18"/>
          <w:lang w:eastAsia="en-US"/>
        </w:rPr>
        <w:instrText xml:space="preserve"> PAGEREF _Toc22337 \h </w:instrText>
      </w:r>
      <w:r>
        <w:rPr>
          <w:rFonts w:ascii="Times New Roman" w:hAnsi="Times New Roman" w:eastAsia="Times New Roman" w:cs="Times New Roman"/>
          <w:snapToGrid w:val="0"/>
          <w:color w:val="auto"/>
          <w:spacing w:val="-1"/>
          <w:kern w:val="0"/>
          <w:sz w:val="18"/>
          <w:szCs w:val="18"/>
          <w:lang w:eastAsia="en-US"/>
        </w:rPr>
        <w:fldChar w:fldCharType="separate"/>
      </w:r>
      <w:r>
        <w:rPr>
          <w:rFonts w:ascii="Times New Roman" w:hAnsi="Times New Roman" w:eastAsia="Times New Roman" w:cs="Times New Roman"/>
          <w:snapToGrid w:val="0"/>
          <w:color w:val="auto"/>
          <w:spacing w:val="-1"/>
          <w:kern w:val="0"/>
          <w:sz w:val="18"/>
          <w:szCs w:val="18"/>
          <w:lang w:eastAsia="en-US"/>
        </w:rPr>
        <w:t>2</w:t>
      </w:r>
      <w:r>
        <w:rPr>
          <w:rFonts w:ascii="Times New Roman" w:hAnsi="Times New Roman" w:eastAsia="Times New Roman" w:cs="Times New Roman"/>
          <w:snapToGrid w:val="0"/>
          <w:color w:val="auto"/>
          <w:spacing w:val="-1"/>
          <w:kern w:val="0"/>
          <w:sz w:val="18"/>
          <w:szCs w:val="18"/>
          <w:lang w:eastAsia="en-US"/>
        </w:rPr>
        <w:fldChar w:fldCharType="end"/>
      </w:r>
      <w:r>
        <w:rPr>
          <w:rFonts w:ascii="Times New Roman" w:hAnsi="Times New Roman" w:eastAsia="Times New Roman" w:cs="Times New Roman"/>
          <w:snapToGrid w:val="0"/>
          <w:color w:val="auto"/>
          <w:spacing w:val="-1"/>
          <w:kern w:val="0"/>
          <w:sz w:val="18"/>
          <w:szCs w:val="18"/>
          <w:lang w:eastAsia="en-US"/>
        </w:rPr>
        <w:fldChar w:fldCharType="end"/>
      </w:r>
    </w:p>
    <w:p w14:paraId="5C1545CF">
      <w:pPr>
        <w:pStyle w:val="10"/>
        <w:tabs>
          <w:tab w:val="right" w:leader="dot" w:pos="8306"/>
        </w:tabs>
        <w:rPr>
          <w:rFonts w:ascii="Times New Roman" w:hAnsi="Times New Roman" w:eastAsia="Times New Roman" w:cs="Times New Roman"/>
          <w:snapToGrid w:val="0"/>
          <w:color w:val="auto"/>
          <w:spacing w:val="-1"/>
          <w:kern w:val="0"/>
          <w:sz w:val="18"/>
          <w:szCs w:val="18"/>
          <w:lang w:eastAsia="en-US"/>
        </w:rPr>
      </w:pPr>
      <w:r>
        <w:rPr>
          <w:color w:val="auto"/>
        </w:rPr>
        <w:fldChar w:fldCharType="begin"/>
      </w:r>
      <w:r>
        <w:rPr>
          <w:color w:val="auto"/>
        </w:rPr>
        <w:instrText xml:space="preserve"> HYPERLINK \l "_Toc12219" </w:instrText>
      </w:r>
      <w:r>
        <w:rPr>
          <w:color w:val="auto"/>
        </w:rPr>
        <w:fldChar w:fldCharType="separate"/>
      </w:r>
      <w:r>
        <w:rPr>
          <w:rFonts w:hint="eastAsia" w:ascii="Times New Roman" w:hAnsi="Times New Roman" w:eastAsia="Times New Roman" w:cs="Times New Roman"/>
          <w:snapToGrid w:val="0"/>
          <w:color w:val="auto"/>
          <w:spacing w:val="-1"/>
          <w:kern w:val="0"/>
          <w:sz w:val="18"/>
          <w:szCs w:val="18"/>
          <w:lang w:eastAsia="en-US"/>
        </w:rPr>
        <w:t xml:space="preserve">3 Basic </w:t>
      </w:r>
      <w:r>
        <w:rPr>
          <w:rFonts w:hint="eastAsia" w:ascii="Times New Roman" w:hAnsi="Times New Roman" w:eastAsia="宋体" w:cs="Times New Roman"/>
          <w:snapToGrid w:val="0"/>
          <w:color w:val="auto"/>
          <w:spacing w:val="-1"/>
          <w:kern w:val="0"/>
          <w:sz w:val="18"/>
          <w:szCs w:val="18"/>
          <w:lang w:val="en-US" w:eastAsia="zh-CN"/>
        </w:rPr>
        <w:t>requirements</w:t>
      </w:r>
      <w:r>
        <w:rPr>
          <w:rFonts w:ascii="Times New Roman" w:hAnsi="Times New Roman" w:eastAsia="Times New Roman" w:cs="Times New Roman"/>
          <w:snapToGrid w:val="0"/>
          <w:color w:val="auto"/>
          <w:spacing w:val="-1"/>
          <w:kern w:val="0"/>
          <w:sz w:val="18"/>
          <w:szCs w:val="18"/>
          <w:lang w:eastAsia="en-US"/>
        </w:rPr>
        <w:tab/>
      </w:r>
      <w:r>
        <w:rPr>
          <w:rFonts w:hint="eastAsia" w:ascii="Times New Roman" w:hAnsi="Times New Roman" w:eastAsia="宋体" w:cs="Times New Roman"/>
          <w:snapToGrid w:val="0"/>
          <w:color w:val="auto"/>
          <w:spacing w:val="-1"/>
          <w:kern w:val="0"/>
          <w:sz w:val="18"/>
          <w:szCs w:val="18"/>
          <w:lang w:val="en-US" w:eastAsia="zh-CN"/>
        </w:rPr>
        <w:t>5</w:t>
      </w:r>
      <w:r>
        <w:rPr>
          <w:rFonts w:ascii="Times New Roman" w:hAnsi="Times New Roman" w:eastAsia="Times New Roman" w:cs="Times New Roman"/>
          <w:snapToGrid w:val="0"/>
          <w:color w:val="auto"/>
          <w:spacing w:val="-1"/>
          <w:kern w:val="0"/>
          <w:sz w:val="18"/>
          <w:szCs w:val="18"/>
          <w:lang w:eastAsia="en-US"/>
        </w:rPr>
        <w:fldChar w:fldCharType="end"/>
      </w:r>
    </w:p>
    <w:p w14:paraId="11FE946E">
      <w:pPr>
        <w:pStyle w:val="11"/>
        <w:tabs>
          <w:tab w:val="right" w:leader="dot" w:pos="8306"/>
        </w:tabs>
        <w:rPr>
          <w:rFonts w:ascii="Times New Roman" w:hAnsi="Times New Roman" w:eastAsia="Times New Roman" w:cs="Times New Roman"/>
          <w:snapToGrid w:val="0"/>
          <w:color w:val="auto"/>
          <w:spacing w:val="-1"/>
          <w:kern w:val="0"/>
          <w:sz w:val="18"/>
          <w:szCs w:val="18"/>
          <w:lang w:eastAsia="en-US"/>
        </w:rPr>
      </w:pPr>
      <w:r>
        <w:rPr>
          <w:color w:val="auto"/>
        </w:rPr>
        <w:fldChar w:fldCharType="begin"/>
      </w:r>
      <w:r>
        <w:rPr>
          <w:color w:val="auto"/>
        </w:rPr>
        <w:instrText xml:space="preserve"> HYPERLINK \l "_Toc3294" </w:instrText>
      </w:r>
      <w:r>
        <w:rPr>
          <w:color w:val="auto"/>
        </w:rPr>
        <w:fldChar w:fldCharType="separate"/>
      </w:r>
      <w:r>
        <w:rPr>
          <w:rFonts w:hint="eastAsia" w:ascii="Times New Roman" w:hAnsi="Times New Roman" w:eastAsia="Times New Roman" w:cs="Times New Roman"/>
          <w:snapToGrid w:val="0"/>
          <w:color w:val="auto"/>
          <w:spacing w:val="-1"/>
          <w:kern w:val="0"/>
          <w:sz w:val="18"/>
          <w:szCs w:val="18"/>
          <w:lang w:eastAsia="en-US"/>
        </w:rPr>
        <w:t>3.1 General Provisions</w:t>
      </w:r>
      <w:r>
        <w:rPr>
          <w:rFonts w:ascii="Times New Roman" w:hAnsi="Times New Roman" w:eastAsia="Times New Roman" w:cs="Times New Roman"/>
          <w:snapToGrid w:val="0"/>
          <w:color w:val="auto"/>
          <w:spacing w:val="-1"/>
          <w:kern w:val="0"/>
          <w:sz w:val="18"/>
          <w:szCs w:val="18"/>
          <w:lang w:eastAsia="en-US"/>
        </w:rPr>
        <w:tab/>
      </w:r>
      <w:r>
        <w:rPr>
          <w:rFonts w:hint="eastAsia" w:ascii="Times New Roman" w:hAnsi="Times New Roman" w:eastAsia="宋体" w:cs="Times New Roman"/>
          <w:snapToGrid w:val="0"/>
          <w:color w:val="auto"/>
          <w:spacing w:val="-1"/>
          <w:kern w:val="0"/>
          <w:sz w:val="18"/>
          <w:szCs w:val="18"/>
          <w:lang w:val="en-US" w:eastAsia="zh-CN"/>
        </w:rPr>
        <w:t>5</w:t>
      </w:r>
      <w:r>
        <w:rPr>
          <w:rFonts w:ascii="Times New Roman" w:hAnsi="Times New Roman" w:eastAsia="Times New Roman" w:cs="Times New Roman"/>
          <w:snapToGrid w:val="0"/>
          <w:color w:val="auto"/>
          <w:spacing w:val="-1"/>
          <w:kern w:val="0"/>
          <w:sz w:val="18"/>
          <w:szCs w:val="18"/>
          <w:lang w:eastAsia="en-US"/>
        </w:rPr>
        <w:fldChar w:fldCharType="end"/>
      </w:r>
    </w:p>
    <w:p w14:paraId="0B4A6F75">
      <w:pPr>
        <w:pStyle w:val="11"/>
        <w:tabs>
          <w:tab w:val="right" w:leader="dot" w:pos="8306"/>
        </w:tabs>
        <w:rPr>
          <w:rFonts w:ascii="Times New Roman" w:hAnsi="Times New Roman" w:eastAsia="Times New Roman" w:cs="Times New Roman"/>
          <w:snapToGrid w:val="0"/>
          <w:color w:val="auto"/>
          <w:spacing w:val="-1"/>
          <w:kern w:val="0"/>
          <w:sz w:val="18"/>
          <w:szCs w:val="18"/>
          <w:lang w:eastAsia="en-US"/>
        </w:rPr>
      </w:pPr>
      <w:r>
        <w:rPr>
          <w:color w:val="auto"/>
        </w:rPr>
        <w:fldChar w:fldCharType="begin"/>
      </w:r>
      <w:r>
        <w:rPr>
          <w:color w:val="auto"/>
        </w:rPr>
        <w:instrText xml:space="preserve"> HYPERLINK \l "_Toc6803" </w:instrText>
      </w:r>
      <w:r>
        <w:rPr>
          <w:color w:val="auto"/>
        </w:rPr>
        <w:fldChar w:fldCharType="separate"/>
      </w:r>
      <w:r>
        <w:rPr>
          <w:rFonts w:hint="eastAsia" w:ascii="Times New Roman" w:hAnsi="Times New Roman" w:eastAsia="Times New Roman" w:cs="Times New Roman"/>
          <w:snapToGrid w:val="0"/>
          <w:color w:val="auto"/>
          <w:spacing w:val="-1"/>
          <w:kern w:val="0"/>
          <w:sz w:val="18"/>
          <w:szCs w:val="18"/>
          <w:lang w:eastAsia="en-US"/>
        </w:rPr>
        <w:t>3.2 Scoring regulations</w:t>
      </w:r>
      <w:r>
        <w:rPr>
          <w:rFonts w:ascii="Times New Roman" w:hAnsi="Times New Roman" w:eastAsia="Times New Roman" w:cs="Times New Roman"/>
          <w:snapToGrid w:val="0"/>
          <w:color w:val="auto"/>
          <w:spacing w:val="-1"/>
          <w:kern w:val="0"/>
          <w:sz w:val="18"/>
          <w:szCs w:val="18"/>
          <w:lang w:eastAsia="en-US"/>
        </w:rPr>
        <w:tab/>
      </w:r>
      <w:r>
        <w:rPr>
          <w:rFonts w:hint="eastAsia" w:ascii="Times New Roman" w:hAnsi="Times New Roman" w:eastAsia="宋体" w:cs="Times New Roman"/>
          <w:snapToGrid w:val="0"/>
          <w:color w:val="auto"/>
          <w:spacing w:val="-1"/>
          <w:kern w:val="0"/>
          <w:sz w:val="18"/>
          <w:szCs w:val="18"/>
          <w:lang w:val="en-US" w:eastAsia="zh-CN"/>
        </w:rPr>
        <w:t>5</w:t>
      </w:r>
      <w:r>
        <w:rPr>
          <w:rFonts w:hint="eastAsia" w:ascii="Times New Roman" w:hAnsi="Times New Roman" w:eastAsia="宋体" w:cs="Times New Roman"/>
          <w:snapToGrid w:val="0"/>
          <w:color w:val="auto"/>
          <w:spacing w:val="-1"/>
          <w:kern w:val="0"/>
          <w:sz w:val="18"/>
          <w:szCs w:val="18"/>
        </w:rPr>
        <w:fldChar w:fldCharType="end"/>
      </w:r>
    </w:p>
    <w:p w14:paraId="4CCBBB39">
      <w:pPr>
        <w:pStyle w:val="10"/>
        <w:tabs>
          <w:tab w:val="right" w:leader="dot" w:pos="8306"/>
        </w:tabs>
        <w:rPr>
          <w:rFonts w:ascii="Times New Roman" w:hAnsi="Times New Roman" w:eastAsia="Times New Roman" w:cs="Times New Roman"/>
          <w:snapToGrid w:val="0"/>
          <w:color w:val="auto"/>
          <w:spacing w:val="-1"/>
          <w:kern w:val="0"/>
          <w:sz w:val="18"/>
          <w:szCs w:val="18"/>
          <w:lang w:eastAsia="en-US"/>
        </w:rPr>
      </w:pPr>
      <w:r>
        <w:rPr>
          <w:color w:val="auto"/>
        </w:rPr>
        <w:fldChar w:fldCharType="begin"/>
      </w:r>
      <w:r>
        <w:rPr>
          <w:color w:val="auto"/>
        </w:rPr>
        <w:instrText xml:space="preserve"> HYPERLINK \l "_Toc21253" </w:instrText>
      </w:r>
      <w:r>
        <w:rPr>
          <w:color w:val="auto"/>
        </w:rPr>
        <w:fldChar w:fldCharType="separate"/>
      </w:r>
      <w:r>
        <w:rPr>
          <w:rFonts w:hint="eastAsia" w:ascii="Times New Roman" w:hAnsi="Times New Roman" w:eastAsia="Times New Roman" w:cs="Times New Roman"/>
          <w:snapToGrid w:val="0"/>
          <w:color w:val="auto"/>
          <w:spacing w:val="-1"/>
          <w:kern w:val="0"/>
          <w:sz w:val="18"/>
          <w:szCs w:val="18"/>
          <w:lang w:eastAsia="en-US"/>
        </w:rPr>
        <w:t>4. Environmental sustainability</w:t>
      </w:r>
      <w:r>
        <w:rPr>
          <w:rFonts w:ascii="Times New Roman" w:hAnsi="Times New Roman" w:eastAsia="Times New Roman" w:cs="Times New Roman"/>
          <w:snapToGrid w:val="0"/>
          <w:color w:val="auto"/>
          <w:spacing w:val="-1"/>
          <w:kern w:val="0"/>
          <w:sz w:val="18"/>
          <w:szCs w:val="18"/>
          <w:lang w:eastAsia="en-US"/>
        </w:rPr>
        <w:tab/>
      </w:r>
      <w:r>
        <w:rPr>
          <w:rFonts w:hint="eastAsia" w:ascii="Times New Roman" w:hAnsi="Times New Roman" w:eastAsia="宋体" w:cs="Times New Roman"/>
          <w:snapToGrid w:val="0"/>
          <w:color w:val="auto"/>
          <w:spacing w:val="-1"/>
          <w:kern w:val="0"/>
          <w:sz w:val="18"/>
          <w:szCs w:val="18"/>
          <w:lang w:val="en-US" w:eastAsia="zh-CN"/>
        </w:rPr>
        <w:t>7</w:t>
      </w:r>
      <w:r>
        <w:rPr>
          <w:rFonts w:hint="eastAsia" w:ascii="Times New Roman" w:hAnsi="Times New Roman" w:eastAsia="宋体" w:cs="Times New Roman"/>
          <w:snapToGrid w:val="0"/>
          <w:color w:val="auto"/>
          <w:spacing w:val="-1"/>
          <w:kern w:val="0"/>
          <w:sz w:val="18"/>
          <w:szCs w:val="18"/>
        </w:rPr>
        <w:fldChar w:fldCharType="end"/>
      </w:r>
    </w:p>
    <w:p w14:paraId="27285B38">
      <w:pPr>
        <w:pStyle w:val="11"/>
        <w:tabs>
          <w:tab w:val="right" w:leader="dot" w:pos="8306"/>
        </w:tabs>
        <w:rPr>
          <w:rFonts w:ascii="Times New Roman" w:hAnsi="Times New Roman" w:eastAsia="Times New Roman" w:cs="Times New Roman"/>
          <w:snapToGrid w:val="0"/>
          <w:color w:val="auto"/>
          <w:spacing w:val="-1"/>
          <w:kern w:val="0"/>
          <w:sz w:val="18"/>
          <w:szCs w:val="18"/>
          <w:lang w:eastAsia="en-US"/>
        </w:rPr>
      </w:pPr>
      <w:r>
        <w:rPr>
          <w:color w:val="auto"/>
        </w:rPr>
        <w:fldChar w:fldCharType="begin"/>
      </w:r>
      <w:r>
        <w:rPr>
          <w:color w:val="auto"/>
        </w:rPr>
        <w:instrText xml:space="preserve"> HYPERLINK \l "_Toc21035" </w:instrText>
      </w:r>
      <w:r>
        <w:rPr>
          <w:color w:val="auto"/>
        </w:rPr>
        <w:fldChar w:fldCharType="separate"/>
      </w:r>
      <w:r>
        <w:rPr>
          <w:rFonts w:hint="eastAsia" w:ascii="Times New Roman" w:hAnsi="Times New Roman" w:eastAsia="Times New Roman" w:cs="Times New Roman"/>
          <w:snapToGrid w:val="0"/>
          <w:color w:val="auto"/>
          <w:spacing w:val="-1"/>
          <w:kern w:val="0"/>
          <w:sz w:val="18"/>
          <w:szCs w:val="18"/>
          <w:lang w:eastAsia="en-US"/>
        </w:rPr>
        <w:t xml:space="preserve">4.1 </w:t>
      </w:r>
      <w:r>
        <w:rPr>
          <w:rFonts w:hint="eastAsia" w:ascii="Times New Roman" w:hAnsi="Times New Roman" w:eastAsia="Times New Roman" w:cs="Times New Roman"/>
          <w:snapToGrid w:val="0"/>
          <w:color w:val="auto"/>
          <w:spacing w:val="-1"/>
          <w:kern w:val="0"/>
          <w:sz w:val="18"/>
          <w:szCs w:val="18"/>
        </w:rPr>
        <w:t>T</w:t>
      </w:r>
      <w:r>
        <w:rPr>
          <w:rFonts w:hint="eastAsia" w:ascii="Times New Roman" w:hAnsi="Times New Roman" w:eastAsia="Times New Roman" w:cs="Times New Roman"/>
          <w:snapToGrid w:val="0"/>
          <w:color w:val="auto"/>
          <w:spacing w:val="-1"/>
          <w:kern w:val="0"/>
          <w:sz w:val="18"/>
          <w:szCs w:val="18"/>
          <w:lang w:eastAsia="en-US"/>
        </w:rPr>
        <w:t>he control item</w:t>
      </w:r>
      <w:r>
        <w:rPr>
          <w:rFonts w:hint="eastAsia" w:ascii="Times New Roman" w:hAnsi="Times New Roman" w:eastAsia="Times New Roman" w:cs="Times New Roman"/>
          <w:snapToGrid w:val="0"/>
          <w:color w:val="auto"/>
          <w:spacing w:val="-1"/>
          <w:kern w:val="0"/>
          <w:sz w:val="18"/>
          <w:szCs w:val="18"/>
        </w:rPr>
        <w:t>s</w:t>
      </w:r>
      <w:r>
        <w:rPr>
          <w:rFonts w:ascii="Times New Roman" w:hAnsi="Times New Roman" w:eastAsia="Times New Roman" w:cs="Times New Roman"/>
          <w:snapToGrid w:val="0"/>
          <w:color w:val="auto"/>
          <w:spacing w:val="-1"/>
          <w:kern w:val="0"/>
          <w:sz w:val="18"/>
          <w:szCs w:val="18"/>
          <w:lang w:eastAsia="en-US"/>
        </w:rPr>
        <w:tab/>
      </w:r>
      <w:r>
        <w:rPr>
          <w:rFonts w:hint="eastAsia" w:ascii="Times New Roman" w:hAnsi="Times New Roman" w:eastAsia="宋体" w:cs="Times New Roman"/>
          <w:snapToGrid w:val="0"/>
          <w:color w:val="auto"/>
          <w:spacing w:val="-1"/>
          <w:kern w:val="0"/>
          <w:sz w:val="18"/>
          <w:szCs w:val="18"/>
          <w:lang w:val="en-US" w:eastAsia="zh-CN"/>
        </w:rPr>
        <w:t>7</w:t>
      </w:r>
      <w:r>
        <w:rPr>
          <w:rFonts w:hint="eastAsia" w:ascii="Times New Roman" w:hAnsi="Times New Roman" w:eastAsia="宋体" w:cs="Times New Roman"/>
          <w:snapToGrid w:val="0"/>
          <w:color w:val="auto"/>
          <w:spacing w:val="-1"/>
          <w:kern w:val="0"/>
          <w:sz w:val="18"/>
          <w:szCs w:val="18"/>
        </w:rPr>
        <w:fldChar w:fldCharType="end"/>
      </w:r>
    </w:p>
    <w:p w14:paraId="217B1F7F">
      <w:pPr>
        <w:pStyle w:val="11"/>
        <w:tabs>
          <w:tab w:val="right" w:leader="dot" w:pos="8306"/>
        </w:tabs>
        <w:rPr>
          <w:rFonts w:ascii="Times New Roman" w:hAnsi="Times New Roman" w:eastAsia="Times New Roman" w:cs="Times New Roman"/>
          <w:snapToGrid w:val="0"/>
          <w:color w:val="auto"/>
          <w:spacing w:val="-1"/>
          <w:kern w:val="0"/>
          <w:sz w:val="18"/>
          <w:szCs w:val="18"/>
          <w:lang w:eastAsia="en-US"/>
        </w:rPr>
      </w:pPr>
      <w:r>
        <w:rPr>
          <w:color w:val="auto"/>
        </w:rPr>
        <w:fldChar w:fldCharType="begin"/>
      </w:r>
      <w:r>
        <w:rPr>
          <w:color w:val="auto"/>
        </w:rPr>
        <w:instrText xml:space="preserve"> HYPERLINK \l "_Toc13239" </w:instrText>
      </w:r>
      <w:r>
        <w:rPr>
          <w:color w:val="auto"/>
        </w:rPr>
        <w:fldChar w:fldCharType="separate"/>
      </w:r>
      <w:r>
        <w:rPr>
          <w:rFonts w:hint="eastAsia" w:ascii="Times New Roman" w:hAnsi="Times New Roman" w:eastAsia="Times New Roman" w:cs="Times New Roman"/>
          <w:snapToGrid w:val="0"/>
          <w:color w:val="auto"/>
          <w:spacing w:val="-1"/>
          <w:kern w:val="0"/>
          <w:sz w:val="18"/>
          <w:szCs w:val="18"/>
          <w:lang w:eastAsia="en-US"/>
        </w:rPr>
        <w:t xml:space="preserve">4.2 </w:t>
      </w:r>
      <w:r>
        <w:rPr>
          <w:rFonts w:hint="eastAsia" w:ascii="Times New Roman" w:hAnsi="Times New Roman" w:eastAsia="Times New Roman" w:cs="Times New Roman"/>
          <w:snapToGrid w:val="0"/>
          <w:color w:val="auto"/>
          <w:spacing w:val="-1"/>
          <w:kern w:val="0"/>
          <w:sz w:val="18"/>
          <w:szCs w:val="18"/>
        </w:rPr>
        <w:t>T</w:t>
      </w:r>
      <w:r>
        <w:rPr>
          <w:rFonts w:hint="eastAsia" w:ascii="Times New Roman" w:hAnsi="Times New Roman" w:eastAsia="Times New Roman" w:cs="Times New Roman"/>
          <w:snapToGrid w:val="0"/>
          <w:color w:val="auto"/>
          <w:spacing w:val="-1"/>
          <w:kern w:val="0"/>
          <w:sz w:val="18"/>
          <w:szCs w:val="18"/>
          <w:lang w:eastAsia="en-US"/>
        </w:rPr>
        <w:t>he scoring items</w:t>
      </w:r>
      <w:r>
        <w:rPr>
          <w:rFonts w:ascii="Times New Roman" w:hAnsi="Times New Roman" w:eastAsia="Times New Roman" w:cs="Times New Roman"/>
          <w:snapToGrid w:val="0"/>
          <w:color w:val="auto"/>
          <w:spacing w:val="-1"/>
          <w:kern w:val="0"/>
          <w:sz w:val="18"/>
          <w:szCs w:val="18"/>
          <w:lang w:eastAsia="en-US"/>
        </w:rPr>
        <w:tab/>
      </w:r>
      <w:r>
        <w:rPr>
          <w:rFonts w:hint="eastAsia" w:ascii="Times New Roman" w:hAnsi="Times New Roman" w:eastAsia="宋体" w:cs="Times New Roman"/>
          <w:snapToGrid w:val="0"/>
          <w:color w:val="auto"/>
          <w:spacing w:val="-1"/>
          <w:kern w:val="0"/>
          <w:sz w:val="18"/>
          <w:szCs w:val="18"/>
          <w:lang w:val="en-US" w:eastAsia="zh-CN"/>
        </w:rPr>
        <w:t>7</w:t>
      </w:r>
      <w:r>
        <w:rPr>
          <w:rFonts w:hint="eastAsia" w:ascii="Times New Roman" w:hAnsi="Times New Roman" w:eastAsia="宋体" w:cs="Times New Roman"/>
          <w:snapToGrid w:val="0"/>
          <w:color w:val="auto"/>
          <w:spacing w:val="-1"/>
          <w:kern w:val="0"/>
          <w:sz w:val="18"/>
          <w:szCs w:val="18"/>
        </w:rPr>
        <w:fldChar w:fldCharType="end"/>
      </w:r>
    </w:p>
    <w:p w14:paraId="1126E816">
      <w:pPr>
        <w:pStyle w:val="10"/>
        <w:tabs>
          <w:tab w:val="right" w:leader="dot" w:pos="8306"/>
        </w:tabs>
        <w:rPr>
          <w:rFonts w:hint="eastAsia" w:ascii="Times New Roman" w:hAnsi="Times New Roman" w:eastAsia="宋体" w:cs="Times New Roman"/>
          <w:snapToGrid w:val="0"/>
          <w:color w:val="auto"/>
          <w:spacing w:val="-1"/>
          <w:kern w:val="0"/>
          <w:sz w:val="18"/>
          <w:szCs w:val="18"/>
          <w:lang w:eastAsia="zh-CN"/>
        </w:rPr>
      </w:pPr>
      <w:r>
        <w:rPr>
          <w:color w:val="auto"/>
        </w:rPr>
        <w:fldChar w:fldCharType="begin"/>
      </w:r>
      <w:r>
        <w:rPr>
          <w:color w:val="auto"/>
        </w:rPr>
        <w:instrText xml:space="preserve"> HYPERLINK \l "_Toc12919" </w:instrText>
      </w:r>
      <w:r>
        <w:rPr>
          <w:color w:val="auto"/>
        </w:rPr>
        <w:fldChar w:fldCharType="separate"/>
      </w:r>
      <w:r>
        <w:rPr>
          <w:rFonts w:hint="eastAsia" w:ascii="Times New Roman" w:hAnsi="Times New Roman" w:eastAsia="Times New Roman" w:cs="Times New Roman"/>
          <w:snapToGrid w:val="0"/>
          <w:color w:val="auto"/>
          <w:spacing w:val="-1"/>
          <w:kern w:val="0"/>
          <w:sz w:val="18"/>
          <w:szCs w:val="18"/>
          <w:lang w:eastAsia="en-US"/>
        </w:rPr>
        <w:t>5 Resource sustainability</w:t>
      </w:r>
      <w:r>
        <w:rPr>
          <w:rFonts w:ascii="Times New Roman" w:hAnsi="Times New Roman" w:eastAsia="Times New Roman" w:cs="Times New Roman"/>
          <w:snapToGrid w:val="0"/>
          <w:color w:val="auto"/>
          <w:spacing w:val="-1"/>
          <w:kern w:val="0"/>
          <w:sz w:val="18"/>
          <w:szCs w:val="18"/>
          <w:lang w:eastAsia="en-US"/>
        </w:rPr>
        <w:tab/>
      </w:r>
      <w:r>
        <w:rPr>
          <w:rFonts w:ascii="Times New Roman" w:hAnsi="Times New Roman" w:eastAsia="Times New Roman" w:cs="Times New Roman"/>
          <w:snapToGrid w:val="0"/>
          <w:color w:val="auto"/>
          <w:spacing w:val="-1"/>
          <w:kern w:val="0"/>
          <w:sz w:val="18"/>
          <w:szCs w:val="18"/>
          <w:lang w:eastAsia="en-US"/>
        </w:rPr>
        <w:fldChar w:fldCharType="begin"/>
      </w:r>
      <w:r>
        <w:rPr>
          <w:rFonts w:ascii="Times New Roman" w:hAnsi="Times New Roman" w:eastAsia="Times New Roman" w:cs="Times New Roman"/>
          <w:snapToGrid w:val="0"/>
          <w:color w:val="auto"/>
          <w:spacing w:val="-1"/>
          <w:kern w:val="0"/>
          <w:sz w:val="18"/>
          <w:szCs w:val="18"/>
          <w:lang w:eastAsia="en-US"/>
        </w:rPr>
        <w:instrText xml:space="preserve"> PAGEREF _Toc12919 \h </w:instrText>
      </w:r>
      <w:r>
        <w:rPr>
          <w:rFonts w:ascii="Times New Roman" w:hAnsi="Times New Roman" w:eastAsia="Times New Roman" w:cs="Times New Roman"/>
          <w:snapToGrid w:val="0"/>
          <w:color w:val="auto"/>
          <w:spacing w:val="-1"/>
          <w:kern w:val="0"/>
          <w:sz w:val="18"/>
          <w:szCs w:val="18"/>
          <w:lang w:eastAsia="en-US"/>
        </w:rPr>
        <w:fldChar w:fldCharType="separate"/>
      </w:r>
      <w:r>
        <w:rPr>
          <w:rFonts w:ascii="Times New Roman" w:hAnsi="Times New Roman" w:eastAsia="Times New Roman" w:cs="Times New Roman"/>
          <w:snapToGrid w:val="0"/>
          <w:color w:val="auto"/>
          <w:spacing w:val="-1"/>
          <w:kern w:val="0"/>
          <w:sz w:val="18"/>
          <w:szCs w:val="18"/>
          <w:lang w:eastAsia="en-US"/>
        </w:rPr>
        <w:t>1</w:t>
      </w:r>
      <w:r>
        <w:rPr>
          <w:rFonts w:ascii="Times New Roman" w:hAnsi="Times New Roman" w:eastAsia="Times New Roman" w:cs="Times New Roman"/>
          <w:snapToGrid w:val="0"/>
          <w:color w:val="auto"/>
          <w:spacing w:val="-1"/>
          <w:kern w:val="0"/>
          <w:sz w:val="18"/>
          <w:szCs w:val="18"/>
          <w:lang w:eastAsia="en-US"/>
        </w:rPr>
        <w:fldChar w:fldCharType="end"/>
      </w:r>
      <w:r>
        <w:rPr>
          <w:rFonts w:ascii="Times New Roman" w:hAnsi="Times New Roman" w:eastAsia="Times New Roman" w:cs="Times New Roman"/>
          <w:snapToGrid w:val="0"/>
          <w:color w:val="auto"/>
          <w:spacing w:val="-1"/>
          <w:kern w:val="0"/>
          <w:sz w:val="18"/>
          <w:szCs w:val="18"/>
          <w:lang w:eastAsia="en-US"/>
        </w:rPr>
        <w:fldChar w:fldCharType="end"/>
      </w:r>
      <w:r>
        <w:rPr>
          <w:rFonts w:hint="eastAsia" w:ascii="Times New Roman" w:hAnsi="Times New Roman" w:eastAsia="宋体" w:cs="Times New Roman"/>
          <w:snapToGrid w:val="0"/>
          <w:color w:val="auto"/>
          <w:spacing w:val="-1"/>
          <w:kern w:val="0"/>
          <w:sz w:val="18"/>
          <w:szCs w:val="18"/>
          <w:lang w:val="en-US" w:eastAsia="zh-CN"/>
        </w:rPr>
        <w:t>1</w:t>
      </w:r>
    </w:p>
    <w:p w14:paraId="18D807C0">
      <w:pPr>
        <w:pStyle w:val="11"/>
        <w:tabs>
          <w:tab w:val="right" w:leader="dot" w:pos="8306"/>
        </w:tabs>
        <w:rPr>
          <w:rFonts w:hint="eastAsia" w:ascii="Times New Roman" w:hAnsi="Times New Roman" w:eastAsia="宋体" w:cs="Times New Roman"/>
          <w:snapToGrid w:val="0"/>
          <w:color w:val="auto"/>
          <w:spacing w:val="-1"/>
          <w:kern w:val="0"/>
          <w:sz w:val="18"/>
          <w:szCs w:val="18"/>
          <w:lang w:eastAsia="zh-CN"/>
        </w:rPr>
      </w:pPr>
      <w:r>
        <w:rPr>
          <w:color w:val="auto"/>
        </w:rPr>
        <w:fldChar w:fldCharType="begin"/>
      </w:r>
      <w:r>
        <w:rPr>
          <w:color w:val="auto"/>
        </w:rPr>
        <w:instrText xml:space="preserve"> HYPERLINK \l "_Toc20641" </w:instrText>
      </w:r>
      <w:r>
        <w:rPr>
          <w:color w:val="auto"/>
        </w:rPr>
        <w:fldChar w:fldCharType="separate"/>
      </w:r>
      <w:r>
        <w:rPr>
          <w:rFonts w:hint="eastAsia" w:ascii="Times New Roman" w:hAnsi="Times New Roman" w:eastAsia="Times New Roman" w:cs="Times New Roman"/>
          <w:snapToGrid w:val="0"/>
          <w:color w:val="auto"/>
          <w:spacing w:val="-1"/>
          <w:kern w:val="0"/>
          <w:sz w:val="18"/>
          <w:szCs w:val="18"/>
          <w:lang w:eastAsia="en-US"/>
        </w:rPr>
        <w:t xml:space="preserve">5.1 </w:t>
      </w:r>
      <w:r>
        <w:rPr>
          <w:rFonts w:hint="eastAsia" w:ascii="Times New Roman" w:hAnsi="Times New Roman" w:eastAsia="Times New Roman" w:cs="Times New Roman"/>
          <w:snapToGrid w:val="0"/>
          <w:color w:val="auto"/>
          <w:spacing w:val="-1"/>
          <w:kern w:val="0"/>
          <w:sz w:val="18"/>
          <w:szCs w:val="18"/>
        </w:rPr>
        <w:t>T</w:t>
      </w:r>
      <w:r>
        <w:rPr>
          <w:rFonts w:hint="eastAsia" w:ascii="Times New Roman" w:hAnsi="Times New Roman" w:eastAsia="Times New Roman" w:cs="Times New Roman"/>
          <w:snapToGrid w:val="0"/>
          <w:color w:val="auto"/>
          <w:spacing w:val="-1"/>
          <w:kern w:val="0"/>
          <w:sz w:val="18"/>
          <w:szCs w:val="18"/>
          <w:lang w:eastAsia="en-US"/>
        </w:rPr>
        <w:t>he control item</w:t>
      </w:r>
      <w:r>
        <w:rPr>
          <w:rFonts w:hint="eastAsia" w:ascii="Times New Roman" w:hAnsi="Times New Roman" w:eastAsia="Times New Roman" w:cs="Times New Roman"/>
          <w:snapToGrid w:val="0"/>
          <w:color w:val="auto"/>
          <w:spacing w:val="-1"/>
          <w:kern w:val="0"/>
          <w:sz w:val="18"/>
          <w:szCs w:val="18"/>
        </w:rPr>
        <w:t>s</w:t>
      </w:r>
      <w:r>
        <w:rPr>
          <w:rFonts w:ascii="Times New Roman" w:hAnsi="Times New Roman" w:eastAsia="Times New Roman" w:cs="Times New Roman"/>
          <w:snapToGrid w:val="0"/>
          <w:color w:val="auto"/>
          <w:spacing w:val="-1"/>
          <w:kern w:val="0"/>
          <w:sz w:val="18"/>
          <w:szCs w:val="18"/>
          <w:lang w:eastAsia="en-US"/>
        </w:rPr>
        <w:tab/>
      </w:r>
      <w:r>
        <w:rPr>
          <w:rFonts w:ascii="Times New Roman" w:hAnsi="Times New Roman" w:eastAsia="Times New Roman" w:cs="Times New Roman"/>
          <w:snapToGrid w:val="0"/>
          <w:color w:val="auto"/>
          <w:spacing w:val="-1"/>
          <w:kern w:val="0"/>
          <w:sz w:val="18"/>
          <w:szCs w:val="18"/>
          <w:lang w:eastAsia="en-US"/>
        </w:rPr>
        <w:fldChar w:fldCharType="begin"/>
      </w:r>
      <w:r>
        <w:rPr>
          <w:rFonts w:ascii="Times New Roman" w:hAnsi="Times New Roman" w:eastAsia="Times New Roman" w:cs="Times New Roman"/>
          <w:snapToGrid w:val="0"/>
          <w:color w:val="auto"/>
          <w:spacing w:val="-1"/>
          <w:kern w:val="0"/>
          <w:sz w:val="18"/>
          <w:szCs w:val="18"/>
          <w:lang w:eastAsia="en-US"/>
        </w:rPr>
        <w:instrText xml:space="preserve"> PAGEREF _Toc20641 \h </w:instrText>
      </w:r>
      <w:r>
        <w:rPr>
          <w:rFonts w:ascii="Times New Roman" w:hAnsi="Times New Roman" w:eastAsia="Times New Roman" w:cs="Times New Roman"/>
          <w:snapToGrid w:val="0"/>
          <w:color w:val="auto"/>
          <w:spacing w:val="-1"/>
          <w:kern w:val="0"/>
          <w:sz w:val="18"/>
          <w:szCs w:val="18"/>
          <w:lang w:eastAsia="en-US"/>
        </w:rPr>
        <w:fldChar w:fldCharType="separate"/>
      </w:r>
      <w:r>
        <w:rPr>
          <w:rFonts w:ascii="Times New Roman" w:hAnsi="Times New Roman" w:eastAsia="Times New Roman" w:cs="Times New Roman"/>
          <w:snapToGrid w:val="0"/>
          <w:color w:val="auto"/>
          <w:spacing w:val="-1"/>
          <w:kern w:val="0"/>
          <w:sz w:val="18"/>
          <w:szCs w:val="18"/>
          <w:lang w:eastAsia="en-US"/>
        </w:rPr>
        <w:t>1</w:t>
      </w:r>
      <w:r>
        <w:rPr>
          <w:rFonts w:ascii="Times New Roman" w:hAnsi="Times New Roman" w:eastAsia="Times New Roman" w:cs="Times New Roman"/>
          <w:snapToGrid w:val="0"/>
          <w:color w:val="auto"/>
          <w:spacing w:val="-1"/>
          <w:kern w:val="0"/>
          <w:sz w:val="18"/>
          <w:szCs w:val="18"/>
          <w:lang w:eastAsia="en-US"/>
        </w:rPr>
        <w:fldChar w:fldCharType="end"/>
      </w:r>
      <w:r>
        <w:rPr>
          <w:rFonts w:ascii="Times New Roman" w:hAnsi="Times New Roman" w:eastAsia="Times New Roman" w:cs="Times New Roman"/>
          <w:snapToGrid w:val="0"/>
          <w:color w:val="auto"/>
          <w:spacing w:val="-1"/>
          <w:kern w:val="0"/>
          <w:sz w:val="18"/>
          <w:szCs w:val="18"/>
          <w:lang w:eastAsia="en-US"/>
        </w:rPr>
        <w:fldChar w:fldCharType="end"/>
      </w:r>
      <w:r>
        <w:rPr>
          <w:rFonts w:hint="eastAsia" w:ascii="Times New Roman" w:hAnsi="Times New Roman" w:eastAsia="宋体" w:cs="Times New Roman"/>
          <w:snapToGrid w:val="0"/>
          <w:color w:val="auto"/>
          <w:spacing w:val="-1"/>
          <w:kern w:val="0"/>
          <w:sz w:val="18"/>
          <w:szCs w:val="18"/>
          <w:lang w:val="en-US" w:eastAsia="zh-CN"/>
        </w:rPr>
        <w:t>1</w:t>
      </w:r>
    </w:p>
    <w:p w14:paraId="0A16357B">
      <w:pPr>
        <w:pStyle w:val="11"/>
        <w:tabs>
          <w:tab w:val="right" w:leader="dot" w:pos="8306"/>
        </w:tabs>
        <w:rPr>
          <w:rFonts w:hint="eastAsia" w:ascii="Times New Roman" w:hAnsi="Times New Roman" w:eastAsia="宋体" w:cs="Times New Roman"/>
          <w:snapToGrid w:val="0"/>
          <w:color w:val="auto"/>
          <w:spacing w:val="-1"/>
          <w:kern w:val="0"/>
          <w:sz w:val="18"/>
          <w:szCs w:val="18"/>
          <w:lang w:eastAsia="zh-CN"/>
        </w:rPr>
      </w:pPr>
      <w:r>
        <w:rPr>
          <w:color w:val="auto"/>
        </w:rPr>
        <w:fldChar w:fldCharType="begin"/>
      </w:r>
      <w:r>
        <w:rPr>
          <w:color w:val="auto"/>
        </w:rPr>
        <w:instrText xml:space="preserve"> HYPERLINK \l "_Toc16599" </w:instrText>
      </w:r>
      <w:r>
        <w:rPr>
          <w:color w:val="auto"/>
        </w:rPr>
        <w:fldChar w:fldCharType="separate"/>
      </w:r>
      <w:r>
        <w:rPr>
          <w:rFonts w:hint="eastAsia" w:ascii="Times New Roman" w:hAnsi="Times New Roman" w:eastAsia="Times New Roman" w:cs="Times New Roman"/>
          <w:snapToGrid w:val="0"/>
          <w:color w:val="auto"/>
          <w:spacing w:val="-1"/>
          <w:kern w:val="0"/>
          <w:sz w:val="18"/>
          <w:szCs w:val="18"/>
          <w:lang w:eastAsia="en-US"/>
        </w:rPr>
        <w:t xml:space="preserve">5.2 </w:t>
      </w:r>
      <w:r>
        <w:rPr>
          <w:rFonts w:hint="eastAsia" w:ascii="Times New Roman" w:hAnsi="Times New Roman" w:eastAsia="Times New Roman" w:cs="Times New Roman"/>
          <w:snapToGrid w:val="0"/>
          <w:color w:val="auto"/>
          <w:spacing w:val="-1"/>
          <w:kern w:val="0"/>
          <w:sz w:val="18"/>
          <w:szCs w:val="18"/>
        </w:rPr>
        <w:t>T</w:t>
      </w:r>
      <w:r>
        <w:rPr>
          <w:rFonts w:hint="eastAsia" w:ascii="Times New Roman" w:hAnsi="Times New Roman" w:eastAsia="Times New Roman" w:cs="Times New Roman"/>
          <w:snapToGrid w:val="0"/>
          <w:color w:val="auto"/>
          <w:spacing w:val="-1"/>
          <w:kern w:val="0"/>
          <w:sz w:val="18"/>
          <w:szCs w:val="18"/>
          <w:lang w:eastAsia="en-US"/>
        </w:rPr>
        <w:t>he scoring items</w:t>
      </w:r>
      <w:r>
        <w:rPr>
          <w:rFonts w:ascii="Times New Roman" w:hAnsi="Times New Roman" w:eastAsia="Times New Roman" w:cs="Times New Roman"/>
          <w:snapToGrid w:val="0"/>
          <w:color w:val="auto"/>
          <w:spacing w:val="-1"/>
          <w:kern w:val="0"/>
          <w:sz w:val="18"/>
          <w:szCs w:val="18"/>
          <w:lang w:eastAsia="en-US"/>
        </w:rPr>
        <w:tab/>
      </w:r>
      <w:r>
        <w:rPr>
          <w:rFonts w:ascii="Times New Roman" w:hAnsi="Times New Roman" w:eastAsia="Times New Roman" w:cs="Times New Roman"/>
          <w:snapToGrid w:val="0"/>
          <w:color w:val="auto"/>
          <w:spacing w:val="-1"/>
          <w:kern w:val="0"/>
          <w:sz w:val="18"/>
          <w:szCs w:val="18"/>
          <w:lang w:eastAsia="en-US"/>
        </w:rPr>
        <w:fldChar w:fldCharType="begin"/>
      </w:r>
      <w:r>
        <w:rPr>
          <w:rFonts w:ascii="Times New Roman" w:hAnsi="Times New Roman" w:eastAsia="Times New Roman" w:cs="Times New Roman"/>
          <w:snapToGrid w:val="0"/>
          <w:color w:val="auto"/>
          <w:spacing w:val="-1"/>
          <w:kern w:val="0"/>
          <w:sz w:val="18"/>
          <w:szCs w:val="18"/>
          <w:lang w:eastAsia="en-US"/>
        </w:rPr>
        <w:instrText xml:space="preserve"> PAGEREF _Toc16599 \h </w:instrText>
      </w:r>
      <w:r>
        <w:rPr>
          <w:rFonts w:ascii="Times New Roman" w:hAnsi="Times New Roman" w:eastAsia="Times New Roman" w:cs="Times New Roman"/>
          <w:snapToGrid w:val="0"/>
          <w:color w:val="auto"/>
          <w:spacing w:val="-1"/>
          <w:kern w:val="0"/>
          <w:sz w:val="18"/>
          <w:szCs w:val="18"/>
          <w:lang w:eastAsia="en-US"/>
        </w:rPr>
        <w:fldChar w:fldCharType="separate"/>
      </w:r>
      <w:r>
        <w:rPr>
          <w:rFonts w:ascii="Times New Roman" w:hAnsi="Times New Roman" w:eastAsia="Times New Roman" w:cs="Times New Roman"/>
          <w:snapToGrid w:val="0"/>
          <w:color w:val="auto"/>
          <w:spacing w:val="-1"/>
          <w:kern w:val="0"/>
          <w:sz w:val="18"/>
          <w:szCs w:val="18"/>
          <w:lang w:eastAsia="en-US"/>
        </w:rPr>
        <w:t>1</w:t>
      </w:r>
      <w:r>
        <w:rPr>
          <w:rFonts w:ascii="Times New Roman" w:hAnsi="Times New Roman" w:eastAsia="Times New Roman" w:cs="Times New Roman"/>
          <w:snapToGrid w:val="0"/>
          <w:color w:val="auto"/>
          <w:spacing w:val="-1"/>
          <w:kern w:val="0"/>
          <w:sz w:val="18"/>
          <w:szCs w:val="18"/>
          <w:lang w:eastAsia="en-US"/>
        </w:rPr>
        <w:fldChar w:fldCharType="end"/>
      </w:r>
      <w:r>
        <w:rPr>
          <w:rFonts w:ascii="Times New Roman" w:hAnsi="Times New Roman" w:eastAsia="Times New Roman" w:cs="Times New Roman"/>
          <w:snapToGrid w:val="0"/>
          <w:color w:val="auto"/>
          <w:spacing w:val="-1"/>
          <w:kern w:val="0"/>
          <w:sz w:val="18"/>
          <w:szCs w:val="18"/>
          <w:lang w:eastAsia="en-US"/>
        </w:rPr>
        <w:fldChar w:fldCharType="end"/>
      </w:r>
      <w:r>
        <w:rPr>
          <w:rFonts w:hint="eastAsia" w:ascii="Times New Roman" w:hAnsi="Times New Roman" w:eastAsia="宋体" w:cs="Times New Roman"/>
          <w:snapToGrid w:val="0"/>
          <w:color w:val="auto"/>
          <w:spacing w:val="-1"/>
          <w:kern w:val="0"/>
          <w:sz w:val="18"/>
          <w:szCs w:val="18"/>
          <w:lang w:val="en-US" w:eastAsia="zh-CN"/>
        </w:rPr>
        <w:t>1</w:t>
      </w:r>
    </w:p>
    <w:p w14:paraId="3497560B">
      <w:pPr>
        <w:pStyle w:val="10"/>
        <w:tabs>
          <w:tab w:val="right" w:leader="dot" w:pos="8306"/>
        </w:tabs>
        <w:rPr>
          <w:rFonts w:hint="eastAsia" w:ascii="Times New Roman" w:hAnsi="Times New Roman" w:eastAsia="宋体" w:cs="Times New Roman"/>
          <w:snapToGrid w:val="0"/>
          <w:color w:val="auto"/>
          <w:spacing w:val="-1"/>
          <w:kern w:val="0"/>
          <w:sz w:val="18"/>
          <w:szCs w:val="18"/>
          <w:lang w:eastAsia="zh-CN"/>
        </w:rPr>
      </w:pPr>
      <w:r>
        <w:rPr>
          <w:color w:val="auto"/>
        </w:rPr>
        <w:fldChar w:fldCharType="begin"/>
      </w:r>
      <w:r>
        <w:rPr>
          <w:color w:val="auto"/>
        </w:rPr>
        <w:instrText xml:space="preserve"> HYPERLINK \l "_Toc19985" </w:instrText>
      </w:r>
      <w:r>
        <w:rPr>
          <w:color w:val="auto"/>
        </w:rPr>
        <w:fldChar w:fldCharType="separate"/>
      </w:r>
      <w:r>
        <w:rPr>
          <w:rFonts w:hint="eastAsia" w:ascii="Times New Roman" w:hAnsi="Times New Roman" w:eastAsia="Times New Roman" w:cs="Times New Roman"/>
          <w:snapToGrid w:val="0"/>
          <w:color w:val="auto"/>
          <w:spacing w:val="-1"/>
          <w:kern w:val="0"/>
          <w:sz w:val="18"/>
          <w:szCs w:val="18"/>
          <w:lang w:eastAsia="en-US"/>
        </w:rPr>
        <w:t>6. Social sustainability</w:t>
      </w:r>
      <w:r>
        <w:rPr>
          <w:rFonts w:ascii="Times New Roman" w:hAnsi="Times New Roman" w:eastAsia="Times New Roman" w:cs="Times New Roman"/>
          <w:snapToGrid w:val="0"/>
          <w:color w:val="auto"/>
          <w:spacing w:val="-1"/>
          <w:kern w:val="0"/>
          <w:sz w:val="18"/>
          <w:szCs w:val="18"/>
          <w:lang w:eastAsia="en-US"/>
        </w:rPr>
        <w:tab/>
      </w:r>
      <w:r>
        <w:rPr>
          <w:rFonts w:hint="eastAsia" w:ascii="Times New Roman" w:hAnsi="Times New Roman" w:eastAsia="宋体" w:cs="Times New Roman"/>
          <w:snapToGrid w:val="0"/>
          <w:color w:val="auto"/>
          <w:spacing w:val="-1"/>
          <w:kern w:val="0"/>
          <w:sz w:val="18"/>
          <w:szCs w:val="18"/>
        </w:rPr>
        <w:t>1</w:t>
      </w:r>
      <w:r>
        <w:rPr>
          <w:rFonts w:hint="eastAsia" w:ascii="Times New Roman" w:hAnsi="Times New Roman" w:eastAsia="宋体" w:cs="Times New Roman"/>
          <w:snapToGrid w:val="0"/>
          <w:color w:val="auto"/>
          <w:spacing w:val="-1"/>
          <w:kern w:val="0"/>
          <w:sz w:val="18"/>
          <w:szCs w:val="18"/>
        </w:rPr>
        <w:fldChar w:fldCharType="end"/>
      </w:r>
      <w:r>
        <w:rPr>
          <w:rFonts w:hint="eastAsia" w:ascii="Times New Roman" w:hAnsi="Times New Roman" w:eastAsia="宋体" w:cs="Times New Roman"/>
          <w:snapToGrid w:val="0"/>
          <w:color w:val="auto"/>
          <w:spacing w:val="-1"/>
          <w:kern w:val="0"/>
          <w:sz w:val="18"/>
          <w:szCs w:val="18"/>
          <w:lang w:val="en-US" w:eastAsia="zh-CN"/>
        </w:rPr>
        <w:t>4</w:t>
      </w:r>
    </w:p>
    <w:p w14:paraId="5F4E28CD">
      <w:pPr>
        <w:pStyle w:val="11"/>
        <w:tabs>
          <w:tab w:val="right" w:leader="dot" w:pos="8306"/>
        </w:tabs>
        <w:rPr>
          <w:rFonts w:hint="eastAsia" w:ascii="Times New Roman" w:hAnsi="Times New Roman" w:eastAsia="宋体" w:cs="Times New Roman"/>
          <w:snapToGrid w:val="0"/>
          <w:color w:val="auto"/>
          <w:spacing w:val="-1"/>
          <w:kern w:val="0"/>
          <w:sz w:val="18"/>
          <w:szCs w:val="18"/>
          <w:lang w:eastAsia="zh-CN"/>
        </w:rPr>
      </w:pPr>
      <w:r>
        <w:rPr>
          <w:color w:val="auto"/>
        </w:rPr>
        <w:fldChar w:fldCharType="begin"/>
      </w:r>
      <w:r>
        <w:rPr>
          <w:color w:val="auto"/>
        </w:rPr>
        <w:instrText xml:space="preserve"> HYPERLINK \l "_Toc8683" </w:instrText>
      </w:r>
      <w:r>
        <w:rPr>
          <w:color w:val="auto"/>
        </w:rPr>
        <w:fldChar w:fldCharType="separate"/>
      </w:r>
      <w:r>
        <w:rPr>
          <w:rFonts w:hint="eastAsia" w:ascii="Times New Roman" w:hAnsi="Times New Roman" w:eastAsia="Times New Roman" w:cs="Times New Roman"/>
          <w:snapToGrid w:val="0"/>
          <w:color w:val="auto"/>
          <w:spacing w:val="-1"/>
          <w:kern w:val="0"/>
          <w:sz w:val="18"/>
          <w:szCs w:val="18"/>
          <w:lang w:eastAsia="en-US"/>
        </w:rPr>
        <w:t>6.1</w:t>
      </w:r>
      <w:r>
        <w:rPr>
          <w:rFonts w:hint="eastAsia" w:ascii="Times New Roman" w:hAnsi="Times New Roman" w:eastAsia="Times New Roman" w:cs="Times New Roman"/>
          <w:snapToGrid w:val="0"/>
          <w:color w:val="auto"/>
          <w:spacing w:val="-1"/>
          <w:kern w:val="0"/>
          <w:sz w:val="18"/>
          <w:szCs w:val="18"/>
        </w:rPr>
        <w:t xml:space="preserve"> T</w:t>
      </w:r>
      <w:r>
        <w:rPr>
          <w:rFonts w:hint="eastAsia" w:ascii="Times New Roman" w:hAnsi="Times New Roman" w:eastAsia="Times New Roman" w:cs="Times New Roman"/>
          <w:snapToGrid w:val="0"/>
          <w:color w:val="auto"/>
          <w:spacing w:val="-1"/>
          <w:kern w:val="0"/>
          <w:sz w:val="18"/>
          <w:szCs w:val="18"/>
          <w:lang w:eastAsia="en-US"/>
        </w:rPr>
        <w:t>he control item</w:t>
      </w:r>
      <w:r>
        <w:rPr>
          <w:rFonts w:hint="eastAsia" w:ascii="Times New Roman" w:hAnsi="Times New Roman" w:eastAsia="Times New Roman" w:cs="Times New Roman"/>
          <w:snapToGrid w:val="0"/>
          <w:color w:val="auto"/>
          <w:spacing w:val="-1"/>
          <w:kern w:val="0"/>
          <w:sz w:val="18"/>
          <w:szCs w:val="18"/>
        </w:rPr>
        <w:t>s</w:t>
      </w:r>
      <w:r>
        <w:rPr>
          <w:rFonts w:ascii="Times New Roman" w:hAnsi="Times New Roman" w:eastAsia="Times New Roman" w:cs="Times New Roman"/>
          <w:snapToGrid w:val="0"/>
          <w:color w:val="auto"/>
          <w:spacing w:val="-1"/>
          <w:kern w:val="0"/>
          <w:sz w:val="18"/>
          <w:szCs w:val="18"/>
          <w:lang w:eastAsia="en-US"/>
        </w:rPr>
        <w:tab/>
      </w:r>
      <w:r>
        <w:rPr>
          <w:rFonts w:hint="eastAsia" w:ascii="Times New Roman" w:hAnsi="Times New Roman" w:eastAsia="宋体" w:cs="Times New Roman"/>
          <w:snapToGrid w:val="0"/>
          <w:color w:val="auto"/>
          <w:spacing w:val="-1"/>
          <w:kern w:val="0"/>
          <w:sz w:val="18"/>
          <w:szCs w:val="18"/>
        </w:rPr>
        <w:t>1</w:t>
      </w:r>
      <w:r>
        <w:rPr>
          <w:rFonts w:hint="eastAsia" w:ascii="Times New Roman" w:hAnsi="Times New Roman" w:eastAsia="宋体" w:cs="Times New Roman"/>
          <w:snapToGrid w:val="0"/>
          <w:color w:val="auto"/>
          <w:spacing w:val="-1"/>
          <w:kern w:val="0"/>
          <w:sz w:val="18"/>
          <w:szCs w:val="18"/>
        </w:rPr>
        <w:fldChar w:fldCharType="end"/>
      </w:r>
      <w:r>
        <w:rPr>
          <w:rFonts w:hint="eastAsia" w:ascii="Times New Roman" w:hAnsi="Times New Roman" w:eastAsia="宋体" w:cs="Times New Roman"/>
          <w:snapToGrid w:val="0"/>
          <w:color w:val="auto"/>
          <w:spacing w:val="-1"/>
          <w:kern w:val="0"/>
          <w:sz w:val="18"/>
          <w:szCs w:val="18"/>
          <w:lang w:val="en-US" w:eastAsia="zh-CN"/>
        </w:rPr>
        <w:t>4</w:t>
      </w:r>
    </w:p>
    <w:p w14:paraId="0A3555C9">
      <w:pPr>
        <w:pStyle w:val="11"/>
        <w:tabs>
          <w:tab w:val="right" w:leader="dot" w:pos="8306"/>
        </w:tabs>
        <w:rPr>
          <w:rFonts w:hint="eastAsia" w:ascii="Times New Roman" w:hAnsi="Times New Roman" w:eastAsia="宋体" w:cs="Times New Roman"/>
          <w:snapToGrid w:val="0"/>
          <w:color w:val="auto"/>
          <w:spacing w:val="-1"/>
          <w:kern w:val="0"/>
          <w:sz w:val="18"/>
          <w:szCs w:val="18"/>
          <w:lang w:eastAsia="zh-CN"/>
        </w:rPr>
      </w:pPr>
      <w:r>
        <w:rPr>
          <w:color w:val="auto"/>
        </w:rPr>
        <w:fldChar w:fldCharType="begin"/>
      </w:r>
      <w:r>
        <w:rPr>
          <w:color w:val="auto"/>
        </w:rPr>
        <w:instrText xml:space="preserve"> HYPERLINK \l "_Toc3213" </w:instrText>
      </w:r>
      <w:r>
        <w:rPr>
          <w:color w:val="auto"/>
        </w:rPr>
        <w:fldChar w:fldCharType="separate"/>
      </w:r>
      <w:r>
        <w:rPr>
          <w:rFonts w:hint="eastAsia" w:ascii="Times New Roman" w:hAnsi="Times New Roman" w:eastAsia="Times New Roman" w:cs="Times New Roman"/>
          <w:snapToGrid w:val="0"/>
          <w:color w:val="auto"/>
          <w:spacing w:val="-1"/>
          <w:kern w:val="0"/>
          <w:sz w:val="18"/>
          <w:szCs w:val="18"/>
          <w:lang w:eastAsia="en-US"/>
        </w:rPr>
        <w:t>6.2</w:t>
      </w:r>
      <w:r>
        <w:rPr>
          <w:rFonts w:hint="eastAsia" w:ascii="Times New Roman" w:hAnsi="Times New Roman" w:eastAsia="Times New Roman" w:cs="Times New Roman"/>
          <w:snapToGrid w:val="0"/>
          <w:color w:val="auto"/>
          <w:spacing w:val="-1"/>
          <w:kern w:val="0"/>
          <w:sz w:val="18"/>
          <w:szCs w:val="18"/>
        </w:rPr>
        <w:t xml:space="preserve"> The </w:t>
      </w:r>
      <w:r>
        <w:rPr>
          <w:rFonts w:hint="eastAsia" w:ascii="Times New Roman" w:hAnsi="Times New Roman" w:eastAsia="Times New Roman" w:cs="Times New Roman"/>
          <w:snapToGrid w:val="0"/>
          <w:color w:val="auto"/>
          <w:spacing w:val="-1"/>
          <w:kern w:val="0"/>
          <w:sz w:val="18"/>
          <w:szCs w:val="18"/>
          <w:lang w:eastAsia="en-US"/>
        </w:rPr>
        <w:t>scoring items</w:t>
      </w:r>
      <w:r>
        <w:rPr>
          <w:rFonts w:ascii="Times New Roman" w:hAnsi="Times New Roman" w:eastAsia="Times New Roman" w:cs="Times New Roman"/>
          <w:snapToGrid w:val="0"/>
          <w:color w:val="auto"/>
          <w:spacing w:val="-1"/>
          <w:kern w:val="0"/>
          <w:sz w:val="18"/>
          <w:szCs w:val="18"/>
          <w:lang w:eastAsia="en-US"/>
        </w:rPr>
        <w:tab/>
      </w:r>
      <w:r>
        <w:rPr>
          <w:rFonts w:ascii="Times New Roman" w:hAnsi="Times New Roman" w:eastAsia="Times New Roman" w:cs="Times New Roman"/>
          <w:snapToGrid w:val="0"/>
          <w:color w:val="auto"/>
          <w:spacing w:val="-1"/>
          <w:kern w:val="0"/>
          <w:sz w:val="18"/>
          <w:szCs w:val="18"/>
          <w:lang w:eastAsia="en-US"/>
        </w:rPr>
        <w:fldChar w:fldCharType="begin"/>
      </w:r>
      <w:r>
        <w:rPr>
          <w:rFonts w:ascii="Times New Roman" w:hAnsi="Times New Roman" w:eastAsia="Times New Roman" w:cs="Times New Roman"/>
          <w:snapToGrid w:val="0"/>
          <w:color w:val="auto"/>
          <w:spacing w:val="-1"/>
          <w:kern w:val="0"/>
          <w:sz w:val="18"/>
          <w:szCs w:val="18"/>
          <w:lang w:eastAsia="en-US"/>
        </w:rPr>
        <w:instrText xml:space="preserve"> PAGEREF _Toc3213 \h </w:instrText>
      </w:r>
      <w:r>
        <w:rPr>
          <w:rFonts w:ascii="Times New Roman" w:hAnsi="Times New Roman" w:eastAsia="Times New Roman" w:cs="Times New Roman"/>
          <w:snapToGrid w:val="0"/>
          <w:color w:val="auto"/>
          <w:spacing w:val="-1"/>
          <w:kern w:val="0"/>
          <w:sz w:val="18"/>
          <w:szCs w:val="18"/>
          <w:lang w:eastAsia="en-US"/>
        </w:rPr>
        <w:fldChar w:fldCharType="separate"/>
      </w:r>
      <w:r>
        <w:rPr>
          <w:rFonts w:hint="eastAsia" w:ascii="Times New Roman" w:hAnsi="Times New Roman" w:eastAsia="宋体" w:cs="Times New Roman"/>
          <w:snapToGrid w:val="0"/>
          <w:color w:val="auto"/>
          <w:spacing w:val="-1"/>
          <w:kern w:val="0"/>
          <w:sz w:val="18"/>
          <w:szCs w:val="18"/>
        </w:rPr>
        <w:t>1</w:t>
      </w:r>
      <w:r>
        <w:rPr>
          <w:rFonts w:ascii="Times New Roman" w:hAnsi="Times New Roman" w:eastAsia="Times New Roman" w:cs="Times New Roman"/>
          <w:snapToGrid w:val="0"/>
          <w:color w:val="auto"/>
          <w:spacing w:val="-1"/>
          <w:kern w:val="0"/>
          <w:sz w:val="18"/>
          <w:szCs w:val="18"/>
          <w:lang w:eastAsia="en-US"/>
        </w:rPr>
        <w:fldChar w:fldCharType="end"/>
      </w:r>
      <w:r>
        <w:rPr>
          <w:rFonts w:ascii="Times New Roman" w:hAnsi="Times New Roman" w:eastAsia="Times New Roman" w:cs="Times New Roman"/>
          <w:snapToGrid w:val="0"/>
          <w:color w:val="auto"/>
          <w:spacing w:val="-1"/>
          <w:kern w:val="0"/>
          <w:sz w:val="18"/>
          <w:szCs w:val="18"/>
          <w:lang w:eastAsia="en-US"/>
        </w:rPr>
        <w:fldChar w:fldCharType="end"/>
      </w:r>
      <w:r>
        <w:rPr>
          <w:rFonts w:hint="eastAsia" w:ascii="Times New Roman" w:hAnsi="Times New Roman" w:eastAsia="宋体" w:cs="Times New Roman"/>
          <w:snapToGrid w:val="0"/>
          <w:color w:val="auto"/>
          <w:spacing w:val="-1"/>
          <w:kern w:val="0"/>
          <w:sz w:val="18"/>
          <w:szCs w:val="18"/>
          <w:lang w:val="en-US" w:eastAsia="zh-CN"/>
        </w:rPr>
        <w:t>4</w:t>
      </w:r>
    </w:p>
    <w:p w14:paraId="7FA5FC8D">
      <w:pPr>
        <w:pStyle w:val="10"/>
        <w:tabs>
          <w:tab w:val="right" w:leader="dot" w:pos="8306"/>
        </w:tabs>
        <w:rPr>
          <w:rFonts w:hint="eastAsia" w:ascii="Times New Roman" w:hAnsi="Times New Roman" w:eastAsia="宋体" w:cs="Times New Roman"/>
          <w:snapToGrid w:val="0"/>
          <w:color w:val="auto"/>
          <w:spacing w:val="-1"/>
          <w:kern w:val="0"/>
          <w:sz w:val="18"/>
          <w:szCs w:val="18"/>
          <w:lang w:val="en-US" w:eastAsia="zh-CN"/>
        </w:rPr>
      </w:pPr>
      <w:r>
        <w:rPr>
          <w:color w:val="auto"/>
        </w:rPr>
        <w:fldChar w:fldCharType="begin"/>
      </w:r>
      <w:r>
        <w:rPr>
          <w:color w:val="auto"/>
        </w:rPr>
        <w:instrText xml:space="preserve"> HYPERLINK \l "_Toc25474" </w:instrText>
      </w:r>
      <w:r>
        <w:rPr>
          <w:color w:val="auto"/>
        </w:rPr>
        <w:fldChar w:fldCharType="separate"/>
      </w:r>
      <w:r>
        <w:rPr>
          <w:rFonts w:hint="eastAsia" w:ascii="Times New Roman" w:hAnsi="Times New Roman" w:eastAsia="Times New Roman" w:cs="Times New Roman"/>
          <w:snapToGrid w:val="0"/>
          <w:color w:val="auto"/>
          <w:spacing w:val="-1"/>
          <w:kern w:val="0"/>
          <w:sz w:val="18"/>
          <w:szCs w:val="18"/>
          <w:lang w:eastAsia="en-US"/>
        </w:rPr>
        <w:t>7 Governance sustainabilit</w:t>
      </w:r>
      <w:r>
        <w:rPr>
          <w:rFonts w:hint="eastAsia" w:ascii="Times New Roman" w:hAnsi="Times New Roman" w:eastAsia="Times New Roman" w:cs="Times New Roman"/>
          <w:snapToGrid w:val="0"/>
          <w:color w:val="auto"/>
          <w:spacing w:val="-1"/>
          <w:kern w:val="0"/>
          <w:sz w:val="18"/>
          <w:szCs w:val="18"/>
        </w:rPr>
        <w:t>y</w:t>
      </w:r>
      <w:r>
        <w:rPr>
          <w:rFonts w:ascii="Times New Roman" w:hAnsi="Times New Roman" w:eastAsia="Times New Roman" w:cs="Times New Roman"/>
          <w:snapToGrid w:val="0"/>
          <w:color w:val="auto"/>
          <w:spacing w:val="-1"/>
          <w:kern w:val="0"/>
          <w:sz w:val="18"/>
          <w:szCs w:val="18"/>
          <w:lang w:eastAsia="en-US"/>
        </w:rPr>
        <w:tab/>
      </w:r>
      <w:r>
        <w:rPr>
          <w:rFonts w:hint="eastAsia" w:ascii="Times New Roman" w:hAnsi="Times New Roman" w:eastAsia="宋体" w:cs="Times New Roman"/>
          <w:snapToGrid w:val="0"/>
          <w:color w:val="auto"/>
          <w:spacing w:val="-1"/>
          <w:kern w:val="0"/>
          <w:sz w:val="18"/>
          <w:szCs w:val="18"/>
          <w:lang w:val="en-US" w:eastAsia="zh-CN"/>
        </w:rPr>
        <w:t>1</w:t>
      </w:r>
      <w:r>
        <w:rPr>
          <w:rFonts w:hint="eastAsia" w:ascii="Times New Roman" w:hAnsi="Times New Roman" w:eastAsia="宋体" w:cs="Times New Roman"/>
          <w:snapToGrid w:val="0"/>
          <w:color w:val="auto"/>
          <w:spacing w:val="-1"/>
          <w:kern w:val="0"/>
          <w:sz w:val="18"/>
          <w:szCs w:val="18"/>
        </w:rPr>
        <w:fldChar w:fldCharType="end"/>
      </w:r>
      <w:r>
        <w:rPr>
          <w:rFonts w:hint="eastAsia" w:ascii="Times New Roman" w:hAnsi="Times New Roman" w:eastAsia="宋体" w:cs="Times New Roman"/>
          <w:snapToGrid w:val="0"/>
          <w:color w:val="auto"/>
          <w:spacing w:val="-1"/>
          <w:kern w:val="0"/>
          <w:sz w:val="18"/>
          <w:szCs w:val="18"/>
          <w:lang w:val="en-US" w:eastAsia="zh-CN"/>
        </w:rPr>
        <w:t>8</w:t>
      </w:r>
    </w:p>
    <w:p w14:paraId="1EA8342D">
      <w:pPr>
        <w:pStyle w:val="11"/>
        <w:tabs>
          <w:tab w:val="right" w:leader="dot" w:pos="8306"/>
        </w:tabs>
        <w:rPr>
          <w:rFonts w:hint="eastAsia" w:ascii="Times New Roman" w:hAnsi="Times New Roman" w:eastAsia="宋体" w:cs="Times New Roman"/>
          <w:snapToGrid w:val="0"/>
          <w:color w:val="auto"/>
          <w:spacing w:val="-1"/>
          <w:kern w:val="0"/>
          <w:sz w:val="18"/>
          <w:szCs w:val="18"/>
          <w:lang w:val="en-US" w:eastAsia="zh-CN"/>
        </w:rPr>
      </w:pPr>
      <w:r>
        <w:rPr>
          <w:color w:val="auto"/>
        </w:rPr>
        <w:fldChar w:fldCharType="begin"/>
      </w:r>
      <w:r>
        <w:rPr>
          <w:color w:val="auto"/>
        </w:rPr>
        <w:instrText xml:space="preserve"> HYPERLINK \l "_Toc22300" </w:instrText>
      </w:r>
      <w:r>
        <w:rPr>
          <w:color w:val="auto"/>
        </w:rPr>
        <w:fldChar w:fldCharType="separate"/>
      </w:r>
      <w:r>
        <w:rPr>
          <w:rFonts w:hint="eastAsia" w:ascii="Times New Roman" w:hAnsi="Times New Roman" w:eastAsia="Times New Roman" w:cs="Times New Roman"/>
          <w:snapToGrid w:val="0"/>
          <w:color w:val="auto"/>
          <w:spacing w:val="-1"/>
          <w:kern w:val="0"/>
          <w:sz w:val="18"/>
          <w:szCs w:val="18"/>
          <w:lang w:eastAsia="en-US"/>
        </w:rPr>
        <w:t>7.1</w:t>
      </w:r>
      <w:r>
        <w:rPr>
          <w:rFonts w:hint="eastAsia" w:ascii="Times New Roman" w:hAnsi="Times New Roman" w:eastAsia="Times New Roman" w:cs="Times New Roman"/>
          <w:snapToGrid w:val="0"/>
          <w:color w:val="auto"/>
          <w:spacing w:val="-1"/>
          <w:kern w:val="0"/>
          <w:sz w:val="18"/>
          <w:szCs w:val="18"/>
        </w:rPr>
        <w:t xml:space="preserve"> T</w:t>
      </w:r>
      <w:r>
        <w:rPr>
          <w:rFonts w:hint="eastAsia" w:ascii="Times New Roman" w:hAnsi="Times New Roman" w:eastAsia="Times New Roman" w:cs="Times New Roman"/>
          <w:snapToGrid w:val="0"/>
          <w:color w:val="auto"/>
          <w:spacing w:val="-1"/>
          <w:kern w:val="0"/>
          <w:sz w:val="18"/>
          <w:szCs w:val="18"/>
          <w:lang w:eastAsia="en-US"/>
        </w:rPr>
        <w:t>he control item</w:t>
      </w:r>
      <w:r>
        <w:rPr>
          <w:rFonts w:hint="eastAsia" w:ascii="Times New Roman" w:hAnsi="Times New Roman" w:eastAsia="Times New Roman" w:cs="Times New Roman"/>
          <w:snapToGrid w:val="0"/>
          <w:color w:val="auto"/>
          <w:spacing w:val="-1"/>
          <w:kern w:val="0"/>
          <w:sz w:val="18"/>
          <w:szCs w:val="18"/>
        </w:rPr>
        <w:t>s</w:t>
      </w:r>
      <w:r>
        <w:rPr>
          <w:rFonts w:ascii="Times New Roman" w:hAnsi="Times New Roman" w:eastAsia="Times New Roman" w:cs="Times New Roman"/>
          <w:snapToGrid w:val="0"/>
          <w:color w:val="auto"/>
          <w:spacing w:val="-1"/>
          <w:kern w:val="0"/>
          <w:sz w:val="18"/>
          <w:szCs w:val="18"/>
          <w:lang w:eastAsia="en-US"/>
        </w:rPr>
        <w:tab/>
      </w:r>
      <w:r>
        <w:rPr>
          <w:rFonts w:hint="eastAsia" w:ascii="Times New Roman" w:hAnsi="Times New Roman" w:eastAsia="宋体" w:cs="Times New Roman"/>
          <w:snapToGrid w:val="0"/>
          <w:color w:val="auto"/>
          <w:spacing w:val="-1"/>
          <w:kern w:val="0"/>
          <w:sz w:val="18"/>
          <w:szCs w:val="18"/>
          <w:lang w:val="en-US" w:eastAsia="zh-CN"/>
        </w:rPr>
        <w:t>1</w:t>
      </w:r>
      <w:r>
        <w:rPr>
          <w:rFonts w:hint="eastAsia" w:ascii="Times New Roman" w:hAnsi="Times New Roman" w:eastAsia="宋体" w:cs="Times New Roman"/>
          <w:snapToGrid w:val="0"/>
          <w:color w:val="auto"/>
          <w:spacing w:val="-1"/>
          <w:kern w:val="0"/>
          <w:sz w:val="18"/>
          <w:szCs w:val="18"/>
        </w:rPr>
        <w:fldChar w:fldCharType="end"/>
      </w:r>
      <w:r>
        <w:rPr>
          <w:rFonts w:hint="eastAsia" w:ascii="Times New Roman" w:hAnsi="Times New Roman" w:eastAsia="宋体" w:cs="Times New Roman"/>
          <w:snapToGrid w:val="0"/>
          <w:color w:val="auto"/>
          <w:spacing w:val="-1"/>
          <w:kern w:val="0"/>
          <w:sz w:val="18"/>
          <w:szCs w:val="18"/>
          <w:lang w:val="en-US" w:eastAsia="zh-CN"/>
        </w:rPr>
        <w:t>8</w:t>
      </w:r>
    </w:p>
    <w:p w14:paraId="3BEC741B">
      <w:pPr>
        <w:pStyle w:val="11"/>
        <w:tabs>
          <w:tab w:val="right" w:leader="dot" w:pos="8306"/>
        </w:tabs>
        <w:rPr>
          <w:rFonts w:hint="eastAsia" w:ascii="Times New Roman" w:hAnsi="Times New Roman" w:eastAsia="宋体" w:cs="Times New Roman"/>
          <w:snapToGrid w:val="0"/>
          <w:color w:val="auto"/>
          <w:spacing w:val="-1"/>
          <w:kern w:val="0"/>
          <w:sz w:val="18"/>
          <w:szCs w:val="18"/>
          <w:lang w:val="en-US" w:eastAsia="zh-CN"/>
        </w:rPr>
      </w:pPr>
      <w:r>
        <w:rPr>
          <w:color w:val="auto"/>
        </w:rPr>
        <w:fldChar w:fldCharType="begin"/>
      </w:r>
      <w:r>
        <w:rPr>
          <w:color w:val="auto"/>
        </w:rPr>
        <w:instrText xml:space="preserve"> HYPERLINK \l "_Toc13979" </w:instrText>
      </w:r>
      <w:r>
        <w:rPr>
          <w:color w:val="auto"/>
        </w:rPr>
        <w:fldChar w:fldCharType="separate"/>
      </w:r>
      <w:r>
        <w:rPr>
          <w:rFonts w:hint="eastAsia" w:ascii="Times New Roman" w:hAnsi="Times New Roman" w:eastAsia="Times New Roman" w:cs="Times New Roman"/>
          <w:snapToGrid w:val="0"/>
          <w:color w:val="auto"/>
          <w:spacing w:val="-1"/>
          <w:kern w:val="0"/>
          <w:sz w:val="18"/>
          <w:szCs w:val="18"/>
          <w:lang w:eastAsia="en-US"/>
        </w:rPr>
        <w:t>7.2</w:t>
      </w:r>
      <w:r>
        <w:rPr>
          <w:rFonts w:hint="eastAsia" w:ascii="Times New Roman" w:hAnsi="Times New Roman" w:eastAsia="Times New Roman" w:cs="Times New Roman"/>
          <w:snapToGrid w:val="0"/>
          <w:color w:val="auto"/>
          <w:spacing w:val="-1"/>
          <w:kern w:val="0"/>
          <w:sz w:val="18"/>
          <w:szCs w:val="18"/>
        </w:rPr>
        <w:t xml:space="preserve"> T</w:t>
      </w:r>
      <w:r>
        <w:rPr>
          <w:rFonts w:hint="eastAsia" w:ascii="Times New Roman" w:hAnsi="Times New Roman" w:eastAsia="Times New Roman" w:cs="Times New Roman"/>
          <w:snapToGrid w:val="0"/>
          <w:color w:val="auto"/>
          <w:spacing w:val="-1"/>
          <w:kern w:val="0"/>
          <w:sz w:val="18"/>
          <w:szCs w:val="18"/>
          <w:lang w:eastAsia="en-US"/>
        </w:rPr>
        <w:t>he scoring items</w:t>
      </w:r>
      <w:r>
        <w:rPr>
          <w:rFonts w:ascii="Times New Roman" w:hAnsi="Times New Roman" w:eastAsia="Times New Roman" w:cs="Times New Roman"/>
          <w:snapToGrid w:val="0"/>
          <w:color w:val="auto"/>
          <w:spacing w:val="-1"/>
          <w:kern w:val="0"/>
          <w:sz w:val="18"/>
          <w:szCs w:val="18"/>
          <w:lang w:eastAsia="en-US"/>
        </w:rPr>
        <w:tab/>
      </w:r>
      <w:r>
        <w:rPr>
          <w:rFonts w:hint="eastAsia" w:ascii="Times New Roman" w:hAnsi="Times New Roman" w:eastAsia="宋体" w:cs="Times New Roman"/>
          <w:snapToGrid w:val="0"/>
          <w:color w:val="auto"/>
          <w:spacing w:val="-1"/>
          <w:kern w:val="0"/>
          <w:sz w:val="18"/>
          <w:szCs w:val="18"/>
          <w:lang w:val="en-US" w:eastAsia="zh-CN"/>
        </w:rPr>
        <w:t>1</w:t>
      </w:r>
      <w:r>
        <w:rPr>
          <w:rFonts w:hint="eastAsia" w:ascii="Times New Roman" w:hAnsi="Times New Roman" w:eastAsia="宋体" w:cs="Times New Roman"/>
          <w:snapToGrid w:val="0"/>
          <w:color w:val="auto"/>
          <w:spacing w:val="-1"/>
          <w:kern w:val="0"/>
          <w:sz w:val="18"/>
          <w:szCs w:val="18"/>
        </w:rPr>
        <w:fldChar w:fldCharType="end"/>
      </w:r>
      <w:r>
        <w:rPr>
          <w:rFonts w:hint="eastAsia" w:ascii="Times New Roman" w:hAnsi="Times New Roman" w:eastAsia="宋体" w:cs="Times New Roman"/>
          <w:snapToGrid w:val="0"/>
          <w:color w:val="auto"/>
          <w:spacing w:val="-1"/>
          <w:kern w:val="0"/>
          <w:sz w:val="18"/>
          <w:szCs w:val="18"/>
          <w:lang w:val="en-US" w:eastAsia="zh-CN"/>
        </w:rPr>
        <w:t>8</w:t>
      </w:r>
    </w:p>
    <w:p w14:paraId="7BB7280A">
      <w:pPr>
        <w:pStyle w:val="10"/>
        <w:tabs>
          <w:tab w:val="right" w:leader="dot" w:pos="8306"/>
        </w:tabs>
        <w:rPr>
          <w:rFonts w:hint="eastAsia" w:ascii="Times New Roman" w:hAnsi="Times New Roman" w:eastAsia="宋体" w:cs="Times New Roman"/>
          <w:snapToGrid w:val="0"/>
          <w:color w:val="auto"/>
          <w:spacing w:val="-1"/>
          <w:kern w:val="0"/>
          <w:sz w:val="18"/>
          <w:szCs w:val="18"/>
          <w:lang w:eastAsia="zh-CN"/>
        </w:rPr>
      </w:pPr>
      <w:r>
        <w:rPr>
          <w:color w:val="auto"/>
        </w:rPr>
        <w:fldChar w:fldCharType="begin"/>
      </w:r>
      <w:r>
        <w:rPr>
          <w:color w:val="auto"/>
        </w:rPr>
        <w:instrText xml:space="preserve"> HYPERLINK \l "_Toc2134" </w:instrText>
      </w:r>
      <w:r>
        <w:rPr>
          <w:color w:val="auto"/>
        </w:rPr>
        <w:fldChar w:fldCharType="separate"/>
      </w:r>
      <w:r>
        <w:rPr>
          <w:rFonts w:hint="eastAsia" w:ascii="Times New Roman" w:hAnsi="Times New Roman" w:eastAsia="Times New Roman" w:cs="Times New Roman"/>
          <w:snapToGrid w:val="0"/>
          <w:color w:val="auto"/>
          <w:spacing w:val="-1"/>
          <w:kern w:val="0"/>
          <w:sz w:val="18"/>
          <w:szCs w:val="18"/>
          <w:lang w:eastAsia="en-US"/>
        </w:rPr>
        <w:t xml:space="preserve">Appendix </w:t>
      </w:r>
      <w:r>
        <w:rPr>
          <w:rFonts w:hint="eastAsia" w:ascii="Times New Roman" w:hAnsi="Times New Roman" w:eastAsia="宋体" w:cs="Times New Roman"/>
          <w:snapToGrid w:val="0"/>
          <w:color w:val="auto"/>
          <w:spacing w:val="-1"/>
          <w:kern w:val="0"/>
          <w:sz w:val="18"/>
          <w:szCs w:val="18"/>
        </w:rPr>
        <w:t>A</w:t>
      </w:r>
      <w:r>
        <w:rPr>
          <w:rFonts w:hint="eastAsia" w:ascii="Times New Roman" w:hAnsi="Times New Roman" w:eastAsia="Times New Roman" w:cs="Times New Roman"/>
          <w:snapToGrid w:val="0"/>
          <w:color w:val="auto"/>
          <w:spacing w:val="-1"/>
          <w:kern w:val="0"/>
          <w:sz w:val="18"/>
          <w:szCs w:val="18"/>
          <w:lang w:eastAsia="en-US"/>
        </w:rPr>
        <w:t xml:space="preserve"> </w:t>
      </w:r>
      <w:r>
        <w:rPr>
          <w:rFonts w:hint="eastAsia" w:ascii="Times New Roman" w:hAnsi="Times New Roman" w:eastAsia="宋体" w:cs="Times New Roman"/>
          <w:snapToGrid w:val="0"/>
          <w:color w:val="auto"/>
          <w:spacing w:val="-1"/>
          <w:kern w:val="0"/>
          <w:sz w:val="18"/>
          <w:szCs w:val="18"/>
          <w:lang w:val="en-US" w:eastAsia="zh-CN"/>
        </w:rPr>
        <w:t>Repor</w:t>
      </w:r>
      <w:r>
        <w:rPr>
          <w:rFonts w:hint="eastAsia" w:ascii="Times New Roman" w:hAnsi="Times New Roman" w:eastAsia="Times New Roman" w:cs="Times New Roman"/>
          <w:snapToGrid w:val="0"/>
          <w:color w:val="auto"/>
          <w:spacing w:val="-1"/>
          <w:kern w:val="0"/>
          <w:sz w:val="18"/>
          <w:szCs w:val="18"/>
          <w:lang w:eastAsia="en-US"/>
        </w:rPr>
        <w:t>t</w:t>
      </w:r>
      <w:r>
        <w:rPr>
          <w:rFonts w:hint="eastAsia" w:ascii="Times New Roman" w:hAnsi="Times New Roman" w:eastAsia="宋体" w:cs="Times New Roman"/>
          <w:snapToGrid w:val="0"/>
          <w:color w:val="auto"/>
          <w:spacing w:val="-1"/>
          <w:kern w:val="0"/>
          <w:sz w:val="18"/>
          <w:szCs w:val="18"/>
        </w:rPr>
        <w:t xml:space="preserve"> </w:t>
      </w:r>
      <w:r>
        <w:rPr>
          <w:rFonts w:hint="eastAsia" w:ascii="Times New Roman" w:hAnsi="Times New Roman" w:eastAsia="Times New Roman" w:cs="Times New Roman"/>
          <w:snapToGrid w:val="0"/>
          <w:color w:val="auto"/>
          <w:spacing w:val="-1"/>
          <w:kern w:val="0"/>
          <w:sz w:val="18"/>
          <w:szCs w:val="18"/>
          <w:lang w:eastAsia="en-US"/>
        </w:rPr>
        <w:t xml:space="preserve">of </w:t>
      </w:r>
      <w:r>
        <w:rPr>
          <w:rFonts w:hint="eastAsia" w:ascii="Times New Roman" w:hAnsi="Times New Roman" w:eastAsia="宋体" w:cs="Times New Roman"/>
          <w:snapToGrid w:val="0"/>
          <w:color w:val="auto"/>
          <w:spacing w:val="-1"/>
          <w:kern w:val="0"/>
          <w:sz w:val="18"/>
          <w:szCs w:val="18"/>
          <w:lang w:val="en-US" w:eastAsia="zh-CN"/>
        </w:rPr>
        <w:t xml:space="preserve">the Ecological value change </w:t>
      </w:r>
      <w:r>
        <w:rPr>
          <w:rFonts w:ascii="Times New Roman" w:hAnsi="Times New Roman" w:eastAsia="Times New Roman" w:cs="Times New Roman"/>
          <w:snapToGrid w:val="0"/>
          <w:color w:val="auto"/>
          <w:spacing w:val="-1"/>
          <w:kern w:val="0"/>
          <w:sz w:val="18"/>
          <w:szCs w:val="18"/>
          <w:lang w:eastAsia="en-US"/>
        </w:rPr>
        <w:tab/>
      </w:r>
      <w:r>
        <w:rPr>
          <w:rFonts w:hint="eastAsia" w:ascii="Times New Roman" w:hAnsi="Times New Roman" w:eastAsia="宋体" w:cs="Times New Roman"/>
          <w:snapToGrid w:val="0"/>
          <w:color w:val="auto"/>
          <w:spacing w:val="-1"/>
          <w:kern w:val="0"/>
          <w:sz w:val="18"/>
          <w:szCs w:val="18"/>
        </w:rPr>
        <w:t>2</w:t>
      </w:r>
      <w:r>
        <w:rPr>
          <w:rFonts w:hint="eastAsia" w:ascii="Times New Roman" w:hAnsi="Times New Roman" w:eastAsia="宋体" w:cs="Times New Roman"/>
          <w:snapToGrid w:val="0"/>
          <w:color w:val="auto"/>
          <w:spacing w:val="-1"/>
          <w:kern w:val="0"/>
          <w:sz w:val="18"/>
          <w:szCs w:val="18"/>
        </w:rPr>
        <w:fldChar w:fldCharType="end"/>
      </w:r>
      <w:r>
        <w:rPr>
          <w:rFonts w:hint="eastAsia" w:ascii="Times New Roman" w:hAnsi="Times New Roman" w:cs="Times New Roman"/>
          <w:snapToGrid w:val="0"/>
          <w:color w:val="auto"/>
          <w:spacing w:val="-1"/>
          <w:kern w:val="0"/>
          <w:sz w:val="18"/>
          <w:szCs w:val="18"/>
          <w:lang w:val="en-US" w:eastAsia="zh-CN"/>
        </w:rPr>
        <w:t>0</w:t>
      </w:r>
    </w:p>
    <w:p w14:paraId="0272C5C0">
      <w:pPr>
        <w:pStyle w:val="10"/>
        <w:tabs>
          <w:tab w:val="right" w:leader="dot" w:pos="8306"/>
        </w:tabs>
        <w:rPr>
          <w:rFonts w:hint="eastAsia" w:ascii="Times New Roman" w:hAnsi="Times New Roman" w:eastAsia="宋体" w:cs="Times New Roman"/>
          <w:snapToGrid w:val="0"/>
          <w:color w:val="auto"/>
          <w:spacing w:val="-1"/>
          <w:kern w:val="0"/>
          <w:sz w:val="18"/>
          <w:szCs w:val="18"/>
          <w:lang w:eastAsia="zh-CN"/>
        </w:rPr>
      </w:pPr>
      <w:r>
        <w:rPr>
          <w:color w:val="auto"/>
        </w:rPr>
        <w:fldChar w:fldCharType="begin"/>
      </w:r>
      <w:r>
        <w:rPr>
          <w:color w:val="auto"/>
        </w:rPr>
        <w:instrText xml:space="preserve"> HYPERLINK \l "_Toc30747" </w:instrText>
      </w:r>
      <w:r>
        <w:rPr>
          <w:color w:val="auto"/>
        </w:rPr>
        <w:fldChar w:fldCharType="separate"/>
      </w:r>
      <w:r>
        <w:rPr>
          <w:rFonts w:hint="eastAsia" w:ascii="Times New Roman" w:hAnsi="Times New Roman" w:eastAsia="Times New Roman" w:cs="Times New Roman"/>
          <w:snapToGrid w:val="0"/>
          <w:color w:val="auto"/>
          <w:spacing w:val="-1"/>
          <w:kern w:val="0"/>
          <w:sz w:val="18"/>
          <w:szCs w:val="18"/>
          <w:lang w:eastAsia="en-US"/>
        </w:rPr>
        <w:t xml:space="preserve">Appendix </w:t>
      </w:r>
      <w:r>
        <w:rPr>
          <w:rFonts w:hint="eastAsia" w:ascii="Times New Roman" w:hAnsi="Times New Roman" w:eastAsia="宋体" w:cs="Times New Roman"/>
          <w:snapToGrid w:val="0"/>
          <w:color w:val="auto"/>
          <w:spacing w:val="-1"/>
          <w:kern w:val="0"/>
          <w:sz w:val="18"/>
          <w:szCs w:val="18"/>
          <w:lang w:val="en-US" w:eastAsia="zh-CN"/>
        </w:rPr>
        <w:t>B</w:t>
      </w:r>
      <w:r>
        <w:rPr>
          <w:rFonts w:hint="eastAsia" w:ascii="Times New Roman" w:hAnsi="Times New Roman" w:eastAsia="Times New Roman" w:cs="Times New Roman"/>
          <w:snapToGrid w:val="0"/>
          <w:color w:val="auto"/>
          <w:spacing w:val="-1"/>
          <w:kern w:val="0"/>
          <w:sz w:val="18"/>
          <w:szCs w:val="18"/>
          <w:lang w:eastAsia="en-US"/>
        </w:rPr>
        <w:t xml:space="preserve"> Classification of supplementary evaluation criteria</w:t>
      </w:r>
      <w:r>
        <w:rPr>
          <w:rFonts w:hint="eastAsia" w:ascii="Times New Roman" w:hAnsi="Times New Roman" w:eastAsia="宋体" w:cs="Times New Roman"/>
          <w:snapToGrid w:val="0"/>
          <w:color w:val="auto"/>
          <w:spacing w:val="-1"/>
          <w:kern w:val="0"/>
          <w:sz w:val="18"/>
          <w:szCs w:val="18"/>
          <w:lang w:val="en-US" w:eastAsia="zh-CN"/>
        </w:rPr>
        <w:t xml:space="preserve"> ESG evaluation indicators</w:t>
      </w:r>
      <w:r>
        <w:rPr>
          <w:rFonts w:ascii="Times New Roman" w:hAnsi="Times New Roman" w:eastAsia="Times New Roman" w:cs="Times New Roman"/>
          <w:snapToGrid w:val="0"/>
          <w:color w:val="auto"/>
          <w:spacing w:val="-1"/>
          <w:kern w:val="0"/>
          <w:sz w:val="18"/>
          <w:szCs w:val="18"/>
          <w:lang w:eastAsia="en-US"/>
        </w:rPr>
        <w:tab/>
      </w:r>
      <w:r>
        <w:rPr>
          <w:rFonts w:ascii="Times New Roman" w:hAnsi="Times New Roman" w:eastAsia="Times New Roman" w:cs="Times New Roman"/>
          <w:snapToGrid w:val="0"/>
          <w:color w:val="auto"/>
          <w:spacing w:val="-1"/>
          <w:kern w:val="0"/>
          <w:sz w:val="18"/>
          <w:szCs w:val="18"/>
          <w:lang w:eastAsia="en-US"/>
        </w:rPr>
        <w:fldChar w:fldCharType="begin"/>
      </w:r>
      <w:r>
        <w:rPr>
          <w:rFonts w:ascii="Times New Roman" w:hAnsi="Times New Roman" w:eastAsia="Times New Roman" w:cs="Times New Roman"/>
          <w:snapToGrid w:val="0"/>
          <w:color w:val="auto"/>
          <w:spacing w:val="-1"/>
          <w:kern w:val="0"/>
          <w:sz w:val="18"/>
          <w:szCs w:val="18"/>
          <w:lang w:eastAsia="en-US"/>
        </w:rPr>
        <w:instrText xml:space="preserve"> PAGEREF _Toc30747 \h </w:instrText>
      </w:r>
      <w:r>
        <w:rPr>
          <w:rFonts w:ascii="Times New Roman" w:hAnsi="Times New Roman" w:eastAsia="Times New Roman" w:cs="Times New Roman"/>
          <w:snapToGrid w:val="0"/>
          <w:color w:val="auto"/>
          <w:spacing w:val="-1"/>
          <w:kern w:val="0"/>
          <w:sz w:val="18"/>
          <w:szCs w:val="18"/>
          <w:lang w:eastAsia="en-US"/>
        </w:rPr>
        <w:fldChar w:fldCharType="separate"/>
      </w:r>
      <w:r>
        <w:rPr>
          <w:rFonts w:hint="eastAsia" w:ascii="Times New Roman" w:hAnsi="Times New Roman" w:eastAsia="宋体" w:cs="Times New Roman"/>
          <w:snapToGrid w:val="0"/>
          <w:color w:val="auto"/>
          <w:spacing w:val="-1"/>
          <w:kern w:val="0"/>
          <w:sz w:val="18"/>
          <w:szCs w:val="18"/>
        </w:rPr>
        <w:t>2</w:t>
      </w:r>
      <w:r>
        <w:rPr>
          <w:rFonts w:ascii="Times New Roman" w:hAnsi="Times New Roman" w:eastAsia="Times New Roman" w:cs="Times New Roman"/>
          <w:snapToGrid w:val="0"/>
          <w:color w:val="auto"/>
          <w:spacing w:val="-1"/>
          <w:kern w:val="0"/>
          <w:sz w:val="18"/>
          <w:szCs w:val="18"/>
          <w:lang w:eastAsia="en-US"/>
        </w:rPr>
        <w:fldChar w:fldCharType="end"/>
      </w:r>
      <w:r>
        <w:rPr>
          <w:rFonts w:ascii="Times New Roman" w:hAnsi="Times New Roman" w:eastAsia="Times New Roman" w:cs="Times New Roman"/>
          <w:snapToGrid w:val="0"/>
          <w:color w:val="auto"/>
          <w:spacing w:val="-1"/>
          <w:kern w:val="0"/>
          <w:sz w:val="18"/>
          <w:szCs w:val="18"/>
          <w:lang w:eastAsia="en-US"/>
        </w:rPr>
        <w:fldChar w:fldCharType="end"/>
      </w:r>
      <w:r>
        <w:rPr>
          <w:rFonts w:hint="eastAsia" w:ascii="Times New Roman" w:hAnsi="Times New Roman" w:eastAsia="宋体" w:cs="Times New Roman"/>
          <w:snapToGrid w:val="0"/>
          <w:color w:val="auto"/>
          <w:spacing w:val="-1"/>
          <w:kern w:val="0"/>
          <w:sz w:val="18"/>
          <w:szCs w:val="18"/>
          <w:lang w:val="en-US" w:eastAsia="zh-CN"/>
        </w:rPr>
        <w:t>1</w:t>
      </w:r>
    </w:p>
    <w:p w14:paraId="554A776F">
      <w:pPr>
        <w:pStyle w:val="10"/>
        <w:tabs>
          <w:tab w:val="right" w:leader="dot" w:pos="8306"/>
        </w:tabs>
        <w:rPr>
          <w:rFonts w:hint="eastAsia" w:ascii="Times New Roman" w:hAnsi="Times New Roman" w:eastAsia="宋体" w:cs="Times New Roman"/>
          <w:snapToGrid w:val="0"/>
          <w:color w:val="auto"/>
          <w:spacing w:val="-1"/>
          <w:kern w:val="0"/>
          <w:sz w:val="18"/>
          <w:szCs w:val="18"/>
          <w:lang w:val="en-US" w:eastAsia="zh-CN"/>
        </w:rPr>
      </w:pPr>
      <w:r>
        <w:rPr>
          <w:color w:val="auto"/>
        </w:rPr>
        <w:fldChar w:fldCharType="begin"/>
      </w:r>
      <w:r>
        <w:rPr>
          <w:color w:val="auto"/>
        </w:rPr>
        <w:instrText xml:space="preserve"> HYPERLINK \l "_Toc2134" </w:instrText>
      </w:r>
      <w:r>
        <w:rPr>
          <w:color w:val="auto"/>
        </w:rPr>
        <w:fldChar w:fldCharType="separate"/>
      </w:r>
      <w:r>
        <w:rPr>
          <w:rFonts w:hint="eastAsia" w:ascii="Times New Roman" w:hAnsi="Times New Roman" w:eastAsia="Times New Roman" w:cs="Times New Roman"/>
          <w:snapToGrid w:val="0"/>
          <w:color w:val="auto"/>
          <w:spacing w:val="-1"/>
          <w:kern w:val="0"/>
          <w:sz w:val="18"/>
          <w:szCs w:val="18"/>
          <w:lang w:eastAsia="en-US"/>
        </w:rPr>
        <w:t xml:space="preserve">Appendix </w:t>
      </w:r>
      <w:r>
        <w:rPr>
          <w:rFonts w:hint="eastAsia" w:ascii="Times New Roman" w:hAnsi="Times New Roman" w:eastAsia="宋体" w:cs="Times New Roman"/>
          <w:snapToGrid w:val="0"/>
          <w:color w:val="auto"/>
          <w:spacing w:val="-1"/>
          <w:kern w:val="0"/>
          <w:sz w:val="18"/>
          <w:szCs w:val="18"/>
          <w:lang w:val="en-US" w:eastAsia="zh-CN"/>
        </w:rPr>
        <w:t>C</w:t>
      </w:r>
      <w:r>
        <w:rPr>
          <w:rFonts w:hint="eastAsia" w:ascii="Times New Roman" w:hAnsi="Times New Roman" w:eastAsia="Times New Roman" w:cs="Times New Roman"/>
          <w:snapToGrid w:val="0"/>
          <w:color w:val="auto"/>
          <w:spacing w:val="-1"/>
          <w:kern w:val="0"/>
          <w:sz w:val="18"/>
          <w:szCs w:val="18"/>
          <w:lang w:eastAsia="en-US"/>
        </w:rPr>
        <w:t xml:space="preserve"> </w:t>
      </w:r>
      <w:r>
        <w:rPr>
          <w:rFonts w:hint="eastAsia" w:ascii="Times New Roman" w:hAnsi="Times New Roman" w:eastAsia="宋体" w:cs="Times New Roman"/>
          <w:snapToGrid w:val="0"/>
          <w:color w:val="auto"/>
          <w:spacing w:val="-1"/>
          <w:kern w:val="0"/>
          <w:sz w:val="18"/>
          <w:szCs w:val="18"/>
        </w:rPr>
        <w:t>C</w:t>
      </w:r>
      <w:r>
        <w:rPr>
          <w:rFonts w:hint="eastAsia" w:ascii="Times New Roman" w:hAnsi="Times New Roman" w:eastAsia="Times New Roman" w:cs="Times New Roman"/>
          <w:snapToGrid w:val="0"/>
          <w:color w:val="auto"/>
          <w:spacing w:val="-1"/>
          <w:kern w:val="0"/>
          <w:sz w:val="18"/>
          <w:szCs w:val="18"/>
          <w:lang w:eastAsia="en-US"/>
        </w:rPr>
        <w:t>arbon</w:t>
      </w:r>
      <w:r>
        <w:rPr>
          <w:rFonts w:hint="eastAsia" w:ascii="Times New Roman" w:hAnsi="Times New Roman" w:eastAsia="宋体" w:cs="Times New Roman"/>
          <w:snapToGrid w:val="0"/>
          <w:color w:val="auto"/>
          <w:spacing w:val="-1"/>
          <w:kern w:val="0"/>
          <w:sz w:val="18"/>
          <w:szCs w:val="18"/>
        </w:rPr>
        <w:t xml:space="preserve"> emission R</w:t>
      </w:r>
      <w:r>
        <w:rPr>
          <w:rFonts w:hint="eastAsia" w:ascii="Times New Roman" w:hAnsi="Times New Roman" w:eastAsia="Times New Roman" w:cs="Times New Roman"/>
          <w:snapToGrid w:val="0"/>
          <w:color w:val="auto"/>
          <w:spacing w:val="-1"/>
          <w:kern w:val="0"/>
          <w:sz w:val="18"/>
          <w:szCs w:val="18"/>
          <w:lang w:eastAsia="en-US"/>
        </w:rPr>
        <w:t>eport</w:t>
      </w:r>
      <w:r>
        <w:rPr>
          <w:rFonts w:hint="eastAsia" w:ascii="Times New Roman" w:hAnsi="Times New Roman" w:eastAsia="宋体" w:cs="Times New Roman"/>
          <w:snapToGrid w:val="0"/>
          <w:color w:val="auto"/>
          <w:spacing w:val="-1"/>
          <w:kern w:val="0"/>
          <w:sz w:val="18"/>
          <w:szCs w:val="18"/>
        </w:rPr>
        <w:t xml:space="preserve"> </w:t>
      </w:r>
      <w:r>
        <w:rPr>
          <w:rFonts w:hint="eastAsia" w:ascii="Times New Roman" w:hAnsi="Times New Roman" w:eastAsia="Times New Roman" w:cs="Times New Roman"/>
          <w:snapToGrid w:val="0"/>
          <w:color w:val="auto"/>
          <w:spacing w:val="-1"/>
          <w:kern w:val="0"/>
          <w:sz w:val="18"/>
          <w:szCs w:val="18"/>
          <w:lang w:eastAsia="en-US"/>
        </w:rPr>
        <w:t xml:space="preserve">of </w:t>
      </w:r>
      <w:r>
        <w:rPr>
          <w:rFonts w:hint="eastAsia" w:ascii="Times New Roman" w:hAnsi="Times New Roman" w:eastAsia="宋体" w:cs="Times New Roman"/>
          <w:snapToGrid w:val="0"/>
          <w:color w:val="auto"/>
          <w:spacing w:val="-1"/>
          <w:kern w:val="0"/>
          <w:sz w:val="18"/>
          <w:szCs w:val="18"/>
          <w:lang w:val="en-US" w:eastAsia="zh-CN"/>
        </w:rPr>
        <w:t xml:space="preserve">the </w:t>
      </w:r>
      <w:r>
        <w:rPr>
          <w:rFonts w:hint="eastAsia" w:ascii="Times New Roman" w:hAnsi="Times New Roman" w:eastAsia="Times New Roman" w:cs="Times New Roman"/>
          <w:snapToGrid w:val="0"/>
          <w:color w:val="auto"/>
          <w:spacing w:val="-1"/>
          <w:kern w:val="0"/>
          <w:sz w:val="18"/>
          <w:szCs w:val="18"/>
          <w:lang w:eastAsia="en-US"/>
        </w:rPr>
        <w:t>Project</w:t>
      </w:r>
      <w:r>
        <w:rPr>
          <w:rFonts w:ascii="Times New Roman" w:hAnsi="Times New Roman" w:eastAsia="Times New Roman" w:cs="Times New Roman"/>
          <w:snapToGrid w:val="0"/>
          <w:color w:val="auto"/>
          <w:spacing w:val="-1"/>
          <w:kern w:val="0"/>
          <w:sz w:val="18"/>
          <w:szCs w:val="18"/>
          <w:lang w:eastAsia="en-US"/>
        </w:rPr>
        <w:tab/>
      </w:r>
      <w:r>
        <w:rPr>
          <w:rFonts w:hint="eastAsia" w:ascii="Times New Roman" w:hAnsi="Times New Roman" w:eastAsia="宋体" w:cs="Times New Roman"/>
          <w:snapToGrid w:val="0"/>
          <w:color w:val="auto"/>
          <w:spacing w:val="-1"/>
          <w:kern w:val="0"/>
          <w:sz w:val="18"/>
          <w:szCs w:val="18"/>
          <w:lang w:val="en-US" w:eastAsia="zh-CN"/>
        </w:rPr>
        <w:t>4</w:t>
      </w:r>
      <w:r>
        <w:rPr>
          <w:rFonts w:hint="eastAsia" w:ascii="Times New Roman" w:hAnsi="Times New Roman" w:eastAsia="宋体" w:cs="Times New Roman"/>
          <w:snapToGrid w:val="0"/>
          <w:color w:val="auto"/>
          <w:spacing w:val="-1"/>
          <w:kern w:val="0"/>
          <w:sz w:val="18"/>
          <w:szCs w:val="18"/>
        </w:rPr>
        <w:fldChar w:fldCharType="end"/>
      </w:r>
      <w:r>
        <w:rPr>
          <w:rFonts w:hint="eastAsia" w:ascii="Times New Roman" w:hAnsi="Times New Roman" w:cs="Times New Roman"/>
          <w:snapToGrid w:val="0"/>
          <w:color w:val="auto"/>
          <w:spacing w:val="-1"/>
          <w:kern w:val="0"/>
          <w:sz w:val="18"/>
          <w:szCs w:val="18"/>
          <w:lang w:val="en-US" w:eastAsia="zh-CN"/>
        </w:rPr>
        <w:t>3</w:t>
      </w:r>
    </w:p>
    <w:p w14:paraId="7CC34BE6">
      <w:pPr>
        <w:pStyle w:val="10"/>
        <w:tabs>
          <w:tab w:val="right" w:leader="dot" w:pos="8306"/>
        </w:tabs>
        <w:rPr>
          <w:rFonts w:hint="default" w:ascii="Times New Roman" w:hAnsi="Times New Roman" w:eastAsia="宋体" w:cs="Times New Roman"/>
          <w:snapToGrid w:val="0"/>
          <w:color w:val="auto"/>
          <w:spacing w:val="-1"/>
          <w:kern w:val="0"/>
          <w:sz w:val="18"/>
          <w:szCs w:val="18"/>
          <w:lang w:val="en-US" w:eastAsia="zh-CN"/>
        </w:rPr>
      </w:pPr>
      <w:r>
        <w:rPr>
          <w:color w:val="auto"/>
        </w:rPr>
        <w:fldChar w:fldCharType="begin"/>
      </w:r>
      <w:r>
        <w:rPr>
          <w:color w:val="auto"/>
        </w:rPr>
        <w:instrText xml:space="preserve"> HYPERLINK \l "_Toc2134" </w:instrText>
      </w:r>
      <w:r>
        <w:rPr>
          <w:color w:val="auto"/>
        </w:rPr>
        <w:fldChar w:fldCharType="separate"/>
      </w:r>
      <w:r>
        <w:rPr>
          <w:rFonts w:hint="eastAsia" w:ascii="Times New Roman" w:hAnsi="Times New Roman" w:eastAsia="Times New Roman" w:cs="Times New Roman"/>
          <w:snapToGrid w:val="0"/>
          <w:color w:val="auto"/>
          <w:spacing w:val="-1"/>
          <w:kern w:val="0"/>
          <w:sz w:val="18"/>
          <w:szCs w:val="18"/>
          <w:lang w:eastAsia="en-US"/>
        </w:rPr>
        <w:t xml:space="preserve">Appendix </w:t>
      </w:r>
      <w:r>
        <w:rPr>
          <w:rFonts w:hint="eastAsia" w:ascii="Times New Roman" w:hAnsi="Times New Roman" w:eastAsia="宋体" w:cs="Times New Roman"/>
          <w:snapToGrid w:val="0"/>
          <w:color w:val="auto"/>
          <w:spacing w:val="-1"/>
          <w:kern w:val="0"/>
          <w:sz w:val="18"/>
          <w:szCs w:val="18"/>
          <w:lang w:val="en-US" w:eastAsia="zh-CN"/>
        </w:rPr>
        <w:t>D</w:t>
      </w:r>
      <w:r>
        <w:rPr>
          <w:rFonts w:hint="eastAsia" w:ascii="Times New Roman" w:hAnsi="Times New Roman" w:eastAsia="Times New Roman" w:cs="Times New Roman"/>
          <w:snapToGrid w:val="0"/>
          <w:color w:val="auto"/>
          <w:spacing w:val="-1"/>
          <w:kern w:val="0"/>
          <w:sz w:val="18"/>
          <w:szCs w:val="18"/>
          <w:lang w:eastAsia="en-US"/>
        </w:rPr>
        <w:t xml:space="preserve"> ESG Report of </w:t>
      </w:r>
      <w:r>
        <w:rPr>
          <w:rFonts w:hint="eastAsia" w:ascii="Times New Roman" w:hAnsi="Times New Roman" w:eastAsia="宋体" w:cs="Times New Roman"/>
          <w:snapToGrid w:val="0"/>
          <w:color w:val="auto"/>
          <w:spacing w:val="-1"/>
          <w:kern w:val="0"/>
          <w:sz w:val="18"/>
          <w:szCs w:val="18"/>
          <w:lang w:val="en-US" w:eastAsia="zh-CN"/>
        </w:rPr>
        <w:t xml:space="preserve">the </w:t>
      </w:r>
      <w:r>
        <w:rPr>
          <w:rFonts w:hint="eastAsia" w:ascii="Times New Roman" w:hAnsi="Times New Roman" w:eastAsia="Times New Roman" w:cs="Times New Roman"/>
          <w:snapToGrid w:val="0"/>
          <w:color w:val="auto"/>
          <w:spacing w:val="-1"/>
          <w:kern w:val="0"/>
          <w:sz w:val="18"/>
          <w:szCs w:val="18"/>
          <w:lang w:eastAsia="en-US"/>
        </w:rPr>
        <w:t>Project</w:t>
      </w:r>
      <w:r>
        <w:rPr>
          <w:rFonts w:ascii="Times New Roman" w:hAnsi="Times New Roman" w:eastAsia="Times New Roman" w:cs="Times New Roman"/>
          <w:snapToGrid w:val="0"/>
          <w:color w:val="auto"/>
          <w:spacing w:val="-1"/>
          <w:kern w:val="0"/>
          <w:sz w:val="18"/>
          <w:szCs w:val="18"/>
          <w:lang w:eastAsia="en-US"/>
        </w:rPr>
        <w:tab/>
      </w:r>
      <w:r>
        <w:rPr>
          <w:rFonts w:hint="eastAsia" w:ascii="Times New Roman" w:hAnsi="Times New Roman" w:eastAsia="宋体" w:cs="Times New Roman"/>
          <w:snapToGrid w:val="0"/>
          <w:color w:val="auto"/>
          <w:spacing w:val="-1"/>
          <w:kern w:val="0"/>
          <w:sz w:val="18"/>
          <w:szCs w:val="18"/>
        </w:rPr>
        <w:fldChar w:fldCharType="end"/>
      </w:r>
      <w:r>
        <w:rPr>
          <w:rFonts w:hint="eastAsia" w:ascii="Times New Roman" w:hAnsi="Times New Roman" w:cs="Times New Roman"/>
          <w:snapToGrid w:val="0"/>
          <w:color w:val="auto"/>
          <w:spacing w:val="-1"/>
          <w:kern w:val="0"/>
          <w:sz w:val="18"/>
          <w:szCs w:val="18"/>
          <w:lang w:val="en-US" w:eastAsia="zh-CN"/>
        </w:rPr>
        <w:t>44</w:t>
      </w:r>
    </w:p>
    <w:p w14:paraId="4783E9E0">
      <w:pPr>
        <w:pStyle w:val="10"/>
        <w:tabs>
          <w:tab w:val="right" w:leader="dot" w:pos="8306"/>
        </w:tabs>
        <w:rPr>
          <w:rFonts w:hint="eastAsia" w:ascii="Times New Roman" w:hAnsi="Times New Roman" w:eastAsia="宋体" w:cs="Times New Roman"/>
          <w:snapToGrid w:val="0"/>
          <w:color w:val="auto"/>
          <w:spacing w:val="-1"/>
          <w:kern w:val="0"/>
          <w:sz w:val="18"/>
          <w:szCs w:val="18"/>
          <w:lang w:eastAsia="zh-CN"/>
        </w:rPr>
      </w:pPr>
      <w:r>
        <w:rPr>
          <w:rFonts w:hint="eastAsia" w:ascii="Times New Roman" w:hAnsi="Times New Roman" w:eastAsia="Times New Roman" w:cs="Times New Roman"/>
          <w:snapToGrid w:val="0"/>
          <w:color w:val="auto"/>
          <w:spacing w:val="-1"/>
          <w:kern w:val="0"/>
          <w:sz w:val="18"/>
          <w:szCs w:val="18"/>
          <w:lang w:eastAsia="en-US"/>
        </w:rPr>
        <w:t>Appendix</w:t>
      </w:r>
      <w:r>
        <w:rPr>
          <w:rFonts w:hint="eastAsia" w:ascii="Times New Roman" w:hAnsi="Times New Roman" w:cs="Times New Roman"/>
          <w:snapToGrid w:val="0"/>
          <w:color w:val="auto"/>
          <w:spacing w:val="-1"/>
          <w:kern w:val="0"/>
          <w:sz w:val="18"/>
          <w:szCs w:val="18"/>
          <w:lang w:val="en-US" w:eastAsia="zh-CN"/>
        </w:rPr>
        <w:t xml:space="preserve"> E Evaluation Description</w:t>
      </w:r>
      <w:r>
        <w:rPr>
          <w:color w:val="auto"/>
        </w:rPr>
        <w:fldChar w:fldCharType="begin"/>
      </w:r>
      <w:r>
        <w:rPr>
          <w:color w:val="auto"/>
        </w:rPr>
        <w:instrText xml:space="preserve"> HYPERLINK \l "_Toc30067" </w:instrText>
      </w:r>
      <w:r>
        <w:rPr>
          <w:color w:val="auto"/>
        </w:rPr>
        <w:fldChar w:fldCharType="separate"/>
      </w:r>
      <w:r>
        <w:rPr>
          <w:rFonts w:ascii="Times New Roman" w:hAnsi="Times New Roman" w:eastAsia="Times New Roman" w:cs="Times New Roman"/>
          <w:snapToGrid w:val="0"/>
          <w:color w:val="auto"/>
          <w:spacing w:val="-1"/>
          <w:kern w:val="0"/>
          <w:sz w:val="18"/>
          <w:szCs w:val="18"/>
          <w:lang w:eastAsia="en-US"/>
        </w:rPr>
        <w:tab/>
      </w:r>
      <w:r>
        <w:rPr>
          <w:rFonts w:ascii="Times New Roman" w:hAnsi="Times New Roman" w:eastAsia="Times New Roman" w:cs="Times New Roman"/>
          <w:snapToGrid w:val="0"/>
          <w:color w:val="auto"/>
          <w:spacing w:val="-1"/>
          <w:kern w:val="0"/>
          <w:sz w:val="18"/>
          <w:szCs w:val="18"/>
          <w:lang w:eastAsia="en-US"/>
        </w:rPr>
        <w:fldChar w:fldCharType="end"/>
      </w:r>
      <w:r>
        <w:rPr>
          <w:rFonts w:hint="eastAsia" w:ascii="Times New Roman" w:hAnsi="Times New Roman" w:eastAsia="宋体" w:cs="Times New Roman"/>
          <w:snapToGrid w:val="0"/>
          <w:color w:val="auto"/>
          <w:spacing w:val="-1"/>
          <w:kern w:val="0"/>
          <w:sz w:val="18"/>
          <w:szCs w:val="18"/>
          <w:lang w:val="en-US" w:eastAsia="zh-CN"/>
        </w:rPr>
        <w:t>45</w:t>
      </w:r>
    </w:p>
    <w:p w14:paraId="38483D2D">
      <w:pPr>
        <w:pStyle w:val="10"/>
        <w:tabs>
          <w:tab w:val="right" w:leader="dot" w:pos="8306"/>
        </w:tabs>
        <w:rPr>
          <w:rFonts w:hint="eastAsia" w:eastAsia="宋体"/>
          <w:lang w:val="en-US" w:eastAsia="zh-CN"/>
        </w:rPr>
      </w:pPr>
      <w:r>
        <w:rPr>
          <w:rFonts w:hint="eastAsia" w:ascii="Times New Roman" w:hAnsi="Times New Roman" w:eastAsia="Times New Roman" w:cs="Times New Roman"/>
          <w:snapToGrid w:val="0"/>
          <w:color w:val="auto"/>
          <w:spacing w:val="-1"/>
          <w:kern w:val="0"/>
          <w:sz w:val="18"/>
          <w:szCs w:val="18"/>
          <w:lang w:eastAsia="en-US"/>
        </w:rPr>
        <w:t>Ex</w:t>
      </w:r>
      <w:r>
        <w:rPr>
          <w:rFonts w:hint="eastAsia" w:ascii="Times New Roman" w:hAnsi="Times New Roman" w:eastAsia="Times New Roman" w:cs="Times New Roman"/>
          <w:snapToGrid w:val="0"/>
          <w:color w:val="auto"/>
          <w:spacing w:val="-1"/>
          <w:kern w:val="0"/>
          <w:sz w:val="18"/>
          <w:szCs w:val="18"/>
          <w:lang w:val="en-US" w:eastAsia="en-US"/>
        </w:rPr>
        <w:t>p</w:t>
      </w:r>
      <w:r>
        <w:rPr>
          <w:rFonts w:hint="eastAsia" w:ascii="Times New Roman" w:hAnsi="Times New Roman" w:eastAsia="Times New Roman" w:cs="Times New Roman"/>
          <w:snapToGrid w:val="0"/>
          <w:color w:val="auto"/>
          <w:spacing w:val="-1"/>
          <w:kern w:val="0"/>
          <w:sz w:val="18"/>
          <w:szCs w:val="18"/>
          <w:lang w:eastAsia="en-US"/>
        </w:rPr>
        <w:t>lanation of wordin</w:t>
      </w:r>
      <w:r>
        <w:rPr>
          <w:rFonts w:hint="eastAsia" w:ascii="Times New Roman" w:hAnsi="Times New Roman" w:eastAsia="Times New Roman" w:cs="Times New Roman"/>
          <w:snapToGrid w:val="0"/>
          <w:color w:val="auto"/>
          <w:spacing w:val="-1"/>
          <w:kern w:val="0"/>
          <w:sz w:val="18"/>
          <w:szCs w:val="18"/>
          <w:lang w:val="en-US" w:eastAsia="en-US"/>
        </w:rPr>
        <w:t>g</w:t>
      </w:r>
      <w:r>
        <w:rPr>
          <w:color w:val="auto"/>
        </w:rPr>
        <w:fldChar w:fldCharType="begin"/>
      </w:r>
      <w:r>
        <w:rPr>
          <w:color w:val="auto"/>
        </w:rPr>
        <w:instrText xml:space="preserve"> HYPERLINK \l "_Toc30067" </w:instrText>
      </w:r>
      <w:r>
        <w:rPr>
          <w:color w:val="auto"/>
        </w:rPr>
        <w:fldChar w:fldCharType="separate"/>
      </w:r>
      <w:r>
        <w:rPr>
          <w:rFonts w:ascii="Times New Roman" w:hAnsi="Times New Roman" w:eastAsia="Times New Roman" w:cs="Times New Roman"/>
          <w:snapToGrid w:val="0"/>
          <w:color w:val="auto"/>
          <w:spacing w:val="-1"/>
          <w:kern w:val="0"/>
          <w:sz w:val="18"/>
          <w:szCs w:val="18"/>
          <w:lang w:eastAsia="en-US"/>
        </w:rPr>
        <w:tab/>
      </w:r>
      <w:r>
        <w:rPr>
          <w:rFonts w:hint="eastAsia" w:ascii="Times New Roman" w:hAnsi="Times New Roman" w:eastAsia="宋体" w:cs="Times New Roman"/>
          <w:snapToGrid w:val="0"/>
          <w:color w:val="auto"/>
          <w:spacing w:val="-1"/>
          <w:kern w:val="0"/>
          <w:sz w:val="18"/>
          <w:szCs w:val="18"/>
          <w:lang w:val="en-US" w:eastAsia="zh-CN"/>
        </w:rPr>
        <w:t>5</w:t>
      </w:r>
      <w:r>
        <w:rPr>
          <w:rFonts w:ascii="Times New Roman" w:hAnsi="Times New Roman" w:eastAsia="Times New Roman" w:cs="Times New Roman"/>
          <w:snapToGrid w:val="0"/>
          <w:color w:val="auto"/>
          <w:spacing w:val="-1"/>
          <w:kern w:val="0"/>
          <w:sz w:val="18"/>
          <w:szCs w:val="18"/>
          <w:lang w:eastAsia="en-US"/>
        </w:rPr>
        <w:fldChar w:fldCharType="end"/>
      </w:r>
      <w:r>
        <w:rPr>
          <w:rFonts w:hint="eastAsia" w:ascii="Times New Roman" w:hAnsi="Times New Roman" w:eastAsia="宋体" w:cs="Times New Roman"/>
          <w:snapToGrid w:val="0"/>
          <w:color w:val="auto"/>
          <w:spacing w:val="-1"/>
          <w:kern w:val="0"/>
          <w:sz w:val="18"/>
          <w:szCs w:val="18"/>
          <w:lang w:val="en-US" w:eastAsia="zh-CN"/>
        </w:rPr>
        <w:t>1</w:t>
      </w:r>
    </w:p>
    <w:p w14:paraId="24408E86">
      <w:pPr>
        <w:pStyle w:val="10"/>
        <w:tabs>
          <w:tab w:val="right" w:leader="dot" w:pos="8306"/>
        </w:tabs>
        <w:rPr>
          <w:rFonts w:hint="eastAsia" w:ascii="Times New Roman" w:hAnsi="Times New Roman" w:eastAsia="宋体" w:cs="Times New Roman"/>
          <w:snapToGrid w:val="0"/>
          <w:color w:val="auto"/>
          <w:spacing w:val="-1"/>
          <w:kern w:val="0"/>
          <w:sz w:val="18"/>
          <w:szCs w:val="18"/>
          <w:lang w:eastAsia="zh-CN"/>
        </w:rPr>
      </w:pPr>
      <w:r>
        <w:rPr>
          <w:rFonts w:ascii="Times New Roman" w:hAnsi="Times New Roman" w:eastAsia="Times New Roman" w:cs="Times New Roman"/>
          <w:snapToGrid w:val="0"/>
          <w:color w:val="auto"/>
          <w:spacing w:val="-1"/>
          <w:kern w:val="0"/>
          <w:sz w:val="18"/>
          <w:szCs w:val="18"/>
          <w:lang w:eastAsia="en-US"/>
        </w:rPr>
        <w:t>List of quoted standards</w:t>
      </w:r>
      <w:r>
        <w:rPr>
          <w:color w:val="auto"/>
        </w:rPr>
        <w:fldChar w:fldCharType="begin"/>
      </w:r>
      <w:r>
        <w:rPr>
          <w:color w:val="auto"/>
        </w:rPr>
        <w:instrText xml:space="preserve"> HYPERLINK \l "_Toc30067" </w:instrText>
      </w:r>
      <w:r>
        <w:rPr>
          <w:color w:val="auto"/>
        </w:rPr>
        <w:fldChar w:fldCharType="separate"/>
      </w:r>
      <w:r>
        <w:rPr>
          <w:rFonts w:ascii="Times New Roman" w:hAnsi="Times New Roman" w:eastAsia="Times New Roman" w:cs="Times New Roman"/>
          <w:snapToGrid w:val="0"/>
          <w:color w:val="auto"/>
          <w:spacing w:val="-1"/>
          <w:kern w:val="0"/>
          <w:sz w:val="18"/>
          <w:szCs w:val="18"/>
          <w:lang w:eastAsia="en-US"/>
        </w:rPr>
        <w:tab/>
      </w:r>
      <w:r>
        <w:rPr>
          <w:rFonts w:hint="eastAsia" w:ascii="Times New Roman" w:hAnsi="Times New Roman" w:eastAsia="宋体" w:cs="Times New Roman"/>
          <w:snapToGrid w:val="0"/>
          <w:color w:val="auto"/>
          <w:spacing w:val="-1"/>
          <w:kern w:val="0"/>
          <w:sz w:val="18"/>
          <w:szCs w:val="18"/>
          <w:lang w:val="en-US" w:eastAsia="zh-CN"/>
        </w:rPr>
        <w:t>5</w:t>
      </w:r>
      <w:r>
        <w:rPr>
          <w:rFonts w:hint="eastAsia" w:ascii="Times New Roman" w:hAnsi="Times New Roman" w:cs="Times New Roman"/>
          <w:snapToGrid w:val="0"/>
          <w:color w:val="auto"/>
          <w:spacing w:val="-1"/>
          <w:kern w:val="0"/>
          <w:sz w:val="18"/>
          <w:szCs w:val="18"/>
          <w:lang w:val="en-US" w:eastAsia="zh-CN"/>
        </w:rPr>
        <w:t>2</w:t>
      </w:r>
      <w:r>
        <w:rPr>
          <w:rFonts w:ascii="Times New Roman" w:hAnsi="Times New Roman" w:eastAsia="Times New Roman" w:cs="Times New Roman"/>
          <w:snapToGrid w:val="0"/>
          <w:color w:val="auto"/>
          <w:spacing w:val="-1"/>
          <w:kern w:val="0"/>
          <w:sz w:val="18"/>
          <w:szCs w:val="18"/>
          <w:lang w:eastAsia="en-US"/>
        </w:rPr>
        <w:fldChar w:fldCharType="end"/>
      </w:r>
    </w:p>
    <w:p w14:paraId="0310F170">
      <w:pPr>
        <w:pStyle w:val="10"/>
        <w:tabs>
          <w:tab w:val="right" w:leader="dot" w:pos="8306"/>
        </w:tabs>
        <w:rPr>
          <w:rFonts w:hint="eastAsia" w:ascii="宋体" w:hAnsi="宋体" w:eastAsia="宋体" w:cs="宋体"/>
          <w:lang w:val="en-US" w:eastAsia="zh-CN"/>
        </w:rPr>
      </w:pPr>
      <w:r>
        <w:rPr>
          <w:rFonts w:hint="eastAsia" w:ascii="Times New Roman" w:hAnsi="Times New Roman" w:eastAsia="Times New Roman" w:cs="Times New Roman"/>
          <w:snapToGrid w:val="0"/>
          <w:color w:val="auto"/>
          <w:spacing w:val="-1"/>
          <w:kern w:val="0"/>
          <w:sz w:val="18"/>
          <w:szCs w:val="18"/>
          <w:lang w:eastAsia="en-US"/>
        </w:rPr>
        <w:t>Addition: Explanation of provisions</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_Toc9373 \h </w:instrText>
      </w:r>
      <w:r>
        <w:rPr>
          <w:rFonts w:hint="eastAsia" w:ascii="宋体" w:hAnsi="宋体" w:eastAsia="宋体" w:cs="宋体"/>
        </w:rPr>
        <w:fldChar w:fldCharType="separate"/>
      </w:r>
      <w:r>
        <w:rPr>
          <w:rFonts w:hint="eastAsia" w:ascii="宋体" w:hAnsi="宋体" w:eastAsia="宋体" w:cs="宋体"/>
        </w:rPr>
        <w:t>5</w:t>
      </w:r>
      <w:r>
        <w:rPr>
          <w:rFonts w:hint="eastAsia" w:ascii="宋体" w:hAnsi="宋体" w:eastAsia="宋体" w:cs="宋体"/>
        </w:rPr>
        <w:fldChar w:fldCharType="end"/>
      </w:r>
      <w:r>
        <w:rPr>
          <w:rFonts w:hint="eastAsia" w:ascii="宋体" w:hAnsi="宋体" w:cs="宋体"/>
          <w:lang w:val="en-US" w:eastAsia="zh-CN"/>
        </w:rPr>
        <w:t>4</w:t>
      </w:r>
    </w:p>
    <w:p w14:paraId="49C447C8">
      <w:pPr>
        <w:spacing w:line="360" w:lineRule="auto"/>
        <w:jc w:val="center"/>
        <w:outlineLvl w:val="0"/>
        <w:rPr>
          <w:rFonts w:ascii="宋体" w:hAnsi="宋体" w:eastAsia="宋体" w:cs="宋体"/>
          <w:b/>
          <w:bCs/>
          <w:color w:val="auto"/>
          <w:sz w:val="30"/>
          <w:szCs w:val="30"/>
        </w:rPr>
        <w:sectPr>
          <w:footerReference r:id="rId5" w:type="default"/>
          <w:pgSz w:w="11906" w:h="16838"/>
          <w:pgMar w:top="1440" w:right="1800" w:bottom="1440" w:left="1800" w:header="851" w:footer="992" w:gutter="0"/>
          <w:pgNumType w:fmt="decimal" w:start="1"/>
          <w:cols w:space="720" w:num="1"/>
          <w:docGrid w:type="lines" w:linePitch="312" w:charSpace="0"/>
        </w:sectPr>
      </w:pPr>
    </w:p>
    <w:p w14:paraId="0F8C223C">
      <w:pPr>
        <w:spacing w:line="360" w:lineRule="auto"/>
        <w:jc w:val="center"/>
        <w:outlineLvl w:val="0"/>
        <w:rPr>
          <w:rFonts w:ascii="宋体" w:hAnsi="宋体" w:eastAsia="宋体" w:cs="宋体"/>
          <w:b/>
          <w:bCs/>
          <w:color w:val="auto"/>
          <w:sz w:val="30"/>
          <w:szCs w:val="30"/>
        </w:rPr>
      </w:pPr>
      <w:bookmarkStart w:id="8" w:name="_Toc10183"/>
      <w:bookmarkStart w:id="9" w:name="_Toc10634"/>
      <w:bookmarkStart w:id="10" w:name="_Toc3913"/>
      <w:bookmarkStart w:id="11" w:name="_Toc18113"/>
      <w:bookmarkStart w:id="12" w:name="_Toc9340"/>
      <w:bookmarkStart w:id="13" w:name="_Toc10719"/>
      <w:bookmarkStart w:id="14" w:name="_Toc30738"/>
      <w:r>
        <w:rPr>
          <w:rFonts w:hint="eastAsia" w:ascii="宋体" w:hAnsi="宋体" w:eastAsia="宋体" w:cs="宋体"/>
          <w:b/>
          <w:bCs/>
          <w:color w:val="auto"/>
          <w:sz w:val="30"/>
          <w:szCs w:val="30"/>
        </w:rPr>
        <w:t>1</w:t>
      </w:r>
      <w:r>
        <w:rPr>
          <w:rFonts w:ascii="宋体" w:hAnsi="宋体" w:eastAsia="宋体" w:cs="宋体"/>
          <w:b/>
          <w:bCs/>
          <w:color w:val="auto"/>
          <w:sz w:val="30"/>
          <w:szCs w:val="30"/>
        </w:rPr>
        <w:t xml:space="preserve"> </w:t>
      </w:r>
      <w:r>
        <w:rPr>
          <w:rFonts w:hint="eastAsia" w:ascii="宋体" w:hAnsi="宋体" w:eastAsia="宋体" w:cs="宋体"/>
          <w:b/>
          <w:bCs/>
          <w:color w:val="auto"/>
          <w:sz w:val="30"/>
          <w:szCs w:val="30"/>
        </w:rPr>
        <w:t>总 则</w:t>
      </w:r>
      <w:bookmarkEnd w:id="7"/>
      <w:bookmarkEnd w:id="8"/>
      <w:bookmarkEnd w:id="9"/>
      <w:bookmarkEnd w:id="10"/>
      <w:bookmarkEnd w:id="11"/>
      <w:bookmarkEnd w:id="12"/>
      <w:bookmarkEnd w:id="13"/>
      <w:bookmarkEnd w:id="14"/>
    </w:p>
    <w:p w14:paraId="59A4E5E8">
      <w:pPr>
        <w:spacing w:after="156" w:afterLines="50" w:line="360" w:lineRule="auto"/>
        <w:rPr>
          <w:rFonts w:hint="eastAsia"/>
          <w:color w:val="auto"/>
          <w:sz w:val="24"/>
        </w:rPr>
      </w:pPr>
      <w:r>
        <w:rPr>
          <w:rFonts w:hint="eastAsia"/>
          <w:color w:val="auto"/>
          <w:sz w:val="24"/>
        </w:rPr>
        <w:t>1.0.1 为实现</w:t>
      </w:r>
      <w:r>
        <w:rPr>
          <w:rFonts w:hint="eastAsia"/>
          <w:color w:val="auto"/>
          <w:sz w:val="24"/>
          <w:lang w:eastAsia="zh-CN"/>
        </w:rPr>
        <w:t>城市新型</w:t>
      </w:r>
      <w:r>
        <w:rPr>
          <w:rFonts w:hint="eastAsia"/>
          <w:color w:val="auto"/>
          <w:sz w:val="24"/>
        </w:rPr>
        <w:t>基础设施全周期绿色低碳、安全韧性与可持续发展，规范</w:t>
      </w:r>
      <w:r>
        <w:rPr>
          <w:rFonts w:hint="eastAsia"/>
          <w:color w:val="auto"/>
          <w:sz w:val="24"/>
          <w:lang w:eastAsia="zh-CN"/>
        </w:rPr>
        <w:t>城市新型</w:t>
      </w:r>
      <w:r>
        <w:rPr>
          <w:rFonts w:hint="eastAsia"/>
          <w:color w:val="auto"/>
          <w:sz w:val="24"/>
        </w:rPr>
        <w:t>基础设施可持续性评价，推动绿色低碳创新技术推广应用，制定本标准。</w:t>
      </w:r>
    </w:p>
    <w:p w14:paraId="477C11F1">
      <w:pPr>
        <w:spacing w:after="156" w:afterLines="50" w:line="360" w:lineRule="auto"/>
        <w:rPr>
          <w:rFonts w:hint="eastAsia"/>
          <w:color w:val="auto"/>
          <w:sz w:val="24"/>
        </w:rPr>
      </w:pPr>
      <w:r>
        <w:rPr>
          <w:rFonts w:hint="eastAsia"/>
          <w:color w:val="auto"/>
          <w:sz w:val="24"/>
        </w:rPr>
        <w:t>1.0.2</w:t>
      </w:r>
      <w:r>
        <w:rPr>
          <w:rFonts w:hint="eastAsia"/>
          <w:color w:val="auto"/>
          <w:sz w:val="24"/>
          <w:lang w:val="en-US" w:eastAsia="zh-CN"/>
        </w:rPr>
        <w:t xml:space="preserve"> </w:t>
      </w:r>
      <w:r>
        <w:rPr>
          <w:rFonts w:hint="eastAsia"/>
          <w:color w:val="auto"/>
          <w:sz w:val="24"/>
        </w:rPr>
        <w:t>本标准适用于新建、扩建、改建以及拆除等</w:t>
      </w:r>
      <w:r>
        <w:rPr>
          <w:rFonts w:hint="eastAsia"/>
          <w:color w:val="auto"/>
          <w:sz w:val="24"/>
          <w:lang w:eastAsia="zh-CN"/>
        </w:rPr>
        <w:t>城市新型</w:t>
      </w:r>
      <w:r>
        <w:rPr>
          <w:rFonts w:hint="eastAsia"/>
          <w:color w:val="auto"/>
          <w:sz w:val="24"/>
        </w:rPr>
        <w:t>基础设施项目</w:t>
      </w:r>
      <w:r>
        <w:rPr>
          <w:rFonts w:hint="eastAsia"/>
          <w:color w:val="auto"/>
          <w:sz w:val="24"/>
          <w:lang w:val="en-US" w:eastAsia="zh-CN"/>
        </w:rPr>
        <w:t>的</w:t>
      </w:r>
      <w:r>
        <w:rPr>
          <w:rFonts w:hint="eastAsia"/>
          <w:color w:val="auto"/>
          <w:sz w:val="24"/>
        </w:rPr>
        <w:t>可持续性评价。</w:t>
      </w:r>
    </w:p>
    <w:p w14:paraId="70DDD919">
      <w:pPr>
        <w:spacing w:after="156" w:afterLines="50" w:line="360" w:lineRule="auto"/>
        <w:rPr>
          <w:color w:val="auto"/>
          <w:sz w:val="24"/>
        </w:rPr>
      </w:pPr>
      <w:r>
        <w:rPr>
          <w:rFonts w:hint="eastAsia"/>
          <w:color w:val="auto"/>
          <w:sz w:val="24"/>
        </w:rPr>
        <w:t>1.0.</w:t>
      </w:r>
      <w:r>
        <w:rPr>
          <w:rFonts w:hint="eastAsia"/>
          <w:color w:val="auto"/>
          <w:sz w:val="24"/>
          <w:lang w:val="en-US" w:eastAsia="zh-CN"/>
        </w:rPr>
        <w:t>3</w:t>
      </w:r>
      <w:r>
        <w:rPr>
          <w:rFonts w:hint="eastAsia"/>
          <w:color w:val="auto"/>
          <w:sz w:val="24"/>
        </w:rPr>
        <w:t xml:space="preserve"> </w:t>
      </w:r>
      <w:r>
        <w:rPr>
          <w:rFonts w:hint="eastAsia"/>
          <w:color w:val="auto"/>
          <w:sz w:val="24"/>
          <w:lang w:eastAsia="zh-CN"/>
        </w:rPr>
        <w:t>城市新型</w:t>
      </w:r>
      <w:r>
        <w:rPr>
          <w:rFonts w:hint="eastAsia"/>
          <w:color w:val="auto"/>
          <w:sz w:val="24"/>
        </w:rPr>
        <w:t>基础设施可持续性评价除应符合本标准规定外，尚应符合国家现行有关标准</w:t>
      </w:r>
      <w:r>
        <w:rPr>
          <w:rFonts w:hint="eastAsia"/>
          <w:color w:val="auto"/>
          <w:sz w:val="24"/>
          <w:lang w:val="en-US" w:eastAsia="zh-CN"/>
        </w:rPr>
        <w:t>和现行中国工程建设标准化协会有关标准</w:t>
      </w:r>
      <w:r>
        <w:rPr>
          <w:rFonts w:hint="eastAsia"/>
          <w:color w:val="auto"/>
          <w:sz w:val="24"/>
        </w:rPr>
        <w:t>的规定。</w:t>
      </w:r>
    </w:p>
    <w:p w14:paraId="026A1CE9">
      <w:pPr>
        <w:spacing w:line="360" w:lineRule="auto"/>
        <w:rPr>
          <w:color w:val="auto"/>
        </w:rPr>
        <w:sectPr>
          <w:footerReference r:id="rId6" w:type="default"/>
          <w:pgSz w:w="11906" w:h="16838"/>
          <w:pgMar w:top="1440" w:right="1800" w:bottom="1440" w:left="1800" w:header="851" w:footer="992" w:gutter="0"/>
          <w:pgNumType w:fmt="decimal" w:start="1"/>
          <w:cols w:space="720" w:num="1"/>
          <w:docGrid w:type="lines" w:linePitch="312" w:charSpace="0"/>
        </w:sectPr>
      </w:pPr>
    </w:p>
    <w:p w14:paraId="312A8DF2">
      <w:pPr>
        <w:spacing w:line="360" w:lineRule="auto"/>
        <w:jc w:val="center"/>
        <w:outlineLvl w:val="0"/>
        <w:rPr>
          <w:rFonts w:ascii="宋体" w:hAnsi="宋体" w:eastAsia="宋体" w:cs="宋体"/>
          <w:b/>
          <w:bCs/>
          <w:color w:val="auto"/>
          <w:sz w:val="30"/>
          <w:szCs w:val="30"/>
        </w:rPr>
      </w:pPr>
      <w:bookmarkStart w:id="15" w:name="_Toc15450"/>
      <w:bookmarkStart w:id="16" w:name="_Toc612"/>
      <w:bookmarkStart w:id="17" w:name="_Toc13704"/>
      <w:bookmarkStart w:id="18" w:name="_Toc4816"/>
      <w:bookmarkStart w:id="19" w:name="_Toc10932"/>
      <w:bookmarkStart w:id="20" w:name="_Toc14361"/>
      <w:bookmarkStart w:id="21" w:name="_Toc25921"/>
      <w:r>
        <w:rPr>
          <w:rFonts w:hint="eastAsia" w:ascii="宋体" w:hAnsi="宋体" w:eastAsia="宋体" w:cs="宋体"/>
          <w:b/>
          <w:bCs/>
          <w:color w:val="auto"/>
          <w:sz w:val="30"/>
          <w:szCs w:val="30"/>
        </w:rPr>
        <w:t>2</w:t>
      </w:r>
      <w:r>
        <w:rPr>
          <w:rFonts w:ascii="宋体" w:hAnsi="宋体" w:eastAsia="宋体" w:cs="宋体"/>
          <w:b/>
          <w:bCs/>
          <w:color w:val="auto"/>
          <w:sz w:val="30"/>
          <w:szCs w:val="30"/>
        </w:rPr>
        <w:t xml:space="preserve"> </w:t>
      </w:r>
      <w:r>
        <w:rPr>
          <w:rFonts w:hint="eastAsia" w:ascii="宋体" w:hAnsi="宋体" w:eastAsia="宋体" w:cs="宋体"/>
          <w:b/>
          <w:bCs/>
          <w:color w:val="auto"/>
          <w:sz w:val="30"/>
          <w:szCs w:val="30"/>
        </w:rPr>
        <w:t>术 语</w:t>
      </w:r>
      <w:bookmarkEnd w:id="15"/>
      <w:bookmarkEnd w:id="16"/>
      <w:bookmarkEnd w:id="17"/>
      <w:bookmarkEnd w:id="18"/>
      <w:bookmarkEnd w:id="19"/>
      <w:bookmarkEnd w:id="20"/>
      <w:bookmarkEnd w:id="21"/>
    </w:p>
    <w:p w14:paraId="26C73187">
      <w:pPr>
        <w:spacing w:after="156" w:afterLines="50" w:line="360" w:lineRule="auto"/>
        <w:outlineLvl w:val="9"/>
        <w:rPr>
          <w:color w:val="auto"/>
          <w:sz w:val="24"/>
        </w:rPr>
      </w:pPr>
      <w:bookmarkStart w:id="22" w:name="_Toc9585"/>
      <w:bookmarkStart w:id="23" w:name="_Toc12994"/>
      <w:bookmarkStart w:id="24" w:name="_Toc15688"/>
      <w:bookmarkStart w:id="25" w:name="_Toc20864"/>
      <w:bookmarkStart w:id="26" w:name="_Toc5557"/>
      <w:bookmarkStart w:id="27" w:name="_Toc26612"/>
      <w:bookmarkStart w:id="28" w:name="_Toc2619"/>
      <w:r>
        <w:rPr>
          <w:rFonts w:hint="eastAsia"/>
          <w:color w:val="auto"/>
          <w:sz w:val="24"/>
        </w:rPr>
        <w:t xml:space="preserve">2.0.1 城市基础设施 </w:t>
      </w:r>
      <w:r>
        <w:rPr>
          <w:rFonts w:hint="eastAsia" w:ascii="Times New Roman" w:hAnsi="Times New Roman" w:eastAsia="宋体" w:cs="Times New Roman"/>
          <w:snapToGrid w:val="0"/>
          <w:color w:val="auto"/>
          <w:spacing w:val="-1"/>
          <w:kern w:val="0"/>
          <w:sz w:val="18"/>
          <w:szCs w:val="18"/>
          <w:lang w:val="en-US" w:eastAsia="zh-CN"/>
        </w:rPr>
        <w:t>U</w:t>
      </w:r>
      <w:r>
        <w:rPr>
          <w:rFonts w:hint="eastAsia" w:ascii="Times New Roman" w:hAnsi="Times New Roman" w:eastAsia="Times New Roman" w:cs="Times New Roman"/>
          <w:snapToGrid w:val="0"/>
          <w:color w:val="auto"/>
          <w:spacing w:val="-1"/>
          <w:kern w:val="0"/>
          <w:sz w:val="18"/>
          <w:szCs w:val="18"/>
        </w:rPr>
        <w:t>rban infrastructure</w:t>
      </w:r>
      <w:bookmarkEnd w:id="22"/>
      <w:bookmarkEnd w:id="23"/>
    </w:p>
    <w:p w14:paraId="1955AE21">
      <w:pPr>
        <w:spacing w:after="156" w:afterLines="50" w:line="360" w:lineRule="auto"/>
        <w:ind w:firstLine="480" w:firstLineChars="200"/>
        <w:outlineLvl w:val="9"/>
        <w:rPr>
          <w:rFonts w:hint="eastAsia"/>
          <w:color w:val="auto"/>
          <w:sz w:val="24"/>
          <w:highlight w:val="none"/>
          <w:lang w:val="en-US" w:eastAsia="zh-CN"/>
        </w:rPr>
      </w:pPr>
      <w:r>
        <w:rPr>
          <w:rFonts w:hint="eastAsia"/>
          <w:color w:val="auto"/>
          <w:sz w:val="24"/>
          <w:lang w:val="en-US" w:eastAsia="zh-CN"/>
        </w:rPr>
        <w:t>为城市生产、居民生活提供公共服务的工程设施类项目。</w:t>
      </w:r>
      <w:r>
        <w:rPr>
          <w:rFonts w:hint="eastAsia"/>
          <w:color w:val="auto"/>
          <w:sz w:val="24"/>
          <w:highlight w:val="none"/>
          <w:lang w:val="en-US" w:eastAsia="zh-CN"/>
        </w:rPr>
        <w:t>包括能源供给系统、给排水系统、道路交通系统、通信系统、环境卫生系统、景观绿化系统以及城市防灾系统等工程性基础设施项目，以及城市行政管理、文化体育、医疗卫生、基础性商业服务、教育科研、宗教、社会福利及住房保障方面的社会性基础设施项目。</w:t>
      </w:r>
    </w:p>
    <w:p w14:paraId="07A52BC0">
      <w:pPr>
        <w:spacing w:after="156" w:afterLines="50" w:line="360" w:lineRule="auto"/>
        <w:outlineLvl w:val="9"/>
        <w:rPr>
          <w:color w:val="auto"/>
          <w:sz w:val="24"/>
        </w:rPr>
      </w:pPr>
      <w:bookmarkStart w:id="29" w:name="_Toc31148"/>
      <w:bookmarkStart w:id="30" w:name="_Toc32728"/>
      <w:r>
        <w:rPr>
          <w:rFonts w:hint="eastAsia"/>
          <w:color w:val="auto"/>
          <w:sz w:val="24"/>
        </w:rPr>
        <w:t>2.0.</w:t>
      </w:r>
      <w:r>
        <w:rPr>
          <w:rFonts w:hint="eastAsia"/>
          <w:color w:val="auto"/>
          <w:sz w:val="24"/>
          <w:lang w:val="en-US" w:eastAsia="zh-CN"/>
        </w:rPr>
        <w:t>2</w:t>
      </w:r>
      <w:r>
        <w:rPr>
          <w:rFonts w:hint="eastAsia"/>
          <w:color w:val="auto"/>
          <w:sz w:val="24"/>
        </w:rPr>
        <w:t xml:space="preserve"> </w:t>
      </w:r>
      <w:r>
        <w:rPr>
          <w:rFonts w:hint="eastAsia"/>
          <w:color w:val="auto"/>
          <w:sz w:val="24"/>
          <w:lang w:eastAsia="zh-CN"/>
        </w:rPr>
        <w:t>城市新型</w:t>
      </w:r>
      <w:r>
        <w:rPr>
          <w:rFonts w:hint="eastAsia"/>
          <w:color w:val="auto"/>
          <w:sz w:val="24"/>
        </w:rPr>
        <w:t>基础设施</w:t>
      </w:r>
      <w:bookmarkEnd w:id="24"/>
      <w:bookmarkEnd w:id="25"/>
      <w:r>
        <w:rPr>
          <w:rFonts w:hint="eastAsia"/>
          <w:color w:val="auto"/>
          <w:sz w:val="24"/>
        </w:rPr>
        <w:t xml:space="preserve"> </w:t>
      </w:r>
      <w:r>
        <w:rPr>
          <w:rFonts w:hint="eastAsia" w:ascii="Times New Roman" w:hAnsi="Times New Roman" w:eastAsia="Times New Roman" w:cs="Times New Roman"/>
          <w:snapToGrid w:val="0"/>
          <w:color w:val="auto"/>
          <w:spacing w:val="-1"/>
          <w:kern w:val="0"/>
          <w:sz w:val="18"/>
          <w:szCs w:val="18"/>
        </w:rPr>
        <w:t>New urban infrastructure</w:t>
      </w:r>
      <w:bookmarkEnd w:id="26"/>
      <w:bookmarkEnd w:id="27"/>
      <w:bookmarkEnd w:id="28"/>
      <w:bookmarkEnd w:id="29"/>
      <w:bookmarkEnd w:id="30"/>
    </w:p>
    <w:p w14:paraId="1CFC3B79">
      <w:pPr>
        <w:spacing w:after="156" w:afterLines="50" w:line="360" w:lineRule="auto"/>
        <w:ind w:firstLine="480" w:firstLineChars="200"/>
        <w:rPr>
          <w:rFonts w:hint="eastAsia"/>
          <w:color w:val="auto"/>
          <w:sz w:val="24"/>
        </w:rPr>
      </w:pPr>
      <w:r>
        <w:rPr>
          <w:rFonts w:hint="eastAsia"/>
          <w:color w:val="auto"/>
          <w:sz w:val="24"/>
        </w:rPr>
        <w:t>应用物联网、大数据、人工智能、建筑信息模型（BIM）、城市信息模型（CIM）等新一代信息技术，开展</w:t>
      </w:r>
      <w:r>
        <w:rPr>
          <w:rFonts w:hint="eastAsia"/>
          <w:color w:val="auto"/>
          <w:sz w:val="24"/>
          <w:lang w:val="en-US" w:eastAsia="zh-CN"/>
        </w:rPr>
        <w:t>绿色化、</w:t>
      </w:r>
      <w:r>
        <w:rPr>
          <w:rFonts w:hint="eastAsia"/>
          <w:color w:val="auto"/>
          <w:sz w:val="24"/>
        </w:rPr>
        <w:t>智能化、</w:t>
      </w:r>
      <w:r>
        <w:rPr>
          <w:rFonts w:hint="eastAsia"/>
          <w:color w:val="auto"/>
          <w:sz w:val="24"/>
          <w:lang w:val="en-US" w:eastAsia="zh-CN"/>
        </w:rPr>
        <w:t>工业</w:t>
      </w:r>
      <w:r>
        <w:rPr>
          <w:rFonts w:hint="eastAsia"/>
          <w:color w:val="auto"/>
          <w:sz w:val="24"/>
        </w:rPr>
        <w:t>化建设</w:t>
      </w:r>
      <w:r>
        <w:rPr>
          <w:rFonts w:hint="eastAsia"/>
          <w:color w:val="auto"/>
          <w:sz w:val="24"/>
          <w:lang w:val="en-US" w:eastAsia="zh-CN"/>
        </w:rPr>
        <w:t>（包括</w:t>
      </w:r>
      <w:r>
        <w:rPr>
          <w:rFonts w:hint="eastAsia"/>
          <w:color w:val="auto"/>
          <w:sz w:val="24"/>
        </w:rPr>
        <w:t>改造</w:t>
      </w:r>
      <w:r>
        <w:rPr>
          <w:rFonts w:hint="eastAsia"/>
          <w:color w:val="auto"/>
          <w:sz w:val="24"/>
          <w:lang w:val="en-US" w:eastAsia="zh-CN"/>
        </w:rPr>
        <w:t>）</w:t>
      </w:r>
      <w:r>
        <w:rPr>
          <w:rFonts w:hint="eastAsia"/>
          <w:color w:val="auto"/>
          <w:sz w:val="24"/>
        </w:rPr>
        <w:t>和运行的</w:t>
      </w:r>
      <w:r>
        <w:rPr>
          <w:rFonts w:hint="eastAsia"/>
          <w:color w:val="auto"/>
          <w:sz w:val="24"/>
          <w:lang w:val="en-US" w:eastAsia="zh-CN"/>
        </w:rPr>
        <w:t>城市基础设施项目</w:t>
      </w:r>
      <w:r>
        <w:rPr>
          <w:rFonts w:hint="eastAsia"/>
          <w:color w:val="auto"/>
          <w:sz w:val="24"/>
        </w:rPr>
        <w:t>。</w:t>
      </w:r>
    </w:p>
    <w:p w14:paraId="02F27D49">
      <w:pPr>
        <w:spacing w:after="156" w:afterLines="50" w:line="360" w:lineRule="auto"/>
        <w:rPr>
          <w:rFonts w:hint="default" w:eastAsia="宋体"/>
          <w:color w:val="auto"/>
          <w:sz w:val="24"/>
          <w:highlight w:val="yellow"/>
          <w:lang w:val="en-US" w:eastAsia="zh-CN"/>
        </w:rPr>
      </w:pPr>
      <w:r>
        <w:rPr>
          <w:rFonts w:hint="eastAsia"/>
          <w:color w:val="auto"/>
          <w:sz w:val="24"/>
          <w:highlight w:val="none"/>
        </w:rPr>
        <w:t>2.0.</w:t>
      </w:r>
      <w:r>
        <w:rPr>
          <w:rFonts w:hint="eastAsia"/>
          <w:color w:val="auto"/>
          <w:sz w:val="24"/>
          <w:highlight w:val="none"/>
          <w:lang w:val="en-US" w:eastAsia="zh-CN"/>
        </w:rPr>
        <w:t>3</w:t>
      </w:r>
      <w:r>
        <w:rPr>
          <w:rFonts w:hint="eastAsia"/>
          <w:color w:val="auto"/>
          <w:sz w:val="24"/>
          <w:highlight w:val="none"/>
        </w:rPr>
        <w:t xml:space="preserve"> </w:t>
      </w:r>
      <w:r>
        <w:rPr>
          <w:rFonts w:hint="eastAsia"/>
          <w:color w:val="auto"/>
          <w:sz w:val="24"/>
          <w:highlight w:val="none"/>
          <w:lang w:eastAsia="zh-CN"/>
        </w:rPr>
        <w:t>城市新型</w:t>
      </w:r>
      <w:r>
        <w:rPr>
          <w:rFonts w:hint="eastAsia"/>
          <w:color w:val="auto"/>
          <w:sz w:val="24"/>
          <w:highlight w:val="none"/>
        </w:rPr>
        <w:t>基础设施可持续性评价</w:t>
      </w:r>
      <w:r>
        <w:rPr>
          <w:rFonts w:hint="eastAsia"/>
          <w:color w:val="auto"/>
          <w:sz w:val="24"/>
          <w:highlight w:val="none"/>
          <w:lang w:val="en-US" w:eastAsia="zh-CN"/>
        </w:rPr>
        <w:t xml:space="preserve"> </w:t>
      </w:r>
      <w:r>
        <w:rPr>
          <w:rFonts w:hint="eastAsia" w:ascii="Times New Roman" w:hAnsi="Times New Roman" w:eastAsia="Times New Roman" w:cs="Times New Roman"/>
          <w:snapToGrid w:val="0"/>
          <w:color w:val="auto"/>
          <w:spacing w:val="-1"/>
          <w:kern w:val="0"/>
          <w:sz w:val="18"/>
          <w:szCs w:val="18"/>
        </w:rPr>
        <w:t>T</w:t>
      </w:r>
      <w:r>
        <w:rPr>
          <w:rFonts w:hint="eastAsia" w:ascii="Times New Roman" w:hAnsi="Times New Roman" w:eastAsia="Times New Roman" w:cs="Times New Roman"/>
          <w:snapToGrid w:val="0"/>
          <w:color w:val="auto"/>
          <w:spacing w:val="-1"/>
          <w:kern w:val="0"/>
          <w:sz w:val="18"/>
          <w:szCs w:val="18"/>
          <w:lang w:val="en-US" w:eastAsia="zh-CN"/>
        </w:rPr>
        <w:t>he Sustainability of New urban infrastructure</w:t>
      </w:r>
    </w:p>
    <w:p w14:paraId="2374EF9E">
      <w:pPr>
        <w:spacing w:after="156" w:afterLines="50" w:line="360" w:lineRule="auto"/>
        <w:ind w:firstLine="480" w:firstLineChars="200"/>
        <w:rPr>
          <w:rFonts w:hint="eastAsia"/>
          <w:color w:val="auto"/>
        </w:rPr>
      </w:pPr>
      <w:r>
        <w:rPr>
          <w:rFonts w:hint="eastAsia"/>
          <w:color w:val="auto"/>
          <w:sz w:val="24"/>
          <w:highlight w:val="none"/>
        </w:rPr>
        <w:t>对</w:t>
      </w:r>
      <w:r>
        <w:rPr>
          <w:rFonts w:hint="eastAsia"/>
          <w:color w:val="auto"/>
          <w:sz w:val="24"/>
          <w:highlight w:val="none"/>
          <w:lang w:val="en-US" w:eastAsia="zh-CN"/>
        </w:rPr>
        <w:t>城市新型</w:t>
      </w:r>
      <w:r>
        <w:rPr>
          <w:rFonts w:hint="eastAsia"/>
          <w:color w:val="auto"/>
          <w:sz w:val="24"/>
          <w:highlight w:val="none"/>
        </w:rPr>
        <w:t>基础设施</w:t>
      </w:r>
      <w:r>
        <w:rPr>
          <w:rFonts w:hint="eastAsia"/>
          <w:color w:val="auto"/>
          <w:sz w:val="24"/>
          <w:highlight w:val="none"/>
          <w:lang w:val="en-US" w:eastAsia="zh-CN"/>
        </w:rPr>
        <w:t>项目的环境</w:t>
      </w:r>
      <w:r>
        <w:rPr>
          <w:rFonts w:hint="eastAsia"/>
          <w:color w:val="auto"/>
          <w:sz w:val="24"/>
          <w:highlight w:val="none"/>
        </w:rPr>
        <w:t>可持续</w:t>
      </w:r>
      <w:r>
        <w:rPr>
          <w:rFonts w:hint="eastAsia"/>
          <w:color w:val="auto"/>
          <w:sz w:val="24"/>
          <w:highlight w:val="none"/>
          <w:lang w:val="en-US" w:eastAsia="zh-CN"/>
        </w:rPr>
        <w:t>、资源</w:t>
      </w:r>
      <w:r>
        <w:rPr>
          <w:rFonts w:hint="eastAsia"/>
          <w:color w:val="auto"/>
          <w:sz w:val="24"/>
          <w:highlight w:val="none"/>
        </w:rPr>
        <w:t>可持续</w:t>
      </w:r>
      <w:r>
        <w:rPr>
          <w:rFonts w:hint="eastAsia"/>
          <w:color w:val="auto"/>
          <w:sz w:val="24"/>
          <w:highlight w:val="none"/>
          <w:lang w:val="en-US" w:eastAsia="zh-CN"/>
        </w:rPr>
        <w:t>、社会</w:t>
      </w:r>
      <w:r>
        <w:rPr>
          <w:rFonts w:hint="eastAsia"/>
          <w:color w:val="auto"/>
          <w:sz w:val="24"/>
          <w:highlight w:val="none"/>
        </w:rPr>
        <w:t>可持续</w:t>
      </w:r>
      <w:r>
        <w:rPr>
          <w:rFonts w:hint="eastAsia"/>
          <w:color w:val="auto"/>
          <w:sz w:val="24"/>
          <w:highlight w:val="none"/>
          <w:lang w:val="en-US" w:eastAsia="zh-CN"/>
        </w:rPr>
        <w:t>和治理</w:t>
      </w:r>
      <w:r>
        <w:rPr>
          <w:rFonts w:hint="eastAsia"/>
          <w:color w:val="auto"/>
          <w:sz w:val="24"/>
          <w:highlight w:val="none"/>
        </w:rPr>
        <w:t>可持续等方面影响</w:t>
      </w:r>
      <w:r>
        <w:rPr>
          <w:rFonts w:hint="eastAsia"/>
          <w:color w:val="auto"/>
          <w:sz w:val="24"/>
          <w:highlight w:val="none"/>
          <w:lang w:val="en-US" w:eastAsia="zh-CN"/>
        </w:rPr>
        <w:t>水平及效果进行评判的活动</w:t>
      </w:r>
      <w:r>
        <w:rPr>
          <w:rFonts w:hint="eastAsia"/>
          <w:color w:val="auto"/>
          <w:sz w:val="24"/>
          <w:highlight w:val="none"/>
        </w:rPr>
        <w:t>。</w:t>
      </w:r>
    </w:p>
    <w:p w14:paraId="11F8BD39">
      <w:pPr>
        <w:spacing w:after="156" w:afterLines="50" w:line="360" w:lineRule="auto"/>
        <w:jc w:val="left"/>
        <w:outlineLvl w:val="9"/>
        <w:rPr>
          <w:color w:val="auto"/>
          <w:sz w:val="24"/>
        </w:rPr>
      </w:pPr>
      <w:bookmarkStart w:id="31" w:name="_Toc9416"/>
      <w:bookmarkStart w:id="32" w:name="_Toc26541"/>
      <w:bookmarkStart w:id="33" w:name="_Toc19521"/>
      <w:bookmarkStart w:id="34" w:name="_Toc17115"/>
      <w:bookmarkStart w:id="35" w:name="_Toc21339"/>
      <w:bookmarkStart w:id="36" w:name="_Toc18189"/>
      <w:bookmarkStart w:id="37" w:name="_Toc7912"/>
      <w:r>
        <w:rPr>
          <w:rFonts w:hint="eastAsia"/>
          <w:color w:val="auto"/>
          <w:sz w:val="24"/>
        </w:rPr>
        <w:t>2.0.</w:t>
      </w:r>
      <w:r>
        <w:rPr>
          <w:rFonts w:hint="eastAsia"/>
          <w:color w:val="auto"/>
          <w:sz w:val="24"/>
          <w:lang w:val="en-US" w:eastAsia="zh-CN"/>
        </w:rPr>
        <w:t>4</w:t>
      </w:r>
      <w:r>
        <w:rPr>
          <w:rFonts w:hint="eastAsia"/>
          <w:color w:val="auto"/>
          <w:sz w:val="24"/>
        </w:rPr>
        <w:t xml:space="preserve"> 项目全周期</w:t>
      </w:r>
      <w:bookmarkEnd w:id="31"/>
      <w:bookmarkEnd w:id="32"/>
      <w:r>
        <w:rPr>
          <w:rFonts w:hint="eastAsia" w:ascii="Times New Roman" w:hAnsi="Times New Roman" w:eastAsia="Times New Roman" w:cs="Times New Roman"/>
          <w:snapToGrid w:val="0"/>
          <w:color w:val="auto"/>
          <w:spacing w:val="-1"/>
          <w:kern w:val="0"/>
          <w:sz w:val="18"/>
          <w:szCs w:val="18"/>
        </w:rPr>
        <w:t xml:space="preserve">The </w:t>
      </w:r>
      <w:r>
        <w:rPr>
          <w:rFonts w:hint="eastAsia" w:ascii="Times New Roman" w:hAnsi="Times New Roman" w:eastAsia="宋体" w:cs="Times New Roman"/>
          <w:snapToGrid w:val="0"/>
          <w:color w:val="auto"/>
          <w:spacing w:val="-1"/>
          <w:kern w:val="0"/>
          <w:sz w:val="18"/>
          <w:szCs w:val="18"/>
          <w:lang w:val="en-US" w:eastAsia="zh-CN"/>
        </w:rPr>
        <w:t>complete period</w:t>
      </w:r>
      <w:r>
        <w:rPr>
          <w:rFonts w:hint="eastAsia" w:ascii="Times New Roman" w:hAnsi="Times New Roman" w:eastAsia="Times New Roman" w:cs="Times New Roman"/>
          <w:snapToGrid w:val="0"/>
          <w:color w:val="auto"/>
          <w:spacing w:val="-1"/>
          <w:kern w:val="0"/>
          <w:sz w:val="18"/>
          <w:szCs w:val="18"/>
        </w:rPr>
        <w:t xml:space="preserve"> of the new urban infrastructure projects</w:t>
      </w:r>
      <w:bookmarkEnd w:id="33"/>
      <w:bookmarkEnd w:id="34"/>
      <w:bookmarkEnd w:id="35"/>
      <w:bookmarkEnd w:id="36"/>
      <w:bookmarkEnd w:id="37"/>
    </w:p>
    <w:p w14:paraId="21592E7E">
      <w:pPr>
        <w:spacing w:after="156" w:afterLines="50" w:line="360" w:lineRule="auto"/>
        <w:ind w:firstLine="480" w:firstLineChars="200"/>
        <w:rPr>
          <w:rFonts w:hint="eastAsia"/>
          <w:color w:val="auto"/>
          <w:sz w:val="24"/>
        </w:rPr>
      </w:pPr>
      <w:r>
        <w:rPr>
          <w:rFonts w:hint="eastAsia"/>
          <w:color w:val="auto"/>
          <w:sz w:val="24"/>
        </w:rPr>
        <w:t>项目的</w:t>
      </w:r>
      <w:r>
        <w:rPr>
          <w:rFonts w:hint="eastAsia"/>
          <w:color w:val="auto"/>
          <w:sz w:val="24"/>
          <w:lang w:val="en-US" w:eastAsia="zh-CN"/>
        </w:rPr>
        <w:t>规划</w:t>
      </w:r>
      <w:r>
        <w:rPr>
          <w:rFonts w:hint="eastAsia"/>
          <w:color w:val="auto"/>
          <w:sz w:val="24"/>
        </w:rPr>
        <w:t>设计、施工</w:t>
      </w:r>
      <w:r>
        <w:rPr>
          <w:rFonts w:hint="eastAsia"/>
          <w:color w:val="auto"/>
          <w:sz w:val="24"/>
          <w:lang w:val="en-US" w:eastAsia="zh-CN"/>
        </w:rPr>
        <w:t>建造</w:t>
      </w:r>
      <w:r>
        <w:rPr>
          <w:rFonts w:hint="eastAsia"/>
          <w:color w:val="auto"/>
          <w:sz w:val="24"/>
        </w:rPr>
        <w:t>、运行全过程。</w:t>
      </w:r>
    </w:p>
    <w:p w14:paraId="09BD6A75">
      <w:pPr>
        <w:spacing w:after="156" w:afterLines="50" w:line="360" w:lineRule="auto"/>
        <w:rPr>
          <w:rFonts w:hint="eastAsia"/>
          <w:color w:val="auto"/>
          <w:sz w:val="24"/>
          <w:highlight w:val="none"/>
        </w:rPr>
      </w:pPr>
      <w:r>
        <w:rPr>
          <w:rFonts w:hint="eastAsia"/>
          <w:color w:val="auto"/>
          <w:sz w:val="24"/>
          <w:highlight w:val="none"/>
        </w:rPr>
        <w:t>2.0.</w:t>
      </w:r>
      <w:r>
        <w:rPr>
          <w:rFonts w:hint="eastAsia"/>
          <w:color w:val="auto"/>
          <w:sz w:val="24"/>
          <w:highlight w:val="none"/>
          <w:lang w:val="en-US" w:eastAsia="zh-CN"/>
        </w:rPr>
        <w:t>5</w:t>
      </w:r>
      <w:r>
        <w:rPr>
          <w:rFonts w:hint="eastAsia"/>
          <w:color w:val="auto"/>
          <w:sz w:val="24"/>
          <w:highlight w:val="none"/>
        </w:rPr>
        <w:t xml:space="preserve"> 控制项</w:t>
      </w:r>
      <w:r>
        <w:rPr>
          <w:rFonts w:hint="eastAsia"/>
          <w:color w:val="auto"/>
          <w:sz w:val="24"/>
          <w:highlight w:val="none"/>
          <w:lang w:val="en-US" w:eastAsia="zh-CN"/>
        </w:rPr>
        <w:t xml:space="preserve"> </w:t>
      </w:r>
      <w:r>
        <w:rPr>
          <w:rFonts w:hint="eastAsia"/>
          <w:color w:val="auto"/>
          <w:sz w:val="18"/>
          <w:szCs w:val="18"/>
          <w:highlight w:val="none"/>
          <w:lang w:val="en-US" w:eastAsia="zh-CN"/>
        </w:rPr>
        <w:t>Controlled</w:t>
      </w:r>
      <w:r>
        <w:rPr>
          <w:rFonts w:hint="eastAsia"/>
          <w:color w:val="auto"/>
          <w:sz w:val="18"/>
          <w:szCs w:val="18"/>
          <w:highlight w:val="none"/>
        </w:rPr>
        <w:t xml:space="preserve"> items</w:t>
      </w:r>
    </w:p>
    <w:p w14:paraId="25891444">
      <w:pPr>
        <w:spacing w:after="156" w:afterLines="50" w:line="360" w:lineRule="auto"/>
        <w:ind w:firstLine="480" w:firstLineChars="200"/>
        <w:rPr>
          <w:rFonts w:hint="eastAsia"/>
          <w:color w:val="auto"/>
          <w:sz w:val="24"/>
          <w:highlight w:val="none"/>
        </w:rPr>
      </w:pPr>
      <w:r>
        <w:rPr>
          <w:rFonts w:hint="eastAsia"/>
          <w:color w:val="auto"/>
          <w:sz w:val="24"/>
          <w:highlight w:val="none"/>
          <w:lang w:val="en-US" w:eastAsia="zh-CN"/>
        </w:rPr>
        <w:t>在城市新型基础设施项目可持续性评价</w:t>
      </w:r>
      <w:r>
        <w:rPr>
          <w:rFonts w:hint="eastAsia"/>
          <w:color w:val="auto"/>
          <w:sz w:val="24"/>
          <w:highlight w:val="none"/>
        </w:rPr>
        <w:t>过程中必须达到要求的条款。</w:t>
      </w:r>
    </w:p>
    <w:p w14:paraId="332FA7EE">
      <w:pPr>
        <w:spacing w:after="156" w:afterLines="50" w:line="360" w:lineRule="auto"/>
        <w:rPr>
          <w:rFonts w:hint="eastAsia" w:eastAsia="宋体"/>
          <w:color w:val="auto"/>
          <w:sz w:val="24"/>
          <w:highlight w:val="none"/>
          <w:lang w:val="en-US" w:eastAsia="zh-CN"/>
        </w:rPr>
      </w:pPr>
      <w:r>
        <w:rPr>
          <w:rFonts w:hint="eastAsia"/>
          <w:color w:val="auto"/>
          <w:sz w:val="24"/>
          <w:highlight w:val="none"/>
        </w:rPr>
        <w:t>2.0.6 评分项</w:t>
      </w:r>
      <w:r>
        <w:rPr>
          <w:rFonts w:hint="eastAsia"/>
          <w:color w:val="auto"/>
          <w:sz w:val="24"/>
          <w:highlight w:val="none"/>
          <w:lang w:val="en-US" w:eastAsia="zh-CN"/>
        </w:rPr>
        <w:t xml:space="preserve"> </w:t>
      </w:r>
      <w:r>
        <w:rPr>
          <w:rFonts w:hint="eastAsia"/>
          <w:color w:val="auto"/>
          <w:sz w:val="18"/>
          <w:szCs w:val="18"/>
          <w:highlight w:val="none"/>
        </w:rPr>
        <w:t>Grading</w:t>
      </w:r>
      <w:r>
        <w:rPr>
          <w:rFonts w:hint="eastAsia"/>
          <w:color w:val="auto"/>
          <w:sz w:val="18"/>
          <w:szCs w:val="18"/>
          <w:highlight w:val="none"/>
          <w:lang w:val="en-US" w:eastAsia="zh-CN"/>
        </w:rPr>
        <w:t xml:space="preserve"> </w:t>
      </w:r>
      <w:r>
        <w:rPr>
          <w:rFonts w:hint="eastAsia"/>
          <w:color w:val="auto"/>
          <w:sz w:val="18"/>
          <w:szCs w:val="18"/>
          <w:highlight w:val="none"/>
        </w:rPr>
        <w:t>items</w:t>
      </w:r>
    </w:p>
    <w:p w14:paraId="581464E4">
      <w:pPr>
        <w:spacing w:after="156" w:afterLines="50" w:line="360" w:lineRule="auto"/>
        <w:ind w:firstLine="480" w:firstLineChars="200"/>
        <w:rPr>
          <w:rFonts w:hint="eastAsia"/>
          <w:color w:val="auto"/>
          <w:sz w:val="24"/>
          <w:highlight w:val="none"/>
        </w:rPr>
      </w:pPr>
      <w:r>
        <w:rPr>
          <w:rFonts w:hint="eastAsia"/>
          <w:color w:val="auto"/>
          <w:sz w:val="24"/>
          <w:highlight w:val="none"/>
          <w:lang w:val="en-US" w:eastAsia="zh-CN"/>
        </w:rPr>
        <w:t>在城市新型基础设施项目可持续性评价</w:t>
      </w:r>
      <w:r>
        <w:rPr>
          <w:rFonts w:hint="eastAsia"/>
          <w:color w:val="auto"/>
          <w:sz w:val="24"/>
          <w:highlight w:val="none"/>
        </w:rPr>
        <w:t>过程中</w:t>
      </w:r>
      <w:r>
        <w:rPr>
          <w:rFonts w:hint="eastAsia"/>
          <w:color w:val="auto"/>
          <w:sz w:val="24"/>
          <w:highlight w:val="none"/>
          <w:lang w:val="en-US" w:eastAsia="zh-CN"/>
        </w:rPr>
        <w:t>提升项目绩效的条款</w:t>
      </w:r>
      <w:r>
        <w:rPr>
          <w:rFonts w:hint="eastAsia"/>
          <w:color w:val="auto"/>
          <w:sz w:val="24"/>
          <w:highlight w:val="none"/>
          <w:lang w:eastAsia="zh-CN"/>
        </w:rPr>
        <w:t>，</w:t>
      </w:r>
      <w:r>
        <w:rPr>
          <w:rFonts w:hint="eastAsia"/>
          <w:color w:val="auto"/>
          <w:sz w:val="24"/>
          <w:highlight w:val="none"/>
          <w:lang w:val="en-US" w:eastAsia="zh-CN"/>
        </w:rPr>
        <w:t>满足即可得到相应分值</w:t>
      </w:r>
      <w:r>
        <w:rPr>
          <w:rFonts w:hint="eastAsia"/>
          <w:color w:val="auto"/>
          <w:sz w:val="24"/>
          <w:highlight w:val="none"/>
        </w:rPr>
        <w:t>。</w:t>
      </w:r>
    </w:p>
    <w:p w14:paraId="09E64E4A">
      <w:pPr>
        <w:spacing w:after="156" w:afterLines="50" w:line="360" w:lineRule="auto"/>
        <w:ind w:firstLine="0" w:firstLineChars="0"/>
        <w:rPr>
          <w:rFonts w:hint="default"/>
          <w:color w:val="auto"/>
          <w:sz w:val="24"/>
          <w:highlight w:val="none"/>
          <w:lang w:val="en-US" w:eastAsia="zh-CN"/>
        </w:rPr>
      </w:pPr>
      <w:r>
        <w:rPr>
          <w:rFonts w:hint="eastAsia"/>
          <w:color w:val="auto"/>
          <w:sz w:val="24"/>
          <w:highlight w:val="none"/>
        </w:rPr>
        <w:t>2.0.</w:t>
      </w:r>
      <w:r>
        <w:rPr>
          <w:rFonts w:hint="eastAsia"/>
          <w:color w:val="auto"/>
          <w:sz w:val="24"/>
          <w:highlight w:val="none"/>
          <w:lang w:val="en-US" w:eastAsia="zh-CN"/>
        </w:rPr>
        <w:t>7</w:t>
      </w:r>
      <w:r>
        <w:rPr>
          <w:rFonts w:hint="eastAsia"/>
          <w:color w:val="auto"/>
          <w:sz w:val="24"/>
          <w:highlight w:val="none"/>
        </w:rPr>
        <w:t xml:space="preserve"> </w:t>
      </w:r>
      <w:r>
        <w:rPr>
          <w:rFonts w:hint="eastAsia"/>
          <w:color w:val="auto"/>
          <w:sz w:val="24"/>
          <w:highlight w:val="none"/>
          <w:lang w:val="en-US" w:eastAsia="zh-CN"/>
        </w:rPr>
        <w:t xml:space="preserve">专项评价 </w:t>
      </w:r>
      <w:r>
        <w:rPr>
          <w:rFonts w:hint="eastAsia"/>
          <w:color w:val="auto"/>
          <w:sz w:val="18"/>
          <w:szCs w:val="18"/>
          <w:highlight w:val="none"/>
          <w:lang w:val="en-US" w:eastAsia="zh-CN"/>
        </w:rPr>
        <w:t>Special evaluation</w:t>
      </w:r>
    </w:p>
    <w:p w14:paraId="0D6E7C2F">
      <w:pPr>
        <w:spacing w:after="156" w:afterLines="50" w:line="360" w:lineRule="auto"/>
        <w:ind w:firstLine="480" w:firstLineChars="200"/>
        <w:rPr>
          <w:rFonts w:hint="default"/>
          <w:color w:val="auto"/>
          <w:sz w:val="24"/>
          <w:highlight w:val="none"/>
          <w:lang w:val="en-US" w:eastAsia="zh-CN"/>
        </w:rPr>
      </w:pPr>
      <w:r>
        <w:rPr>
          <w:rFonts w:hint="eastAsia"/>
          <w:color w:val="auto"/>
          <w:sz w:val="24"/>
          <w:highlight w:val="none"/>
          <w:lang w:val="en-US" w:eastAsia="zh-CN"/>
        </w:rPr>
        <w:t>按照本标准附录B专项基础设施类别进行的评价。</w:t>
      </w:r>
    </w:p>
    <w:p w14:paraId="3D257326">
      <w:pPr>
        <w:spacing w:after="156" w:afterLines="50" w:line="360" w:lineRule="auto"/>
        <w:outlineLvl w:val="9"/>
        <w:rPr>
          <w:color w:val="auto"/>
          <w:sz w:val="24"/>
        </w:rPr>
      </w:pPr>
      <w:bookmarkStart w:id="38" w:name="_Toc9093"/>
      <w:bookmarkStart w:id="39" w:name="_Toc11189"/>
      <w:bookmarkStart w:id="40" w:name="_Toc25018"/>
      <w:bookmarkStart w:id="41" w:name="_Toc27650"/>
      <w:bookmarkStart w:id="42" w:name="_Toc7908"/>
      <w:bookmarkStart w:id="43" w:name="_Toc6885"/>
      <w:bookmarkStart w:id="44" w:name="_Toc11160"/>
      <w:r>
        <w:rPr>
          <w:rFonts w:hint="eastAsia"/>
          <w:color w:val="auto"/>
          <w:sz w:val="24"/>
        </w:rPr>
        <w:t>2.0.</w:t>
      </w:r>
      <w:r>
        <w:rPr>
          <w:rFonts w:hint="eastAsia"/>
          <w:color w:val="auto"/>
          <w:sz w:val="24"/>
          <w:lang w:val="en-US" w:eastAsia="zh-CN"/>
        </w:rPr>
        <w:t>8</w:t>
      </w:r>
      <w:r>
        <w:rPr>
          <w:rFonts w:hint="eastAsia"/>
          <w:color w:val="auto"/>
          <w:sz w:val="24"/>
        </w:rPr>
        <w:t xml:space="preserve"> 环境可持续</w:t>
      </w:r>
      <w:bookmarkEnd w:id="38"/>
      <w:bookmarkEnd w:id="39"/>
      <w:r>
        <w:rPr>
          <w:rFonts w:hint="eastAsia"/>
          <w:color w:val="auto"/>
          <w:sz w:val="24"/>
        </w:rPr>
        <w:t xml:space="preserve"> </w:t>
      </w:r>
      <w:r>
        <w:rPr>
          <w:rFonts w:hint="eastAsia" w:ascii="Times New Roman" w:hAnsi="Times New Roman" w:eastAsia="Times New Roman" w:cs="Times New Roman"/>
          <w:snapToGrid w:val="0"/>
          <w:color w:val="auto"/>
          <w:spacing w:val="-1"/>
          <w:kern w:val="0"/>
          <w:sz w:val="18"/>
          <w:szCs w:val="18"/>
        </w:rPr>
        <w:t>Environmental sustainability</w:t>
      </w:r>
      <w:bookmarkEnd w:id="40"/>
      <w:bookmarkEnd w:id="41"/>
      <w:bookmarkEnd w:id="42"/>
      <w:bookmarkEnd w:id="43"/>
      <w:bookmarkEnd w:id="44"/>
    </w:p>
    <w:p w14:paraId="02F1A0A2">
      <w:pPr>
        <w:spacing w:after="156" w:afterLines="50" w:line="360" w:lineRule="auto"/>
        <w:ind w:firstLine="480" w:firstLineChars="200"/>
        <w:rPr>
          <w:color w:val="auto"/>
          <w:sz w:val="24"/>
        </w:rPr>
      </w:pPr>
      <w:r>
        <w:rPr>
          <w:rFonts w:hint="eastAsia"/>
          <w:color w:val="auto"/>
          <w:sz w:val="24"/>
        </w:rPr>
        <w:t>减</w:t>
      </w:r>
      <w:r>
        <w:rPr>
          <w:rFonts w:hint="eastAsia"/>
          <w:color w:val="auto"/>
          <w:sz w:val="24"/>
          <w:highlight w:val="none"/>
        </w:rPr>
        <w:t>少</w:t>
      </w:r>
      <w:r>
        <w:rPr>
          <w:rFonts w:hint="eastAsia"/>
          <w:color w:val="auto"/>
          <w:sz w:val="24"/>
          <w:highlight w:val="none"/>
          <w:lang w:val="en-US" w:eastAsia="zh-CN"/>
        </w:rPr>
        <w:t>碳</w:t>
      </w:r>
      <w:r>
        <w:rPr>
          <w:rFonts w:hint="eastAsia"/>
          <w:color w:val="auto"/>
          <w:sz w:val="24"/>
          <w:highlight w:val="none"/>
        </w:rPr>
        <w:t>排放</w:t>
      </w:r>
      <w:r>
        <w:rPr>
          <w:rFonts w:hint="eastAsia"/>
          <w:color w:val="auto"/>
          <w:sz w:val="24"/>
        </w:rPr>
        <w:t>和水、大气、土壤</w:t>
      </w:r>
      <w:r>
        <w:rPr>
          <w:rFonts w:hint="eastAsia"/>
          <w:color w:val="auto"/>
          <w:sz w:val="24"/>
          <w:lang w:eastAsia="zh-CN"/>
        </w:rPr>
        <w:t>、</w:t>
      </w:r>
      <w:r>
        <w:rPr>
          <w:rFonts w:hint="eastAsia"/>
          <w:color w:val="auto"/>
          <w:sz w:val="24"/>
          <w:lang w:val="en-US" w:eastAsia="zh-CN"/>
        </w:rPr>
        <w:t>光</w:t>
      </w:r>
      <w:r>
        <w:rPr>
          <w:rFonts w:hint="eastAsia"/>
          <w:color w:val="auto"/>
          <w:sz w:val="24"/>
        </w:rPr>
        <w:t>等的环境污染及噪声、固体废物</w:t>
      </w:r>
      <w:r>
        <w:rPr>
          <w:rFonts w:hint="eastAsia"/>
          <w:color w:val="auto"/>
          <w:sz w:val="24"/>
          <w:lang w:val="en-US" w:eastAsia="zh-CN"/>
        </w:rPr>
        <w:t>等</w:t>
      </w:r>
      <w:r>
        <w:rPr>
          <w:rFonts w:hint="eastAsia"/>
          <w:color w:val="auto"/>
          <w:sz w:val="24"/>
        </w:rPr>
        <w:t>污染物排放，加强水土保持、物种保护、生态自然保护。</w:t>
      </w:r>
    </w:p>
    <w:p w14:paraId="76584B9A">
      <w:pPr>
        <w:spacing w:after="156" w:afterLines="50" w:line="360" w:lineRule="auto"/>
        <w:outlineLvl w:val="9"/>
        <w:rPr>
          <w:color w:val="auto"/>
          <w:sz w:val="24"/>
        </w:rPr>
      </w:pPr>
      <w:bookmarkStart w:id="45" w:name="_Toc214"/>
      <w:bookmarkStart w:id="46" w:name="_Toc25426"/>
      <w:bookmarkStart w:id="47" w:name="_Toc25811"/>
      <w:bookmarkStart w:id="48" w:name="_Toc12326"/>
      <w:bookmarkStart w:id="49" w:name="_Toc15582"/>
      <w:bookmarkStart w:id="50" w:name="_Toc4860"/>
      <w:bookmarkStart w:id="51" w:name="_Toc1398"/>
      <w:r>
        <w:rPr>
          <w:rFonts w:hint="eastAsia"/>
          <w:color w:val="auto"/>
          <w:sz w:val="24"/>
        </w:rPr>
        <w:t>2.0.</w:t>
      </w:r>
      <w:r>
        <w:rPr>
          <w:rFonts w:hint="eastAsia"/>
          <w:color w:val="auto"/>
          <w:sz w:val="24"/>
          <w:lang w:val="en-US" w:eastAsia="zh-CN"/>
        </w:rPr>
        <w:t>9</w:t>
      </w:r>
      <w:r>
        <w:rPr>
          <w:rFonts w:hint="eastAsia"/>
          <w:color w:val="auto"/>
          <w:sz w:val="24"/>
        </w:rPr>
        <w:t xml:space="preserve"> 资源可持续</w:t>
      </w:r>
      <w:bookmarkEnd w:id="45"/>
      <w:bookmarkEnd w:id="46"/>
      <w:r>
        <w:rPr>
          <w:rFonts w:hint="eastAsia"/>
          <w:color w:val="auto"/>
          <w:sz w:val="24"/>
        </w:rPr>
        <w:t xml:space="preserve"> </w:t>
      </w:r>
      <w:r>
        <w:rPr>
          <w:rFonts w:hint="eastAsia" w:ascii="Times New Roman" w:hAnsi="Times New Roman" w:eastAsia="Times New Roman" w:cs="Times New Roman"/>
          <w:snapToGrid w:val="0"/>
          <w:color w:val="auto"/>
          <w:spacing w:val="-1"/>
          <w:kern w:val="0"/>
          <w:sz w:val="18"/>
          <w:szCs w:val="18"/>
        </w:rPr>
        <w:t>Resource sustainability</w:t>
      </w:r>
      <w:bookmarkEnd w:id="47"/>
      <w:bookmarkEnd w:id="48"/>
      <w:bookmarkEnd w:id="49"/>
      <w:bookmarkEnd w:id="50"/>
      <w:bookmarkEnd w:id="51"/>
    </w:p>
    <w:p w14:paraId="3E9CAEB6">
      <w:pPr>
        <w:spacing w:after="156" w:afterLines="50" w:line="360" w:lineRule="auto"/>
        <w:ind w:firstLine="480" w:firstLineChars="200"/>
        <w:rPr>
          <w:rFonts w:hint="eastAsia"/>
          <w:color w:val="auto"/>
          <w:sz w:val="24"/>
        </w:rPr>
      </w:pPr>
      <w:r>
        <w:rPr>
          <w:rFonts w:hint="eastAsia"/>
          <w:color w:val="auto"/>
          <w:sz w:val="24"/>
        </w:rPr>
        <w:t>合理</w:t>
      </w:r>
      <w:r>
        <w:rPr>
          <w:rFonts w:hint="eastAsia"/>
          <w:color w:val="auto"/>
          <w:sz w:val="24"/>
          <w:lang w:val="en-US" w:eastAsia="zh-CN"/>
        </w:rPr>
        <w:t>高</w:t>
      </w:r>
      <w:r>
        <w:rPr>
          <w:rFonts w:hint="eastAsia"/>
          <w:color w:val="auto"/>
          <w:sz w:val="24"/>
        </w:rPr>
        <w:t>效利用资源，减少对材料、能源、水</w:t>
      </w:r>
      <w:r>
        <w:rPr>
          <w:rFonts w:hint="eastAsia"/>
          <w:color w:val="auto"/>
          <w:sz w:val="24"/>
          <w:lang w:eastAsia="zh-CN"/>
        </w:rPr>
        <w:t>、</w:t>
      </w:r>
      <w:r>
        <w:rPr>
          <w:rFonts w:hint="eastAsia"/>
          <w:color w:val="auto"/>
          <w:sz w:val="24"/>
          <w:lang w:val="en-US" w:eastAsia="zh-CN"/>
        </w:rPr>
        <w:t>土地</w:t>
      </w:r>
      <w:r>
        <w:rPr>
          <w:rFonts w:hint="eastAsia"/>
          <w:color w:val="auto"/>
          <w:sz w:val="24"/>
        </w:rPr>
        <w:t>等自然资源的消耗；使用可再生、耐</w:t>
      </w:r>
      <w:r>
        <w:rPr>
          <w:rFonts w:hint="eastAsia"/>
          <w:color w:val="auto"/>
          <w:sz w:val="24"/>
          <w:lang w:val="en-US" w:eastAsia="zh-CN"/>
        </w:rPr>
        <w:t>久性好</w:t>
      </w:r>
      <w:r>
        <w:rPr>
          <w:rFonts w:hint="eastAsia"/>
          <w:color w:val="auto"/>
          <w:sz w:val="24"/>
        </w:rPr>
        <w:t>和适应性强的材料；提高资源</w:t>
      </w:r>
      <w:r>
        <w:rPr>
          <w:rFonts w:hint="eastAsia"/>
          <w:color w:val="auto"/>
          <w:sz w:val="24"/>
          <w:lang w:val="en-US" w:eastAsia="zh-CN"/>
        </w:rPr>
        <w:t>利用</w:t>
      </w:r>
      <w:r>
        <w:rPr>
          <w:rFonts w:hint="eastAsia"/>
          <w:color w:val="auto"/>
          <w:sz w:val="24"/>
        </w:rPr>
        <w:t>效率，倡导资源节约型建设、改造和运行方式。</w:t>
      </w:r>
    </w:p>
    <w:p w14:paraId="1392F9BF">
      <w:pPr>
        <w:spacing w:after="156" w:afterLines="50" w:line="360" w:lineRule="auto"/>
        <w:outlineLvl w:val="9"/>
        <w:rPr>
          <w:color w:val="auto"/>
          <w:sz w:val="24"/>
        </w:rPr>
      </w:pPr>
      <w:bookmarkStart w:id="52" w:name="_Toc12424"/>
      <w:bookmarkStart w:id="53" w:name="_Toc11069"/>
      <w:bookmarkStart w:id="54" w:name="_Toc22596"/>
      <w:bookmarkStart w:id="55" w:name="_Toc18003"/>
      <w:bookmarkStart w:id="56" w:name="_Toc23435"/>
      <w:bookmarkStart w:id="57" w:name="_Toc32622"/>
      <w:bookmarkStart w:id="58" w:name="_Toc542"/>
      <w:r>
        <w:rPr>
          <w:rFonts w:hint="eastAsia"/>
          <w:color w:val="auto"/>
          <w:sz w:val="24"/>
        </w:rPr>
        <w:t>2.0.</w:t>
      </w:r>
      <w:r>
        <w:rPr>
          <w:rFonts w:hint="eastAsia"/>
          <w:color w:val="auto"/>
          <w:sz w:val="24"/>
          <w:lang w:val="en-US" w:eastAsia="zh-CN"/>
        </w:rPr>
        <w:t>10</w:t>
      </w:r>
      <w:r>
        <w:rPr>
          <w:rFonts w:hint="eastAsia"/>
          <w:color w:val="auto"/>
          <w:sz w:val="24"/>
        </w:rPr>
        <w:t xml:space="preserve"> 社会可持续</w:t>
      </w:r>
      <w:bookmarkEnd w:id="52"/>
      <w:bookmarkEnd w:id="53"/>
      <w:r>
        <w:rPr>
          <w:rFonts w:hint="eastAsia"/>
          <w:color w:val="auto"/>
          <w:sz w:val="24"/>
        </w:rPr>
        <w:t xml:space="preserve"> </w:t>
      </w:r>
      <w:r>
        <w:rPr>
          <w:rFonts w:hint="eastAsia" w:ascii="Times New Roman" w:hAnsi="Times New Roman" w:eastAsia="Times New Roman" w:cs="Times New Roman"/>
          <w:snapToGrid w:val="0"/>
          <w:color w:val="auto"/>
          <w:spacing w:val="-1"/>
          <w:kern w:val="0"/>
          <w:sz w:val="18"/>
          <w:szCs w:val="18"/>
        </w:rPr>
        <w:t>Social sustainability</w:t>
      </w:r>
      <w:bookmarkEnd w:id="54"/>
      <w:bookmarkEnd w:id="55"/>
      <w:bookmarkEnd w:id="56"/>
      <w:bookmarkEnd w:id="57"/>
      <w:bookmarkEnd w:id="58"/>
    </w:p>
    <w:p w14:paraId="12C8EADE">
      <w:pPr>
        <w:spacing w:after="156" w:afterLines="50" w:line="360" w:lineRule="auto"/>
        <w:ind w:firstLine="480" w:firstLineChars="200"/>
        <w:rPr>
          <w:rFonts w:hint="eastAsia"/>
          <w:color w:val="auto"/>
          <w:sz w:val="24"/>
        </w:rPr>
      </w:pPr>
      <w:r>
        <w:rPr>
          <w:rFonts w:hint="eastAsia"/>
          <w:color w:val="auto"/>
          <w:sz w:val="24"/>
        </w:rPr>
        <w:t>注重利益相关方权益保护，促进社区民众生活质量改善，减少对当前和未来社会的负面影响，加强对</w:t>
      </w:r>
      <w:r>
        <w:rPr>
          <w:rFonts w:hint="eastAsia"/>
          <w:color w:val="auto"/>
          <w:sz w:val="24"/>
          <w:lang w:val="en-US" w:eastAsia="zh-CN"/>
        </w:rPr>
        <w:t>城市风貌、</w:t>
      </w:r>
      <w:r>
        <w:rPr>
          <w:rFonts w:hint="eastAsia"/>
          <w:color w:val="auto"/>
          <w:sz w:val="24"/>
        </w:rPr>
        <w:t>文化遗产及自然景观的保护，建立绿色供应链，</w:t>
      </w:r>
      <w:r>
        <w:rPr>
          <w:rFonts w:hint="eastAsia"/>
          <w:color w:val="auto"/>
          <w:sz w:val="24"/>
          <w:lang w:val="en-US" w:eastAsia="zh-CN"/>
        </w:rPr>
        <w:t>提升</w:t>
      </w:r>
      <w:r>
        <w:rPr>
          <w:rFonts w:hint="eastAsia"/>
          <w:color w:val="auto"/>
          <w:sz w:val="24"/>
        </w:rPr>
        <w:t>质量管理，与利益相关方和谐共存，共同发展。</w:t>
      </w:r>
    </w:p>
    <w:p w14:paraId="6B8B03BA">
      <w:pPr>
        <w:spacing w:after="156" w:afterLines="50" w:line="360" w:lineRule="auto"/>
        <w:outlineLvl w:val="9"/>
        <w:rPr>
          <w:color w:val="auto"/>
          <w:sz w:val="24"/>
        </w:rPr>
      </w:pPr>
      <w:bookmarkStart w:id="59" w:name="_Toc19298"/>
      <w:bookmarkStart w:id="60" w:name="_Toc7152"/>
      <w:bookmarkStart w:id="61" w:name="_Toc26049"/>
      <w:bookmarkStart w:id="62" w:name="_Toc30142"/>
      <w:bookmarkStart w:id="63" w:name="_Toc3019"/>
      <w:bookmarkStart w:id="64" w:name="_Toc13616"/>
      <w:bookmarkStart w:id="65" w:name="_Toc28707"/>
      <w:r>
        <w:rPr>
          <w:rFonts w:hint="eastAsia"/>
          <w:color w:val="auto"/>
          <w:sz w:val="24"/>
        </w:rPr>
        <w:t>2.0.</w:t>
      </w:r>
      <w:r>
        <w:rPr>
          <w:rFonts w:hint="eastAsia"/>
          <w:color w:val="auto"/>
          <w:sz w:val="24"/>
          <w:lang w:val="en-US" w:eastAsia="zh-CN"/>
        </w:rPr>
        <w:t>11</w:t>
      </w:r>
      <w:r>
        <w:rPr>
          <w:rFonts w:hint="eastAsia"/>
          <w:color w:val="auto"/>
          <w:sz w:val="24"/>
        </w:rPr>
        <w:t xml:space="preserve"> 治理可持续</w:t>
      </w:r>
      <w:bookmarkEnd w:id="59"/>
      <w:bookmarkEnd w:id="60"/>
      <w:r>
        <w:rPr>
          <w:rFonts w:hint="eastAsia"/>
          <w:color w:val="auto"/>
          <w:sz w:val="24"/>
        </w:rPr>
        <w:t xml:space="preserve"> </w:t>
      </w:r>
      <w:r>
        <w:rPr>
          <w:rFonts w:hint="eastAsia" w:ascii="Times New Roman" w:hAnsi="Times New Roman" w:eastAsia="Times New Roman" w:cs="Times New Roman"/>
          <w:snapToGrid w:val="0"/>
          <w:color w:val="auto"/>
          <w:spacing w:val="-1"/>
          <w:kern w:val="0"/>
          <w:sz w:val="18"/>
          <w:szCs w:val="18"/>
        </w:rPr>
        <w:t>Governance sustainability</w:t>
      </w:r>
      <w:bookmarkEnd w:id="61"/>
      <w:bookmarkEnd w:id="62"/>
      <w:bookmarkEnd w:id="63"/>
      <w:bookmarkEnd w:id="64"/>
      <w:bookmarkEnd w:id="65"/>
    </w:p>
    <w:p w14:paraId="0021C344">
      <w:pPr>
        <w:spacing w:after="156" w:afterLines="50" w:line="360" w:lineRule="auto"/>
        <w:ind w:firstLine="480" w:firstLineChars="200"/>
        <w:rPr>
          <w:color w:val="auto"/>
          <w:sz w:val="24"/>
          <w:highlight w:val="yellow"/>
        </w:rPr>
      </w:pPr>
      <w:r>
        <w:rPr>
          <w:rFonts w:hint="eastAsia"/>
          <w:color w:val="auto"/>
          <w:sz w:val="24"/>
        </w:rPr>
        <w:t>建立用于规范项目规划设计、</w:t>
      </w:r>
      <w:r>
        <w:rPr>
          <w:rFonts w:hint="eastAsia"/>
          <w:color w:val="auto"/>
          <w:sz w:val="24"/>
          <w:lang w:val="en-US" w:eastAsia="zh-CN"/>
        </w:rPr>
        <w:t>施工建造</w:t>
      </w:r>
      <w:r>
        <w:rPr>
          <w:rFonts w:hint="eastAsia"/>
          <w:color w:val="auto"/>
          <w:sz w:val="24"/>
        </w:rPr>
        <w:t>、运</w:t>
      </w:r>
      <w:r>
        <w:rPr>
          <w:rFonts w:hint="eastAsia"/>
          <w:color w:val="auto"/>
          <w:sz w:val="24"/>
          <w:lang w:val="en-US" w:eastAsia="zh-CN"/>
        </w:rPr>
        <w:t>行</w:t>
      </w:r>
      <w:r>
        <w:rPr>
          <w:rFonts w:hint="eastAsia"/>
          <w:color w:val="auto"/>
          <w:sz w:val="24"/>
        </w:rPr>
        <w:t>的一系列制度、流程等治理规范，</w:t>
      </w:r>
      <w:r>
        <w:rPr>
          <w:rFonts w:hint="eastAsia"/>
          <w:color w:val="auto"/>
          <w:sz w:val="24"/>
          <w:lang w:val="en-US" w:eastAsia="zh-CN"/>
        </w:rPr>
        <w:t>加强创新体系建设，平衡各方利益相关者的需求，确保长期</w:t>
      </w:r>
      <w:r>
        <w:rPr>
          <w:rFonts w:hint="eastAsia"/>
          <w:color w:val="auto"/>
          <w:sz w:val="24"/>
        </w:rPr>
        <w:t>可持续发展</w:t>
      </w:r>
      <w:r>
        <w:rPr>
          <w:rFonts w:hint="eastAsia"/>
          <w:color w:val="auto"/>
          <w:sz w:val="24"/>
          <w:lang w:val="en-US" w:eastAsia="zh-CN"/>
        </w:rPr>
        <w:t>能力的实践</w:t>
      </w:r>
      <w:r>
        <w:rPr>
          <w:rFonts w:hint="eastAsia"/>
          <w:color w:val="auto"/>
          <w:sz w:val="24"/>
        </w:rPr>
        <w:t xml:space="preserve">。   </w:t>
      </w:r>
    </w:p>
    <w:p w14:paraId="1AEC2262">
      <w:pPr>
        <w:spacing w:after="156" w:afterLines="50" w:line="360" w:lineRule="auto"/>
        <w:outlineLvl w:val="9"/>
        <w:rPr>
          <w:color w:val="auto"/>
          <w:sz w:val="24"/>
        </w:rPr>
      </w:pPr>
      <w:bookmarkStart w:id="66" w:name="_Toc14137"/>
      <w:bookmarkStart w:id="67" w:name="_Toc12372"/>
      <w:bookmarkStart w:id="68" w:name="_Toc16493"/>
      <w:bookmarkStart w:id="69" w:name="_Toc11747"/>
      <w:bookmarkStart w:id="70" w:name="_Toc26819"/>
      <w:bookmarkStart w:id="71" w:name="_Toc28337"/>
      <w:bookmarkStart w:id="72" w:name="_Toc17589"/>
      <w:r>
        <w:rPr>
          <w:rFonts w:hint="eastAsia"/>
          <w:color w:val="auto"/>
          <w:sz w:val="24"/>
        </w:rPr>
        <w:t>2.0.</w:t>
      </w:r>
      <w:r>
        <w:rPr>
          <w:rFonts w:hint="eastAsia"/>
          <w:color w:val="auto"/>
          <w:sz w:val="24"/>
          <w:lang w:val="en-US" w:eastAsia="zh-CN"/>
        </w:rPr>
        <w:t>12</w:t>
      </w:r>
      <w:r>
        <w:rPr>
          <w:rFonts w:hint="eastAsia"/>
          <w:color w:val="auto"/>
          <w:sz w:val="24"/>
        </w:rPr>
        <w:t xml:space="preserve"> 利益相关方</w:t>
      </w:r>
      <w:bookmarkEnd w:id="66"/>
      <w:bookmarkEnd w:id="67"/>
      <w:r>
        <w:rPr>
          <w:rFonts w:hint="eastAsia"/>
          <w:color w:val="auto"/>
          <w:sz w:val="24"/>
        </w:rPr>
        <w:t xml:space="preserve"> </w:t>
      </w:r>
      <w:r>
        <w:rPr>
          <w:rFonts w:hint="eastAsia" w:ascii="Times New Roman" w:hAnsi="Times New Roman" w:eastAsia="Times New Roman" w:cs="Times New Roman"/>
          <w:snapToGrid w:val="0"/>
          <w:color w:val="auto"/>
          <w:spacing w:val="-1"/>
          <w:kern w:val="0"/>
          <w:sz w:val="18"/>
          <w:szCs w:val="18"/>
        </w:rPr>
        <w:t>Stakeholder</w:t>
      </w:r>
      <w:bookmarkEnd w:id="68"/>
      <w:bookmarkEnd w:id="69"/>
      <w:bookmarkEnd w:id="70"/>
      <w:bookmarkEnd w:id="71"/>
      <w:bookmarkEnd w:id="72"/>
    </w:p>
    <w:p w14:paraId="41E81DDB">
      <w:pPr>
        <w:spacing w:after="156" w:afterLines="50" w:line="360" w:lineRule="auto"/>
        <w:ind w:firstLine="480" w:firstLineChars="200"/>
        <w:rPr>
          <w:color w:val="auto"/>
          <w:sz w:val="24"/>
        </w:rPr>
      </w:pPr>
      <w:r>
        <w:rPr>
          <w:rFonts w:hint="eastAsia"/>
          <w:color w:val="auto"/>
          <w:sz w:val="24"/>
        </w:rPr>
        <w:t>参与项目或其利益会受到项目执行或完成情况影响的组织和个人，包括投资方、开发商、政府管理部门、供应商、消费者、社团组织、媒体和所在地社区居民等。</w:t>
      </w:r>
    </w:p>
    <w:p w14:paraId="582FBCD7">
      <w:pPr>
        <w:spacing w:after="156" w:afterLines="50" w:line="360" w:lineRule="auto"/>
        <w:outlineLvl w:val="9"/>
        <w:rPr>
          <w:rFonts w:hint="eastAsia" w:eastAsia="宋体"/>
          <w:color w:val="auto"/>
          <w:sz w:val="24"/>
          <w:lang w:eastAsia="zh-CN"/>
        </w:rPr>
      </w:pPr>
      <w:bookmarkStart w:id="73" w:name="_Toc4413"/>
      <w:bookmarkStart w:id="74" w:name="_Toc15662"/>
      <w:bookmarkStart w:id="75" w:name="_Toc5389"/>
      <w:bookmarkStart w:id="76" w:name="_Toc21637"/>
      <w:bookmarkStart w:id="77" w:name="_Toc31976"/>
      <w:bookmarkStart w:id="78" w:name="_Toc5324"/>
      <w:bookmarkStart w:id="79" w:name="_Toc31827"/>
      <w:r>
        <w:rPr>
          <w:rFonts w:hint="eastAsia"/>
          <w:color w:val="auto"/>
          <w:sz w:val="24"/>
        </w:rPr>
        <w:t>2.0.</w:t>
      </w:r>
      <w:r>
        <w:rPr>
          <w:rFonts w:hint="eastAsia"/>
          <w:color w:val="auto"/>
          <w:sz w:val="24"/>
          <w:lang w:val="en-US" w:eastAsia="zh-CN"/>
        </w:rPr>
        <w:t>13</w:t>
      </w:r>
      <w:r>
        <w:rPr>
          <w:rFonts w:hint="eastAsia"/>
          <w:color w:val="auto"/>
          <w:sz w:val="24"/>
        </w:rPr>
        <w:t xml:space="preserve"> 绿色低碳技术</w:t>
      </w:r>
      <w:bookmarkEnd w:id="73"/>
      <w:bookmarkEnd w:id="74"/>
      <w:r>
        <w:rPr>
          <w:rFonts w:hint="eastAsia"/>
          <w:color w:val="auto"/>
          <w:sz w:val="24"/>
        </w:rPr>
        <w:t xml:space="preserve"> </w:t>
      </w:r>
      <w:r>
        <w:rPr>
          <w:rFonts w:hint="eastAsia" w:ascii="Times New Roman" w:hAnsi="Times New Roman" w:eastAsia="Times New Roman" w:cs="Times New Roman"/>
          <w:snapToGrid w:val="0"/>
          <w:color w:val="auto"/>
          <w:spacing w:val="-1"/>
          <w:kern w:val="0"/>
          <w:sz w:val="18"/>
          <w:szCs w:val="18"/>
        </w:rPr>
        <w:t>Green and low-carbon technologie</w:t>
      </w:r>
      <w:bookmarkEnd w:id="75"/>
      <w:r>
        <w:rPr>
          <w:rFonts w:hint="eastAsia" w:ascii="Times New Roman" w:hAnsi="Times New Roman" w:eastAsia="Times New Roman" w:cs="Times New Roman"/>
          <w:snapToGrid w:val="0"/>
          <w:color w:val="auto"/>
          <w:spacing w:val="-1"/>
          <w:kern w:val="0"/>
          <w:sz w:val="18"/>
          <w:szCs w:val="18"/>
          <w:lang w:val="en-US" w:eastAsia="zh-CN"/>
        </w:rPr>
        <w:t>s</w:t>
      </w:r>
      <w:bookmarkEnd w:id="76"/>
      <w:bookmarkEnd w:id="77"/>
      <w:bookmarkEnd w:id="78"/>
      <w:bookmarkEnd w:id="79"/>
    </w:p>
    <w:p w14:paraId="3FD4A9A3">
      <w:pPr>
        <w:spacing w:after="156" w:afterLines="50" w:line="360" w:lineRule="auto"/>
        <w:ind w:firstLine="480" w:firstLineChars="200"/>
        <w:outlineLvl w:val="9"/>
        <w:rPr>
          <w:rFonts w:hint="eastAsia"/>
          <w:color w:val="auto"/>
          <w:sz w:val="24"/>
        </w:rPr>
      </w:pPr>
      <w:r>
        <w:rPr>
          <w:rFonts w:hint="eastAsia"/>
          <w:color w:val="auto"/>
          <w:sz w:val="24"/>
        </w:rPr>
        <w:t>可节约能耗和利用可再生能源、减少污染和温室气体排放、降低</w:t>
      </w:r>
      <w:r>
        <w:rPr>
          <w:rFonts w:hint="eastAsia"/>
          <w:color w:val="auto"/>
          <w:sz w:val="24"/>
          <w:lang w:val="en-US" w:eastAsia="zh-CN"/>
        </w:rPr>
        <w:t>资源</w:t>
      </w:r>
      <w:r>
        <w:rPr>
          <w:rFonts w:hint="eastAsia"/>
          <w:color w:val="auto"/>
          <w:sz w:val="24"/>
        </w:rPr>
        <w:t>消耗和改善</w:t>
      </w:r>
      <w:r>
        <w:rPr>
          <w:rFonts w:hint="eastAsia"/>
          <w:color w:val="auto"/>
          <w:sz w:val="24"/>
          <w:lang w:val="en-US" w:eastAsia="zh-CN"/>
        </w:rPr>
        <w:t>城市</w:t>
      </w:r>
      <w:r>
        <w:rPr>
          <w:rFonts w:hint="eastAsia"/>
          <w:color w:val="auto"/>
          <w:sz w:val="24"/>
        </w:rPr>
        <w:t>生态的技术。</w:t>
      </w:r>
      <w:bookmarkStart w:id="80" w:name="_Toc17023"/>
      <w:bookmarkStart w:id="81" w:name="_Toc26591"/>
      <w:bookmarkStart w:id="82" w:name="_Toc8224"/>
      <w:bookmarkStart w:id="83" w:name="_Toc9453"/>
      <w:bookmarkStart w:id="84" w:name="_Toc10002"/>
    </w:p>
    <w:p w14:paraId="065AD4BF">
      <w:pPr>
        <w:spacing w:after="156" w:afterLines="50" w:line="360" w:lineRule="auto"/>
        <w:outlineLvl w:val="9"/>
        <w:rPr>
          <w:color w:val="auto"/>
          <w:sz w:val="24"/>
        </w:rPr>
      </w:pPr>
      <w:bookmarkStart w:id="85" w:name="_Toc32112"/>
      <w:bookmarkStart w:id="86" w:name="_Toc6360"/>
      <w:r>
        <w:rPr>
          <w:rFonts w:hint="eastAsia"/>
          <w:color w:val="auto"/>
          <w:sz w:val="24"/>
        </w:rPr>
        <w:t>2.0.1</w:t>
      </w:r>
      <w:r>
        <w:rPr>
          <w:rFonts w:hint="eastAsia"/>
          <w:color w:val="auto"/>
          <w:sz w:val="24"/>
          <w:lang w:val="en-US" w:eastAsia="zh-CN"/>
        </w:rPr>
        <w:t>4</w:t>
      </w:r>
      <w:r>
        <w:rPr>
          <w:rFonts w:hint="eastAsia"/>
          <w:color w:val="auto"/>
          <w:sz w:val="24"/>
        </w:rPr>
        <w:t xml:space="preserve"> 项目ESG报告</w:t>
      </w:r>
      <w:bookmarkEnd w:id="80"/>
      <w:bookmarkEnd w:id="81"/>
      <w:r>
        <w:rPr>
          <w:rFonts w:hint="eastAsia"/>
          <w:color w:val="auto"/>
          <w:sz w:val="24"/>
        </w:rPr>
        <w:t xml:space="preserve"> </w:t>
      </w:r>
      <w:r>
        <w:rPr>
          <w:rFonts w:hint="eastAsia" w:ascii="Times New Roman" w:hAnsi="Times New Roman" w:eastAsia="Times New Roman" w:cs="Times New Roman"/>
          <w:snapToGrid w:val="0"/>
          <w:color w:val="auto"/>
          <w:spacing w:val="-1"/>
          <w:kern w:val="0"/>
          <w:sz w:val="18"/>
          <w:szCs w:val="18"/>
        </w:rPr>
        <w:t xml:space="preserve">ESG </w:t>
      </w:r>
      <w:r>
        <w:rPr>
          <w:rFonts w:hint="eastAsia" w:ascii="Times New Roman" w:hAnsi="Times New Roman" w:eastAsia="宋体" w:cs="Times New Roman"/>
          <w:snapToGrid w:val="0"/>
          <w:color w:val="auto"/>
          <w:spacing w:val="-1"/>
          <w:kern w:val="0"/>
          <w:sz w:val="18"/>
          <w:szCs w:val="18"/>
          <w:lang w:val="en-US" w:eastAsia="zh-CN"/>
        </w:rPr>
        <w:t>r</w:t>
      </w:r>
      <w:r>
        <w:rPr>
          <w:rFonts w:hint="eastAsia" w:ascii="Times New Roman" w:hAnsi="Times New Roman" w:eastAsia="Times New Roman" w:cs="Times New Roman"/>
          <w:snapToGrid w:val="0"/>
          <w:color w:val="auto"/>
          <w:spacing w:val="-1"/>
          <w:kern w:val="0"/>
          <w:sz w:val="18"/>
          <w:szCs w:val="18"/>
        </w:rPr>
        <w:t xml:space="preserve">eport of </w:t>
      </w:r>
      <w:r>
        <w:rPr>
          <w:rFonts w:hint="eastAsia" w:ascii="Times New Roman" w:hAnsi="Times New Roman" w:eastAsia="Times New Roman" w:cs="Times New Roman"/>
          <w:snapToGrid w:val="0"/>
          <w:color w:val="auto"/>
          <w:spacing w:val="-1"/>
          <w:kern w:val="0"/>
          <w:sz w:val="18"/>
          <w:szCs w:val="18"/>
          <w:lang w:val="en-US" w:eastAsia="zh-CN"/>
        </w:rPr>
        <w:t>the p</w:t>
      </w:r>
      <w:r>
        <w:rPr>
          <w:rFonts w:hint="eastAsia" w:ascii="Times New Roman" w:hAnsi="Times New Roman" w:eastAsia="Times New Roman" w:cs="Times New Roman"/>
          <w:snapToGrid w:val="0"/>
          <w:color w:val="auto"/>
          <w:spacing w:val="-1"/>
          <w:kern w:val="0"/>
          <w:sz w:val="18"/>
          <w:szCs w:val="18"/>
        </w:rPr>
        <w:t>roject</w:t>
      </w:r>
      <w:bookmarkEnd w:id="82"/>
      <w:bookmarkEnd w:id="83"/>
      <w:bookmarkEnd w:id="84"/>
      <w:bookmarkEnd w:id="85"/>
      <w:bookmarkEnd w:id="86"/>
    </w:p>
    <w:p w14:paraId="44B74CB6">
      <w:pPr>
        <w:spacing w:after="156" w:afterLines="50" w:line="360" w:lineRule="auto"/>
        <w:ind w:firstLine="480" w:firstLineChars="200"/>
        <w:rPr>
          <w:rFonts w:hint="default" w:eastAsia="宋体"/>
          <w:color w:val="auto"/>
          <w:sz w:val="24"/>
          <w:lang w:val="en-US" w:eastAsia="zh-CN"/>
        </w:rPr>
      </w:pPr>
      <w:r>
        <w:rPr>
          <w:rFonts w:hint="eastAsia"/>
          <w:color w:val="auto"/>
          <w:sz w:val="24"/>
          <w:lang w:val="en-US" w:eastAsia="zh-CN"/>
        </w:rPr>
        <w:t>针对项目在</w:t>
      </w:r>
      <w:r>
        <w:rPr>
          <w:rFonts w:hint="eastAsia"/>
          <w:color w:val="auto"/>
          <w:sz w:val="24"/>
        </w:rPr>
        <w:t>环境</w:t>
      </w:r>
      <w:r>
        <w:rPr>
          <w:rFonts w:hint="eastAsia"/>
          <w:color w:val="auto"/>
          <w:sz w:val="24"/>
          <w:lang w:eastAsia="zh-CN"/>
        </w:rPr>
        <w:t>（</w:t>
      </w:r>
      <w:r>
        <w:rPr>
          <w:rFonts w:hint="eastAsia"/>
          <w:color w:val="auto"/>
          <w:sz w:val="24"/>
          <w:lang w:val="en-US" w:eastAsia="zh-CN"/>
        </w:rPr>
        <w:t>包括资源</w:t>
      </w:r>
      <w:r>
        <w:rPr>
          <w:rFonts w:hint="eastAsia"/>
          <w:color w:val="auto"/>
          <w:sz w:val="24"/>
          <w:lang w:eastAsia="zh-CN"/>
        </w:rPr>
        <w:t>）</w:t>
      </w:r>
      <w:r>
        <w:rPr>
          <w:rFonts w:hint="eastAsia"/>
          <w:color w:val="auto"/>
          <w:sz w:val="24"/>
        </w:rPr>
        <w:t>、社会和治理</w:t>
      </w:r>
      <w:r>
        <w:rPr>
          <w:rFonts w:hint="eastAsia"/>
          <w:color w:val="auto"/>
          <w:sz w:val="24"/>
          <w:lang w:val="en-US" w:eastAsia="zh-CN"/>
        </w:rPr>
        <w:t>方面的绩效表现，所进行的信息公开披露。</w:t>
      </w:r>
    </w:p>
    <w:p w14:paraId="5C582B36">
      <w:pPr>
        <w:spacing w:after="156" w:afterLines="50" w:line="360" w:lineRule="auto"/>
        <w:outlineLvl w:val="9"/>
        <w:rPr>
          <w:b/>
          <w:bCs/>
          <w:color w:val="auto"/>
          <w:sz w:val="24"/>
        </w:rPr>
      </w:pPr>
      <w:bookmarkStart w:id="87" w:name="_Toc5377"/>
      <w:bookmarkStart w:id="88" w:name="_Toc22960"/>
      <w:bookmarkStart w:id="89" w:name="_Toc28665"/>
      <w:bookmarkStart w:id="90" w:name="_Toc15952"/>
      <w:bookmarkStart w:id="91" w:name="_Toc21787"/>
      <w:r>
        <w:rPr>
          <w:rFonts w:hint="eastAsia"/>
          <w:color w:val="auto"/>
          <w:sz w:val="24"/>
        </w:rPr>
        <w:t>2.0.1</w:t>
      </w:r>
      <w:r>
        <w:rPr>
          <w:rFonts w:hint="eastAsia"/>
          <w:color w:val="auto"/>
          <w:sz w:val="24"/>
          <w:lang w:val="en-US" w:eastAsia="zh-CN"/>
        </w:rPr>
        <w:t>5</w:t>
      </w:r>
      <w:r>
        <w:rPr>
          <w:rFonts w:hint="eastAsia"/>
          <w:color w:val="auto"/>
          <w:sz w:val="24"/>
        </w:rPr>
        <w:t xml:space="preserve"> 生态价值</w:t>
      </w:r>
      <w:r>
        <w:rPr>
          <w:rFonts w:hint="eastAsia"/>
          <w:b/>
          <w:bCs/>
          <w:color w:val="auto"/>
          <w:sz w:val="24"/>
        </w:rPr>
        <w:t xml:space="preserve"> </w:t>
      </w:r>
      <w:r>
        <w:rPr>
          <w:rFonts w:hint="eastAsia" w:ascii="Times New Roman" w:hAnsi="Times New Roman" w:eastAsia="Times New Roman" w:cs="Times New Roman"/>
          <w:snapToGrid w:val="0"/>
          <w:color w:val="auto"/>
          <w:spacing w:val="-1"/>
          <w:kern w:val="0"/>
          <w:sz w:val="18"/>
          <w:szCs w:val="18"/>
        </w:rPr>
        <w:t>Total ecological value</w:t>
      </w:r>
      <w:bookmarkEnd w:id="87"/>
      <w:bookmarkEnd w:id="88"/>
      <w:bookmarkEnd w:id="89"/>
      <w:bookmarkEnd w:id="90"/>
      <w:bookmarkEnd w:id="91"/>
    </w:p>
    <w:p w14:paraId="247AEC75">
      <w:pPr>
        <w:spacing w:after="156" w:afterLines="50" w:line="360" w:lineRule="auto"/>
        <w:ind w:firstLine="480" w:firstLineChars="200"/>
        <w:rPr>
          <w:rFonts w:hint="eastAsia" w:eastAsia="宋体"/>
          <w:color w:val="auto"/>
          <w:sz w:val="24"/>
          <w:highlight w:val="none"/>
          <w:lang w:eastAsia="zh-CN"/>
        </w:rPr>
      </w:pPr>
      <w:r>
        <w:rPr>
          <w:rFonts w:hint="eastAsia"/>
          <w:color w:val="auto"/>
          <w:sz w:val="24"/>
          <w:highlight w:val="none"/>
          <w:lang w:val="en-US" w:eastAsia="zh-CN"/>
        </w:rPr>
        <w:t>在本标准中指从绿地生态系统和绿色施工建造中所获得的生态惠益。</w:t>
      </w:r>
    </w:p>
    <w:p w14:paraId="226167D7">
      <w:pPr>
        <w:spacing w:after="156" w:afterLines="50" w:line="360" w:lineRule="auto"/>
        <w:rPr>
          <w:rFonts w:hint="default" w:cs="黑体"/>
          <w:i w:val="0"/>
          <w:iCs w:val="0"/>
          <w:caps w:val="0"/>
          <w:color w:val="auto"/>
          <w:spacing w:val="0"/>
          <w:sz w:val="24"/>
          <w:szCs w:val="24"/>
          <w:highlight w:val="none"/>
          <w:shd w:val="clear" w:color="090000" w:fill="auto"/>
          <w:lang w:val="en-US" w:eastAsia="zh-CN"/>
        </w:rPr>
      </w:pPr>
      <w:r>
        <w:rPr>
          <w:rFonts w:hint="eastAsia" w:cs="黑体"/>
          <w:i w:val="0"/>
          <w:iCs w:val="0"/>
          <w:caps w:val="0"/>
          <w:color w:val="auto"/>
          <w:spacing w:val="0"/>
          <w:sz w:val="24"/>
          <w:szCs w:val="24"/>
          <w:highlight w:val="none"/>
          <w:shd w:val="clear" w:color="090000" w:fill="auto"/>
          <w:lang w:val="en-US" w:eastAsia="zh-CN"/>
        </w:rPr>
        <w:t xml:space="preserve">2.0.16 排放强度 </w:t>
      </w:r>
      <w:r>
        <w:rPr>
          <w:rFonts w:hint="eastAsia" w:cs="黑体"/>
          <w:i w:val="0"/>
          <w:iCs w:val="0"/>
          <w:caps w:val="0"/>
          <w:color w:val="auto"/>
          <w:spacing w:val="0"/>
          <w:sz w:val="18"/>
          <w:szCs w:val="18"/>
          <w:highlight w:val="none"/>
          <w:shd w:val="clear" w:color="090000" w:fill="auto"/>
          <w:lang w:val="en-US" w:eastAsia="zh-CN"/>
        </w:rPr>
        <w:t>Emissions intensity</w:t>
      </w:r>
    </w:p>
    <w:p w14:paraId="057911A3">
      <w:pPr>
        <w:spacing w:after="156" w:afterLines="50" w:line="360" w:lineRule="auto"/>
        <w:ind w:firstLine="480" w:firstLineChars="200"/>
        <w:rPr>
          <w:rFonts w:hint="default" w:cs="黑体"/>
          <w:i w:val="0"/>
          <w:iCs w:val="0"/>
          <w:caps w:val="0"/>
          <w:color w:val="auto"/>
          <w:spacing w:val="0"/>
          <w:sz w:val="24"/>
          <w:szCs w:val="24"/>
          <w:highlight w:val="none"/>
          <w:shd w:val="clear" w:color="090000" w:fill="auto"/>
          <w:lang w:val="en-US" w:eastAsia="zh-CN"/>
        </w:rPr>
      </w:pPr>
      <w:r>
        <w:rPr>
          <w:rFonts w:hint="eastAsia" w:ascii="Calibri" w:hAnsi="Calibri" w:eastAsia="宋体" w:cs="黑体"/>
          <w:i w:val="0"/>
          <w:iCs w:val="0"/>
          <w:caps w:val="0"/>
          <w:color w:val="auto"/>
          <w:spacing w:val="0"/>
          <w:sz w:val="24"/>
          <w:szCs w:val="24"/>
          <w:highlight w:val="none"/>
          <w:shd w:val="clear" w:color="090000" w:fill="auto"/>
        </w:rPr>
        <w:t>单位经济产出所消耗的排放量</w:t>
      </w:r>
      <w:r>
        <w:rPr>
          <w:rFonts w:hint="eastAsia" w:cs="黑体"/>
          <w:i w:val="0"/>
          <w:iCs w:val="0"/>
          <w:caps w:val="0"/>
          <w:color w:val="auto"/>
          <w:spacing w:val="0"/>
          <w:sz w:val="24"/>
          <w:szCs w:val="24"/>
          <w:highlight w:val="none"/>
          <w:shd w:val="clear" w:color="090000" w:fill="auto"/>
          <w:lang w:val="en-US" w:eastAsia="zh-CN"/>
        </w:rPr>
        <w:t>。</w:t>
      </w:r>
    </w:p>
    <w:p w14:paraId="35AF97E9">
      <w:pPr>
        <w:spacing w:after="156" w:afterLines="50" w:line="360" w:lineRule="auto"/>
        <w:ind w:firstLine="0" w:firstLineChars="0"/>
        <w:rPr>
          <w:rFonts w:hint="default"/>
          <w:color w:val="auto"/>
          <w:sz w:val="24"/>
          <w:highlight w:val="none"/>
          <w:lang w:val="en-US" w:eastAsia="zh-CN"/>
        </w:rPr>
      </w:pPr>
      <w:r>
        <w:rPr>
          <w:rFonts w:hint="eastAsia"/>
          <w:color w:val="auto"/>
          <w:sz w:val="24"/>
          <w:highlight w:val="none"/>
          <w:lang w:val="en-US" w:eastAsia="zh-CN"/>
        </w:rPr>
        <w:t xml:space="preserve">2.0.17 回收利用率 </w:t>
      </w:r>
      <w:r>
        <w:rPr>
          <w:rFonts w:hint="eastAsia"/>
          <w:color w:val="auto"/>
          <w:sz w:val="18"/>
          <w:szCs w:val="18"/>
          <w:highlight w:val="none"/>
          <w:lang w:val="en-US" w:eastAsia="zh-CN"/>
        </w:rPr>
        <w:t>Recycling rate</w:t>
      </w:r>
    </w:p>
    <w:p w14:paraId="2F3B606A">
      <w:pPr>
        <w:ind w:firstLine="480" w:firstLineChars="200"/>
        <w:rPr>
          <w:rFonts w:hint="eastAsia" w:ascii="Calibri" w:hAnsi="Calibri" w:eastAsia="宋体" w:cs="黑体"/>
          <w:color w:val="auto"/>
          <w:sz w:val="24"/>
          <w:szCs w:val="24"/>
          <w:highlight w:val="none"/>
          <w:lang w:val="en-US" w:eastAsia="zh-CN"/>
        </w:rPr>
      </w:pPr>
      <w:r>
        <w:rPr>
          <w:rFonts w:hint="eastAsia" w:cs="黑体"/>
          <w:color w:val="auto"/>
          <w:sz w:val="24"/>
          <w:szCs w:val="24"/>
          <w:highlight w:val="none"/>
          <w:lang w:val="en-US" w:eastAsia="zh-CN"/>
        </w:rPr>
        <w:t>回收再利用量占全部用量（或产生量）的比率。</w:t>
      </w:r>
      <w:r>
        <w:rPr>
          <w:rFonts w:hint="eastAsia" w:ascii="Calibri" w:hAnsi="Calibri" w:eastAsia="宋体" w:cs="黑体"/>
          <w:color w:val="auto"/>
          <w:sz w:val="24"/>
          <w:szCs w:val="24"/>
          <w:highlight w:val="none"/>
          <w:lang w:val="en-US" w:eastAsia="zh-CN"/>
        </w:rPr>
        <w:br w:type="page"/>
      </w:r>
    </w:p>
    <w:p w14:paraId="6953DB83">
      <w:pPr>
        <w:spacing w:line="360" w:lineRule="auto"/>
        <w:jc w:val="center"/>
        <w:outlineLvl w:val="0"/>
        <w:rPr>
          <w:rFonts w:ascii="宋体" w:hAnsi="宋体" w:eastAsia="宋体" w:cs="宋体"/>
          <w:b/>
          <w:bCs/>
          <w:color w:val="auto"/>
          <w:sz w:val="30"/>
          <w:szCs w:val="30"/>
        </w:rPr>
      </w:pPr>
      <w:bookmarkStart w:id="92" w:name="_Toc9211"/>
      <w:bookmarkStart w:id="93" w:name="_Toc25919"/>
      <w:bookmarkStart w:id="94" w:name="_Toc30241"/>
      <w:bookmarkStart w:id="95" w:name="_Toc29642"/>
      <w:bookmarkStart w:id="96" w:name="_Toc24113"/>
      <w:bookmarkStart w:id="97" w:name="_Toc4293"/>
      <w:bookmarkStart w:id="98" w:name="_Toc23384"/>
      <w:r>
        <w:rPr>
          <w:rFonts w:hint="eastAsia" w:ascii="宋体" w:hAnsi="宋体" w:eastAsia="宋体" w:cs="宋体"/>
          <w:b/>
          <w:bCs/>
          <w:color w:val="auto"/>
          <w:sz w:val="30"/>
          <w:szCs w:val="30"/>
        </w:rPr>
        <w:t>3</w:t>
      </w:r>
      <w:r>
        <w:rPr>
          <w:rFonts w:ascii="宋体" w:hAnsi="宋体" w:eastAsia="宋体" w:cs="宋体"/>
          <w:b/>
          <w:bCs/>
          <w:color w:val="auto"/>
          <w:sz w:val="30"/>
          <w:szCs w:val="30"/>
        </w:rPr>
        <w:t xml:space="preserve"> </w:t>
      </w:r>
      <w:r>
        <w:rPr>
          <w:rFonts w:hint="eastAsia" w:ascii="宋体" w:hAnsi="宋体" w:eastAsia="宋体" w:cs="宋体"/>
          <w:b/>
          <w:bCs/>
          <w:color w:val="auto"/>
          <w:sz w:val="30"/>
          <w:szCs w:val="30"/>
        </w:rPr>
        <w:t>基本规定</w:t>
      </w:r>
      <w:bookmarkEnd w:id="92"/>
      <w:bookmarkEnd w:id="93"/>
      <w:bookmarkEnd w:id="94"/>
      <w:bookmarkEnd w:id="95"/>
      <w:bookmarkEnd w:id="96"/>
      <w:bookmarkEnd w:id="97"/>
      <w:bookmarkEnd w:id="98"/>
    </w:p>
    <w:p w14:paraId="5020A9F1">
      <w:pPr>
        <w:spacing w:line="360" w:lineRule="auto"/>
        <w:jc w:val="center"/>
        <w:outlineLvl w:val="1"/>
        <w:rPr>
          <w:rFonts w:ascii="黑体" w:hAnsi="黑体" w:eastAsia="黑体" w:cs="黑体"/>
          <w:b/>
          <w:bCs/>
          <w:color w:val="auto"/>
          <w:sz w:val="28"/>
          <w:szCs w:val="28"/>
        </w:rPr>
      </w:pPr>
      <w:bookmarkStart w:id="99" w:name="_Toc6949"/>
      <w:bookmarkStart w:id="100" w:name="_Toc16141"/>
      <w:bookmarkStart w:id="101" w:name="_Toc14749"/>
      <w:bookmarkStart w:id="102" w:name="_Toc26074"/>
      <w:bookmarkStart w:id="103" w:name="_Toc23217"/>
      <w:bookmarkStart w:id="104" w:name="_Toc23802"/>
      <w:bookmarkStart w:id="105" w:name="_Toc12538"/>
      <w:r>
        <w:rPr>
          <w:rFonts w:hint="eastAsia" w:ascii="黑体" w:hAnsi="黑体" w:eastAsia="黑体" w:cs="黑体"/>
          <w:b/>
          <w:bCs/>
          <w:color w:val="auto"/>
          <w:sz w:val="28"/>
          <w:szCs w:val="28"/>
        </w:rPr>
        <w:t>3.1 一般规定</w:t>
      </w:r>
      <w:bookmarkEnd w:id="99"/>
      <w:bookmarkEnd w:id="100"/>
      <w:bookmarkEnd w:id="101"/>
      <w:bookmarkEnd w:id="102"/>
      <w:bookmarkEnd w:id="103"/>
      <w:bookmarkEnd w:id="104"/>
      <w:bookmarkEnd w:id="105"/>
    </w:p>
    <w:p w14:paraId="6A674E14">
      <w:pPr>
        <w:widowControl/>
        <w:spacing w:line="360" w:lineRule="auto"/>
        <w:jc w:val="left"/>
        <w:rPr>
          <w:rFonts w:hint="eastAsia"/>
          <w:color w:val="auto"/>
          <w:sz w:val="24"/>
        </w:rPr>
      </w:pPr>
      <w:r>
        <w:rPr>
          <w:rFonts w:hint="eastAsia"/>
          <w:color w:val="auto"/>
          <w:sz w:val="24"/>
        </w:rPr>
        <w:t>3.1.1</w:t>
      </w:r>
      <w:r>
        <w:rPr>
          <w:rFonts w:hint="eastAsia"/>
          <w:color w:val="auto"/>
          <w:sz w:val="24"/>
          <w:lang w:val="en-US" w:eastAsia="zh-CN"/>
        </w:rPr>
        <w:t xml:space="preserve"> </w:t>
      </w:r>
      <w:r>
        <w:rPr>
          <w:rFonts w:hint="eastAsia"/>
          <w:color w:val="auto"/>
          <w:sz w:val="24"/>
        </w:rPr>
        <w:t>企业应结合项目所在地域的气候、环境、资源、社会、经济与文化等特点，以及企业和项目自身情况，制定项目可持续实施计划，明确项目各项可持续控制目标。</w:t>
      </w:r>
    </w:p>
    <w:p w14:paraId="254C2386">
      <w:pPr>
        <w:widowControl/>
        <w:spacing w:line="360" w:lineRule="auto"/>
        <w:jc w:val="left"/>
        <w:rPr>
          <w:rFonts w:hint="eastAsia"/>
          <w:color w:val="auto"/>
          <w:sz w:val="24"/>
        </w:rPr>
      </w:pPr>
      <w:r>
        <w:rPr>
          <w:rFonts w:hint="eastAsia"/>
          <w:color w:val="auto"/>
          <w:sz w:val="24"/>
        </w:rPr>
        <w:t>3.1.2</w:t>
      </w:r>
      <w:r>
        <w:rPr>
          <w:rFonts w:hint="eastAsia"/>
          <w:color w:val="auto"/>
          <w:sz w:val="24"/>
          <w:lang w:val="en-US" w:eastAsia="zh-CN"/>
        </w:rPr>
        <w:t xml:space="preserve"> </w:t>
      </w:r>
      <w:r>
        <w:rPr>
          <w:rFonts w:hint="eastAsia"/>
          <w:color w:val="auto"/>
          <w:sz w:val="24"/>
        </w:rPr>
        <w:t>企业应对</w:t>
      </w:r>
      <w:r>
        <w:rPr>
          <w:rFonts w:hint="eastAsia"/>
          <w:color w:val="auto"/>
          <w:sz w:val="24"/>
          <w:lang w:val="en-US" w:eastAsia="zh-CN"/>
        </w:rPr>
        <w:t>项目</w:t>
      </w:r>
      <w:r>
        <w:rPr>
          <w:rFonts w:hint="eastAsia"/>
          <w:color w:val="auto"/>
          <w:sz w:val="24"/>
        </w:rPr>
        <w:t>所研发和采用技术的绿色低碳效果进行总结和分析，并形成绿色低碳技术分析报告。</w:t>
      </w:r>
    </w:p>
    <w:p w14:paraId="30297519">
      <w:pPr>
        <w:widowControl/>
        <w:spacing w:line="360" w:lineRule="auto"/>
        <w:jc w:val="left"/>
        <w:rPr>
          <w:rFonts w:hint="eastAsia"/>
          <w:color w:val="auto"/>
          <w:sz w:val="24"/>
        </w:rPr>
      </w:pPr>
      <w:r>
        <w:rPr>
          <w:rFonts w:hint="eastAsia"/>
          <w:color w:val="auto"/>
          <w:sz w:val="24"/>
        </w:rPr>
        <w:t>3.1.3 企业应</w:t>
      </w:r>
      <w:r>
        <w:rPr>
          <w:rFonts w:hint="eastAsia"/>
          <w:color w:val="auto"/>
          <w:sz w:val="24"/>
          <w:highlight w:val="none"/>
        </w:rPr>
        <w:t>制定项目全周期及各阶段的碳排放总量控制目标</w:t>
      </w:r>
      <w:r>
        <w:rPr>
          <w:rFonts w:hint="eastAsia"/>
          <w:color w:val="auto"/>
          <w:sz w:val="24"/>
          <w:highlight w:val="none"/>
          <w:lang w:eastAsia="zh-CN"/>
        </w:rPr>
        <w:t>，</w:t>
      </w:r>
      <w:r>
        <w:rPr>
          <w:rFonts w:hint="eastAsia"/>
          <w:color w:val="auto"/>
          <w:sz w:val="24"/>
          <w:highlight w:val="none"/>
        </w:rPr>
        <w:t>并</w:t>
      </w:r>
      <w:r>
        <w:rPr>
          <w:rFonts w:hint="eastAsia"/>
          <w:color w:val="auto"/>
          <w:sz w:val="24"/>
        </w:rPr>
        <w:t>对项目的碳排放进行监测计量、核算、报告、分析，实施碳排放精细化管理。</w:t>
      </w:r>
    </w:p>
    <w:p w14:paraId="1AF36F94">
      <w:pPr>
        <w:widowControl/>
        <w:spacing w:line="360" w:lineRule="auto"/>
        <w:jc w:val="left"/>
        <w:rPr>
          <w:rFonts w:hint="eastAsia"/>
          <w:color w:val="auto"/>
          <w:sz w:val="24"/>
        </w:rPr>
      </w:pPr>
      <w:r>
        <w:rPr>
          <w:rFonts w:hint="eastAsia"/>
          <w:color w:val="auto"/>
          <w:sz w:val="24"/>
        </w:rPr>
        <w:t xml:space="preserve">3.1.4 </w:t>
      </w:r>
      <w:r>
        <w:rPr>
          <w:rFonts w:hint="eastAsia"/>
          <w:color w:val="auto"/>
          <w:sz w:val="24"/>
          <w:lang w:val="en-US" w:eastAsia="zh-CN"/>
        </w:rPr>
        <w:t xml:space="preserve"> </w:t>
      </w:r>
      <w:r>
        <w:rPr>
          <w:rFonts w:hint="eastAsia"/>
          <w:color w:val="auto"/>
          <w:sz w:val="24"/>
        </w:rPr>
        <w:t>项目碳排放核算应包含《IPCC国家温室气体清单指南》</w:t>
      </w:r>
      <w:r>
        <w:rPr>
          <w:rFonts w:hint="eastAsia"/>
          <w:color w:val="auto"/>
          <w:sz w:val="24"/>
          <w:lang w:val="en-US" w:eastAsia="zh-CN"/>
        </w:rPr>
        <w:t>2006</w:t>
      </w:r>
      <w:r>
        <w:rPr>
          <w:rFonts w:hint="eastAsia"/>
          <w:color w:val="auto"/>
          <w:sz w:val="24"/>
        </w:rPr>
        <w:t>中列出的各类温室气体，核算结果应列明温室气体排放量的二氧化碳当量。</w:t>
      </w:r>
    </w:p>
    <w:p w14:paraId="49B208F0">
      <w:pPr>
        <w:widowControl/>
        <w:spacing w:line="360" w:lineRule="auto"/>
        <w:jc w:val="left"/>
        <w:rPr>
          <w:rFonts w:hint="eastAsia"/>
          <w:color w:val="auto"/>
          <w:sz w:val="24"/>
        </w:rPr>
      </w:pPr>
      <w:r>
        <w:rPr>
          <w:rFonts w:hint="eastAsia"/>
          <w:color w:val="auto"/>
          <w:sz w:val="24"/>
        </w:rPr>
        <w:t>3.1.5 企业应在项目</w:t>
      </w:r>
      <w:r>
        <w:rPr>
          <w:rFonts w:hint="eastAsia"/>
          <w:color w:val="auto"/>
          <w:sz w:val="24"/>
          <w:lang w:val="en-US" w:eastAsia="zh-CN"/>
        </w:rPr>
        <w:t>施工建造完成</w:t>
      </w:r>
      <w:r>
        <w:rPr>
          <w:rFonts w:hint="eastAsia"/>
          <w:color w:val="auto"/>
          <w:sz w:val="24"/>
        </w:rPr>
        <w:t>后，</w:t>
      </w:r>
      <w:r>
        <w:rPr>
          <w:rFonts w:hint="eastAsia"/>
          <w:color w:val="auto"/>
          <w:sz w:val="24"/>
          <w:lang w:val="en-US" w:eastAsia="zh-CN"/>
        </w:rPr>
        <w:t>应按本标准</w:t>
      </w:r>
      <w:r>
        <w:rPr>
          <w:rFonts w:hint="eastAsia"/>
          <w:color w:val="auto"/>
          <w:sz w:val="24"/>
        </w:rPr>
        <w:t>附录A</w:t>
      </w:r>
      <w:r>
        <w:rPr>
          <w:rFonts w:hint="eastAsia"/>
          <w:color w:val="auto"/>
          <w:sz w:val="24"/>
          <w:lang w:val="en-US" w:eastAsia="zh-CN"/>
        </w:rPr>
        <w:t>的规定，</w:t>
      </w:r>
      <w:r>
        <w:rPr>
          <w:rFonts w:hint="eastAsia"/>
          <w:color w:val="auto"/>
          <w:sz w:val="24"/>
        </w:rPr>
        <w:t>形成对场界范围</w:t>
      </w:r>
      <w:r>
        <w:rPr>
          <w:rFonts w:hint="eastAsia"/>
          <w:color w:val="auto"/>
          <w:sz w:val="24"/>
          <w:lang w:val="en-US" w:eastAsia="zh-CN"/>
        </w:rPr>
        <w:t>绿地</w:t>
      </w:r>
      <w:r>
        <w:rPr>
          <w:rFonts w:hint="eastAsia"/>
          <w:color w:val="auto"/>
          <w:sz w:val="24"/>
        </w:rPr>
        <w:t>生态系统和绿色施工建造产生的生态价值变化的评估报告。</w:t>
      </w:r>
    </w:p>
    <w:p w14:paraId="487AF9E0">
      <w:pPr>
        <w:widowControl/>
        <w:spacing w:line="360" w:lineRule="auto"/>
        <w:jc w:val="left"/>
        <w:rPr>
          <w:rFonts w:hint="eastAsia"/>
          <w:color w:val="auto"/>
          <w:sz w:val="24"/>
        </w:rPr>
      </w:pPr>
      <w:r>
        <w:rPr>
          <w:rFonts w:hint="eastAsia"/>
          <w:color w:val="auto"/>
          <w:sz w:val="24"/>
        </w:rPr>
        <w:t>3.1.6</w:t>
      </w:r>
      <w:r>
        <w:rPr>
          <w:rFonts w:hint="eastAsia"/>
          <w:color w:val="auto"/>
          <w:sz w:val="24"/>
          <w:lang w:val="en-US" w:eastAsia="zh-CN"/>
        </w:rPr>
        <w:t xml:space="preserve"> </w:t>
      </w:r>
      <w:r>
        <w:rPr>
          <w:rFonts w:hint="eastAsia"/>
          <w:color w:val="auto"/>
          <w:sz w:val="24"/>
        </w:rPr>
        <w:t>企业应结合实际需求，</w:t>
      </w:r>
      <w:r>
        <w:rPr>
          <w:rFonts w:hint="eastAsia"/>
          <w:color w:val="auto"/>
          <w:sz w:val="24"/>
          <w:lang w:val="en-US" w:eastAsia="zh-CN"/>
        </w:rPr>
        <w:t>在项目中</w:t>
      </w:r>
      <w:r>
        <w:rPr>
          <w:rFonts w:hint="eastAsia"/>
          <w:color w:val="auto"/>
          <w:sz w:val="24"/>
        </w:rPr>
        <w:t>有效采用建筑信息模型（BIM）技术、城市信息模型（CIM）技术、物联网、大数据、云计算、移动通信等新一代信息技术以及智能化与人工智能（AI）技术和绿色低碳技术。</w:t>
      </w:r>
    </w:p>
    <w:p w14:paraId="55A61859">
      <w:pPr>
        <w:widowControl/>
        <w:spacing w:line="360" w:lineRule="auto"/>
        <w:jc w:val="left"/>
        <w:rPr>
          <w:rFonts w:hint="eastAsia"/>
          <w:color w:val="auto"/>
          <w:sz w:val="24"/>
        </w:rPr>
      </w:pPr>
      <w:r>
        <w:rPr>
          <w:rFonts w:hint="eastAsia"/>
          <w:color w:val="auto"/>
          <w:sz w:val="24"/>
        </w:rPr>
        <w:t>3.1.7 企业应建立项目的数字化管理平台，实施项目过程数据采集、计量监测和分析，形成数据台账和分析报告。</w:t>
      </w:r>
    </w:p>
    <w:p w14:paraId="53F8B3D5">
      <w:pPr>
        <w:widowControl/>
        <w:spacing w:line="360" w:lineRule="auto"/>
        <w:jc w:val="left"/>
        <w:rPr>
          <w:rFonts w:hint="eastAsia"/>
          <w:color w:val="auto"/>
          <w:sz w:val="24"/>
        </w:rPr>
      </w:pPr>
      <w:r>
        <w:rPr>
          <w:rFonts w:hint="eastAsia"/>
          <w:color w:val="auto"/>
          <w:sz w:val="24"/>
        </w:rPr>
        <w:t>3.1.8</w:t>
      </w:r>
      <w:r>
        <w:rPr>
          <w:rFonts w:hint="eastAsia"/>
          <w:color w:val="auto"/>
          <w:sz w:val="24"/>
          <w:lang w:val="en-US" w:eastAsia="zh-CN"/>
        </w:rPr>
        <w:t xml:space="preserve"> </w:t>
      </w:r>
      <w:r>
        <w:rPr>
          <w:rFonts w:hint="eastAsia"/>
          <w:color w:val="auto"/>
          <w:sz w:val="24"/>
        </w:rPr>
        <w:t>企业应采取有效措施，确保项目数据在采集、传输、加工、存储和使用过程中保密，防范数据泄露，确保数据安全。</w:t>
      </w:r>
    </w:p>
    <w:p w14:paraId="0A992EC0">
      <w:pPr>
        <w:widowControl/>
        <w:spacing w:line="360" w:lineRule="auto"/>
        <w:jc w:val="left"/>
        <w:rPr>
          <w:rFonts w:hint="eastAsia" w:ascii="宋体" w:hAnsi="宋体" w:eastAsia="宋体" w:cs="宋体"/>
          <w:color w:val="auto"/>
          <w:sz w:val="24"/>
          <w:szCs w:val="24"/>
          <w:highlight w:val="none"/>
          <w:lang w:val="en-US" w:eastAsia="zh-CN"/>
        </w:rPr>
      </w:pPr>
      <w:r>
        <w:rPr>
          <w:rFonts w:hint="eastAsia"/>
          <w:color w:val="auto"/>
          <w:sz w:val="24"/>
          <w:highlight w:val="none"/>
          <w:lang w:val="en-US" w:eastAsia="zh-CN"/>
        </w:rPr>
        <w:t>3.1.9 企业应实施</w:t>
      </w:r>
      <w:r>
        <w:rPr>
          <w:rFonts w:ascii="宋体" w:hAnsi="宋体" w:eastAsia="宋体" w:cs="宋体"/>
          <w:color w:val="auto"/>
          <w:sz w:val="24"/>
          <w:szCs w:val="24"/>
          <w:highlight w:val="none"/>
        </w:rPr>
        <w:t>公共健康和安全性风险</w:t>
      </w:r>
      <w:r>
        <w:rPr>
          <w:rFonts w:hint="eastAsia" w:ascii="宋体" w:hAnsi="宋体" w:eastAsia="宋体" w:cs="宋体"/>
          <w:color w:val="auto"/>
          <w:sz w:val="24"/>
          <w:szCs w:val="24"/>
          <w:highlight w:val="none"/>
          <w:lang w:val="en-US" w:eastAsia="zh-CN"/>
        </w:rPr>
        <w:t>管理，项目无安全事故。</w:t>
      </w:r>
    </w:p>
    <w:p w14:paraId="5F1B2EFB">
      <w:pPr>
        <w:spacing w:line="360" w:lineRule="auto"/>
        <w:jc w:val="center"/>
        <w:outlineLvl w:val="1"/>
        <w:rPr>
          <w:rFonts w:hint="default" w:ascii="黑体" w:hAnsi="黑体" w:eastAsia="黑体" w:cs="黑体"/>
          <w:b/>
          <w:bCs/>
          <w:color w:val="auto"/>
          <w:sz w:val="28"/>
          <w:szCs w:val="28"/>
          <w:lang w:val="en-US" w:eastAsia="zh-CN"/>
        </w:rPr>
      </w:pPr>
      <w:bookmarkStart w:id="106" w:name="_Toc9770"/>
      <w:bookmarkStart w:id="107" w:name="_Toc26911"/>
      <w:bookmarkStart w:id="108" w:name="_Toc27503"/>
      <w:bookmarkStart w:id="109" w:name="_Toc30558"/>
      <w:bookmarkStart w:id="110" w:name="_Toc4483"/>
      <w:bookmarkStart w:id="111" w:name="_Toc3567"/>
      <w:bookmarkStart w:id="112" w:name="_Toc21445"/>
      <w:r>
        <w:rPr>
          <w:rFonts w:hint="eastAsia" w:ascii="黑体" w:hAnsi="黑体" w:eastAsia="黑体" w:cs="黑体"/>
          <w:b/>
          <w:bCs/>
          <w:color w:val="auto"/>
          <w:sz w:val="28"/>
          <w:szCs w:val="28"/>
        </w:rPr>
        <w:t xml:space="preserve">3.2 </w:t>
      </w:r>
      <w:bookmarkEnd w:id="106"/>
      <w:bookmarkEnd w:id="107"/>
      <w:r>
        <w:rPr>
          <w:rFonts w:hint="eastAsia" w:ascii="黑体" w:hAnsi="黑体" w:eastAsia="黑体" w:cs="黑体"/>
          <w:b/>
          <w:bCs/>
          <w:color w:val="auto"/>
          <w:sz w:val="28"/>
          <w:szCs w:val="28"/>
          <w:lang w:val="en-US" w:eastAsia="zh-CN"/>
        </w:rPr>
        <w:t>评价与等级划分</w:t>
      </w:r>
      <w:bookmarkEnd w:id="108"/>
      <w:bookmarkEnd w:id="109"/>
      <w:bookmarkEnd w:id="110"/>
      <w:bookmarkEnd w:id="111"/>
      <w:bookmarkEnd w:id="112"/>
    </w:p>
    <w:p w14:paraId="4C90EA5C">
      <w:pPr>
        <w:spacing w:after="156" w:afterLines="50" w:line="360" w:lineRule="auto"/>
        <w:rPr>
          <w:rFonts w:hint="eastAsia"/>
          <w:color w:val="auto"/>
          <w:sz w:val="24"/>
        </w:rPr>
      </w:pPr>
      <w:r>
        <w:rPr>
          <w:rFonts w:hint="eastAsia"/>
          <w:color w:val="auto"/>
          <w:sz w:val="24"/>
        </w:rPr>
        <w:t>3.2.1 对项目的可持续性评价应在</w:t>
      </w:r>
      <w:r>
        <w:rPr>
          <w:rFonts w:hint="eastAsia"/>
          <w:color w:val="auto"/>
          <w:sz w:val="24"/>
          <w:lang w:val="en-US" w:eastAsia="zh-CN"/>
        </w:rPr>
        <w:t>本标准</w:t>
      </w:r>
      <w:r>
        <w:rPr>
          <w:rFonts w:hint="eastAsia"/>
          <w:color w:val="auto"/>
          <w:sz w:val="24"/>
        </w:rPr>
        <w:t>可持续性影响因素分析的基础上，依据项目可持续实施计划文件和相关实施记录</w:t>
      </w:r>
      <w:r>
        <w:rPr>
          <w:rFonts w:hint="eastAsia"/>
          <w:color w:val="auto"/>
          <w:sz w:val="24"/>
          <w:lang w:eastAsia="zh-CN"/>
        </w:rPr>
        <w:t>，</w:t>
      </w:r>
      <w:r>
        <w:rPr>
          <w:rFonts w:hint="eastAsia"/>
          <w:color w:val="auto"/>
          <w:sz w:val="24"/>
          <w:lang w:val="en-US" w:eastAsia="zh-CN"/>
        </w:rPr>
        <w:t>按照本标准附录E评价说明中的评级按规则</w:t>
      </w:r>
      <w:r>
        <w:rPr>
          <w:rFonts w:hint="eastAsia"/>
          <w:color w:val="auto"/>
          <w:sz w:val="24"/>
        </w:rPr>
        <w:t>进行评价</w:t>
      </w:r>
      <w:r>
        <w:rPr>
          <w:rFonts w:hint="eastAsia"/>
          <w:color w:val="auto"/>
          <w:sz w:val="24"/>
          <w:lang w:val="en-US" w:eastAsia="zh-CN"/>
        </w:rPr>
        <w:t>得分</w:t>
      </w:r>
      <w:r>
        <w:rPr>
          <w:rFonts w:hint="eastAsia"/>
          <w:color w:val="auto"/>
          <w:sz w:val="24"/>
        </w:rPr>
        <w:t>。评价方法</w:t>
      </w:r>
      <w:r>
        <w:rPr>
          <w:rFonts w:hint="eastAsia"/>
          <w:color w:val="auto"/>
          <w:sz w:val="24"/>
          <w:lang w:val="en-US" w:eastAsia="zh-CN"/>
        </w:rPr>
        <w:t>应</w:t>
      </w:r>
      <w:r>
        <w:rPr>
          <w:rFonts w:hint="eastAsia"/>
          <w:color w:val="auto"/>
          <w:sz w:val="24"/>
        </w:rPr>
        <w:t>包括资料审查和现场核查。</w:t>
      </w:r>
    </w:p>
    <w:p w14:paraId="3D350C02">
      <w:pPr>
        <w:spacing w:after="156" w:afterLines="50" w:line="360" w:lineRule="auto"/>
        <w:rPr>
          <w:rFonts w:hint="eastAsia"/>
          <w:color w:val="auto"/>
          <w:sz w:val="24"/>
        </w:rPr>
      </w:pPr>
      <w:r>
        <w:rPr>
          <w:rFonts w:hint="eastAsia"/>
          <w:color w:val="auto"/>
          <w:sz w:val="24"/>
        </w:rPr>
        <w:t>3.2.2 项目可持续性评价可分为规划设计阶段评价、施工建造阶段评价、运行阶段评价和全周期评价</w:t>
      </w:r>
      <w:r>
        <w:rPr>
          <w:rFonts w:hint="eastAsia"/>
          <w:color w:val="auto"/>
          <w:sz w:val="24"/>
          <w:lang w:val="en-US" w:eastAsia="zh-CN"/>
        </w:rPr>
        <w:t>四</w:t>
      </w:r>
      <w:r>
        <w:rPr>
          <w:rFonts w:hint="eastAsia"/>
          <w:color w:val="auto"/>
          <w:sz w:val="24"/>
        </w:rPr>
        <w:t>种方式。</w:t>
      </w:r>
    </w:p>
    <w:p w14:paraId="25E23F00">
      <w:pPr>
        <w:spacing w:after="156" w:afterLines="50" w:line="360" w:lineRule="auto"/>
        <w:rPr>
          <w:rFonts w:hint="default" w:eastAsia="宋体"/>
          <w:color w:val="auto"/>
          <w:sz w:val="24"/>
          <w:lang w:val="en-US" w:eastAsia="zh-CN"/>
        </w:rPr>
      </w:pPr>
      <w:r>
        <w:rPr>
          <w:rFonts w:hint="eastAsia"/>
          <w:color w:val="auto"/>
          <w:sz w:val="24"/>
        </w:rPr>
        <w:t>3.2.</w:t>
      </w:r>
      <w:r>
        <w:rPr>
          <w:rFonts w:hint="eastAsia"/>
          <w:color w:val="auto"/>
          <w:sz w:val="24"/>
          <w:lang w:val="en-US" w:eastAsia="zh-CN"/>
        </w:rPr>
        <w:t>3</w:t>
      </w:r>
      <w:r>
        <w:rPr>
          <w:rFonts w:hint="eastAsia"/>
          <w:color w:val="auto"/>
          <w:sz w:val="24"/>
        </w:rPr>
        <w:t xml:space="preserve"> </w:t>
      </w:r>
      <w:r>
        <w:rPr>
          <w:rFonts w:hint="eastAsia"/>
          <w:color w:val="auto"/>
          <w:sz w:val="24"/>
          <w:lang w:val="en-US" w:eastAsia="zh-CN"/>
        </w:rPr>
        <w:t>项目</w:t>
      </w:r>
      <w:r>
        <w:rPr>
          <w:rFonts w:hint="eastAsia"/>
          <w:color w:val="auto"/>
          <w:sz w:val="24"/>
        </w:rPr>
        <w:t>可持续性要素评价按照环境可持续、资源可持续、社会可持续和治理可持续的控制项指标和评分项指标进行评价。</w:t>
      </w:r>
      <w:r>
        <w:rPr>
          <w:rFonts w:hint="eastAsia"/>
          <w:color w:val="auto"/>
          <w:sz w:val="24"/>
          <w:lang w:val="en-US" w:eastAsia="zh-CN"/>
        </w:rPr>
        <w:t>评分模式应采用专家打分，经过专业软件汇总得分。</w:t>
      </w:r>
    </w:p>
    <w:p w14:paraId="1914E3E6">
      <w:pPr>
        <w:spacing w:after="156" w:afterLines="50" w:line="360" w:lineRule="auto"/>
        <w:rPr>
          <w:rFonts w:hint="eastAsia"/>
          <w:color w:val="auto"/>
          <w:sz w:val="24"/>
        </w:rPr>
      </w:pPr>
      <w:r>
        <w:rPr>
          <w:rFonts w:hint="eastAsia"/>
          <w:color w:val="auto"/>
          <w:sz w:val="24"/>
        </w:rPr>
        <w:t>3.2.</w:t>
      </w:r>
      <w:r>
        <w:rPr>
          <w:rFonts w:hint="eastAsia"/>
          <w:color w:val="auto"/>
          <w:sz w:val="24"/>
          <w:lang w:val="en-US" w:eastAsia="zh-CN"/>
        </w:rPr>
        <w:t xml:space="preserve">4 </w:t>
      </w:r>
      <w:r>
        <w:rPr>
          <w:rFonts w:hint="eastAsia"/>
          <w:color w:val="auto"/>
          <w:sz w:val="24"/>
        </w:rPr>
        <w:t>运行阶段评价</w:t>
      </w:r>
      <w:r>
        <w:rPr>
          <w:rFonts w:hint="eastAsia"/>
          <w:color w:val="auto"/>
          <w:sz w:val="24"/>
          <w:lang w:val="en-US" w:eastAsia="zh-CN"/>
        </w:rPr>
        <w:t>应</w:t>
      </w:r>
      <w:r>
        <w:rPr>
          <w:rFonts w:hint="eastAsia"/>
          <w:color w:val="auto"/>
          <w:sz w:val="24"/>
        </w:rPr>
        <w:t>在项目运行一年后，按年度进行评价；施工建造阶段评价应在项目开工前</w:t>
      </w:r>
      <w:r>
        <w:rPr>
          <w:rFonts w:hint="eastAsia"/>
          <w:color w:val="auto"/>
          <w:sz w:val="24"/>
          <w:lang w:val="en-US" w:eastAsia="zh-CN"/>
        </w:rPr>
        <w:t>对整体</w:t>
      </w:r>
      <w:r>
        <w:rPr>
          <w:rFonts w:hint="eastAsia"/>
          <w:color w:val="auto"/>
          <w:sz w:val="24"/>
        </w:rPr>
        <w:t>策划</w:t>
      </w:r>
      <w:r>
        <w:rPr>
          <w:rFonts w:hint="eastAsia"/>
          <w:color w:val="auto"/>
          <w:sz w:val="24"/>
          <w:lang w:val="en-US" w:eastAsia="zh-CN"/>
        </w:rPr>
        <w:t>进行一次评价</w:t>
      </w:r>
      <w:r>
        <w:rPr>
          <w:rFonts w:hint="eastAsia"/>
          <w:color w:val="auto"/>
          <w:sz w:val="24"/>
          <w:lang w:eastAsia="zh-CN"/>
        </w:rPr>
        <w:t>，</w:t>
      </w:r>
      <w:r>
        <w:rPr>
          <w:rFonts w:hint="eastAsia"/>
          <w:color w:val="auto"/>
          <w:sz w:val="24"/>
        </w:rPr>
        <w:t>竣工后三个月内开展</w:t>
      </w:r>
      <w:r>
        <w:rPr>
          <w:rFonts w:hint="eastAsia"/>
          <w:color w:val="auto"/>
          <w:sz w:val="24"/>
          <w:lang w:val="en-US" w:eastAsia="zh-CN"/>
        </w:rPr>
        <w:t>一次</w:t>
      </w:r>
      <w:r>
        <w:rPr>
          <w:rFonts w:hint="eastAsia"/>
          <w:color w:val="auto"/>
          <w:sz w:val="24"/>
        </w:rPr>
        <w:t>评价。</w:t>
      </w:r>
    </w:p>
    <w:p w14:paraId="51BDD5AB">
      <w:pPr>
        <w:spacing w:after="156" w:afterLines="50" w:line="360" w:lineRule="auto"/>
        <w:rPr>
          <w:rFonts w:hint="eastAsia"/>
          <w:color w:val="auto"/>
          <w:sz w:val="24"/>
        </w:rPr>
      </w:pPr>
      <w:r>
        <w:rPr>
          <w:rFonts w:hint="eastAsia"/>
          <w:color w:val="auto"/>
          <w:sz w:val="24"/>
        </w:rPr>
        <w:t>3.2.</w:t>
      </w:r>
      <w:r>
        <w:rPr>
          <w:rFonts w:hint="eastAsia"/>
          <w:color w:val="auto"/>
          <w:sz w:val="24"/>
          <w:lang w:val="en-US" w:eastAsia="zh-CN"/>
        </w:rPr>
        <w:t>5</w:t>
      </w:r>
      <w:r>
        <w:rPr>
          <w:rFonts w:hint="eastAsia"/>
          <w:color w:val="auto"/>
          <w:sz w:val="24"/>
        </w:rPr>
        <w:t xml:space="preserve"> 若条款没有注明评价阶段，</w:t>
      </w:r>
      <w:r>
        <w:rPr>
          <w:rFonts w:hint="eastAsia"/>
          <w:color w:val="auto"/>
          <w:sz w:val="24"/>
          <w:lang w:val="en-US" w:eastAsia="zh-CN"/>
        </w:rPr>
        <w:t>可</w:t>
      </w:r>
      <w:r>
        <w:rPr>
          <w:rFonts w:hint="eastAsia"/>
          <w:color w:val="auto"/>
          <w:sz w:val="24"/>
        </w:rPr>
        <w:t>适用于所有阶段，每个阶段单独计分；若条款注明适用于多个阶段，如“施工建造和运行阶段”，则</w:t>
      </w:r>
      <w:r>
        <w:rPr>
          <w:rFonts w:hint="eastAsia"/>
          <w:color w:val="auto"/>
          <w:sz w:val="24"/>
          <w:lang w:val="en-US" w:eastAsia="zh-CN"/>
        </w:rPr>
        <w:t>可</w:t>
      </w:r>
      <w:r>
        <w:rPr>
          <w:rFonts w:hint="eastAsia"/>
          <w:color w:val="auto"/>
          <w:sz w:val="24"/>
        </w:rPr>
        <w:t>同时适用于两个阶段，每个阶段单独计分。</w:t>
      </w:r>
    </w:p>
    <w:p w14:paraId="20A779ED">
      <w:pPr>
        <w:spacing w:after="156" w:afterLines="50" w:line="360" w:lineRule="auto"/>
        <w:rPr>
          <w:rFonts w:hint="eastAsia"/>
          <w:color w:val="auto"/>
          <w:sz w:val="24"/>
        </w:rPr>
      </w:pPr>
      <w:r>
        <w:rPr>
          <w:rFonts w:hint="eastAsia"/>
          <w:color w:val="auto"/>
          <w:sz w:val="24"/>
        </w:rPr>
        <w:t>3.2.</w:t>
      </w:r>
      <w:r>
        <w:rPr>
          <w:rFonts w:hint="eastAsia"/>
          <w:color w:val="auto"/>
          <w:sz w:val="24"/>
          <w:lang w:val="en-US" w:eastAsia="zh-CN"/>
        </w:rPr>
        <w:t>6</w:t>
      </w:r>
      <w:r>
        <w:rPr>
          <w:rFonts w:hint="eastAsia"/>
          <w:color w:val="auto"/>
          <w:sz w:val="24"/>
        </w:rPr>
        <w:t xml:space="preserve"> </w:t>
      </w:r>
      <w:r>
        <w:rPr>
          <w:rFonts w:hint="eastAsia"/>
          <w:color w:val="auto"/>
          <w:sz w:val="24"/>
          <w:lang w:val="en-US" w:eastAsia="zh-CN"/>
        </w:rPr>
        <w:t>八</w:t>
      </w:r>
      <w:r>
        <w:rPr>
          <w:rFonts w:hint="eastAsia"/>
          <w:color w:val="auto"/>
          <w:sz w:val="24"/>
        </w:rPr>
        <w:t>类</w:t>
      </w:r>
      <w:r>
        <w:rPr>
          <w:rFonts w:hint="eastAsia"/>
          <w:color w:val="auto"/>
          <w:sz w:val="24"/>
          <w:lang w:eastAsia="zh-CN"/>
        </w:rPr>
        <w:t>城市新型</w:t>
      </w:r>
      <w:r>
        <w:rPr>
          <w:rFonts w:hint="eastAsia"/>
          <w:color w:val="auto"/>
          <w:sz w:val="24"/>
        </w:rPr>
        <w:t>基础设施项目应</w:t>
      </w:r>
      <w:r>
        <w:rPr>
          <w:rFonts w:hint="eastAsia"/>
          <w:color w:val="auto"/>
          <w:sz w:val="24"/>
          <w:lang w:val="en-US" w:eastAsia="zh-CN"/>
        </w:rPr>
        <w:t>按本标准</w:t>
      </w:r>
      <w:r>
        <w:rPr>
          <w:rFonts w:hint="eastAsia"/>
          <w:color w:val="auto"/>
          <w:sz w:val="24"/>
        </w:rPr>
        <w:t>附录B</w:t>
      </w:r>
      <w:r>
        <w:rPr>
          <w:rFonts w:hint="eastAsia"/>
          <w:color w:val="auto"/>
          <w:sz w:val="24"/>
          <w:lang w:val="en-US" w:eastAsia="zh-CN"/>
        </w:rPr>
        <w:t>的规定进行前期专项评价</w:t>
      </w:r>
      <w:r>
        <w:rPr>
          <w:rFonts w:hint="eastAsia"/>
          <w:color w:val="auto"/>
          <w:sz w:val="24"/>
        </w:rPr>
        <w:t>，</w:t>
      </w:r>
      <w:r>
        <w:rPr>
          <w:rFonts w:hint="eastAsia"/>
          <w:color w:val="auto"/>
          <w:sz w:val="24"/>
          <w:lang w:val="en-US" w:eastAsia="zh-CN"/>
        </w:rPr>
        <w:t>且评价得分不少于60分</w:t>
      </w:r>
      <w:r>
        <w:rPr>
          <w:rFonts w:hint="eastAsia"/>
          <w:color w:val="auto"/>
          <w:sz w:val="24"/>
        </w:rPr>
        <w:t>。</w:t>
      </w:r>
    </w:p>
    <w:p w14:paraId="4368584E">
      <w:pPr>
        <w:spacing w:after="156" w:afterLines="50" w:line="360" w:lineRule="auto"/>
        <w:rPr>
          <w:rFonts w:hint="eastAsia"/>
          <w:color w:val="auto"/>
          <w:sz w:val="24"/>
        </w:rPr>
      </w:pPr>
      <w:r>
        <w:rPr>
          <w:rFonts w:hint="eastAsia"/>
          <w:color w:val="auto"/>
          <w:sz w:val="24"/>
        </w:rPr>
        <w:t>3.2.</w:t>
      </w:r>
      <w:r>
        <w:rPr>
          <w:rFonts w:hint="eastAsia"/>
          <w:color w:val="auto"/>
          <w:sz w:val="24"/>
          <w:lang w:val="en-US" w:eastAsia="zh-CN"/>
        </w:rPr>
        <w:t>7</w:t>
      </w:r>
      <w:r>
        <w:rPr>
          <w:rFonts w:hint="eastAsia"/>
          <w:color w:val="auto"/>
          <w:sz w:val="24"/>
        </w:rPr>
        <w:t xml:space="preserve"> </w:t>
      </w:r>
      <w:r>
        <w:rPr>
          <w:rFonts w:hint="eastAsia"/>
          <w:color w:val="auto"/>
          <w:sz w:val="24"/>
          <w:lang w:eastAsia="zh-CN"/>
        </w:rPr>
        <w:t>城市新型</w:t>
      </w:r>
      <w:r>
        <w:rPr>
          <w:rFonts w:hint="eastAsia"/>
          <w:color w:val="auto"/>
          <w:sz w:val="24"/>
        </w:rPr>
        <w:t>基础设施可持续评价结果分金、银、铜3个等级，对应总得分分别为85分及以上、75分</w:t>
      </w:r>
      <w:r>
        <w:rPr>
          <w:rFonts w:hint="eastAsia"/>
          <w:color w:val="auto"/>
          <w:sz w:val="24"/>
          <w:lang w:val="en-US" w:eastAsia="zh-CN"/>
        </w:rPr>
        <w:t>（含）</w:t>
      </w:r>
      <w:r>
        <w:rPr>
          <w:rFonts w:hint="eastAsia"/>
          <w:color w:val="auto"/>
          <w:sz w:val="24"/>
        </w:rPr>
        <w:t>以上85分以下、60分</w:t>
      </w:r>
      <w:r>
        <w:rPr>
          <w:rFonts w:hint="eastAsia"/>
          <w:color w:val="auto"/>
          <w:sz w:val="24"/>
          <w:lang w:val="en-US" w:eastAsia="zh-CN"/>
        </w:rPr>
        <w:t>（含）</w:t>
      </w:r>
      <w:r>
        <w:rPr>
          <w:rFonts w:hint="eastAsia"/>
          <w:color w:val="auto"/>
          <w:sz w:val="24"/>
        </w:rPr>
        <w:t>以上75分以下。</w:t>
      </w:r>
    </w:p>
    <w:p w14:paraId="2DE71620">
      <w:pPr>
        <w:spacing w:after="156" w:afterLines="50" w:line="360" w:lineRule="auto"/>
        <w:rPr>
          <w:rFonts w:hint="eastAsia"/>
          <w:color w:val="auto"/>
          <w:sz w:val="24"/>
        </w:rPr>
      </w:pPr>
    </w:p>
    <w:p w14:paraId="0E9E960D">
      <w:pPr>
        <w:spacing w:after="156" w:afterLines="50" w:line="360" w:lineRule="auto"/>
        <w:rPr>
          <w:rFonts w:hint="eastAsia"/>
          <w:color w:val="auto"/>
          <w:sz w:val="24"/>
        </w:rPr>
        <w:sectPr>
          <w:pgSz w:w="11906" w:h="16838"/>
          <w:pgMar w:top="1440" w:right="1800" w:bottom="1440" w:left="1800" w:header="851" w:footer="992" w:gutter="0"/>
          <w:pgNumType w:fmt="decimal"/>
          <w:cols w:space="720" w:num="1"/>
          <w:docGrid w:type="lines" w:linePitch="312" w:charSpace="0"/>
        </w:sectPr>
      </w:pPr>
    </w:p>
    <w:p w14:paraId="47FDBC22">
      <w:pPr>
        <w:wordWrap/>
        <w:spacing w:line="360" w:lineRule="auto"/>
        <w:jc w:val="center"/>
        <w:textAlignment w:val="auto"/>
        <w:outlineLvl w:val="0"/>
        <w:rPr>
          <w:rFonts w:ascii="宋体" w:hAnsi="宋体" w:eastAsia="宋体" w:cs="宋体"/>
          <w:b/>
          <w:bCs/>
          <w:color w:val="auto"/>
          <w:sz w:val="30"/>
          <w:szCs w:val="30"/>
        </w:rPr>
      </w:pPr>
      <w:bookmarkStart w:id="113" w:name="_Toc7798"/>
      <w:bookmarkStart w:id="114" w:name="_Toc7437"/>
      <w:bookmarkStart w:id="115" w:name="_Toc19513"/>
      <w:bookmarkStart w:id="116" w:name="_Toc7046"/>
      <w:bookmarkStart w:id="117" w:name="_Toc29005"/>
      <w:bookmarkStart w:id="118" w:name="_Toc13634"/>
      <w:bookmarkStart w:id="119" w:name="_Toc22786"/>
      <w:r>
        <w:rPr>
          <w:rFonts w:hint="eastAsia" w:ascii="宋体" w:hAnsi="宋体" w:eastAsia="宋体" w:cs="宋体"/>
          <w:b/>
          <w:bCs/>
          <w:color w:val="auto"/>
          <w:sz w:val="30"/>
          <w:szCs w:val="30"/>
        </w:rPr>
        <w:t>4</w:t>
      </w:r>
      <w:r>
        <w:rPr>
          <w:rFonts w:ascii="宋体" w:hAnsi="宋体" w:eastAsia="宋体" w:cs="宋体"/>
          <w:b/>
          <w:bCs/>
          <w:color w:val="auto"/>
          <w:sz w:val="30"/>
          <w:szCs w:val="30"/>
        </w:rPr>
        <w:t xml:space="preserve"> </w:t>
      </w:r>
      <w:r>
        <w:rPr>
          <w:rFonts w:hint="eastAsia" w:ascii="宋体" w:hAnsi="宋体" w:eastAsia="宋体" w:cs="宋体"/>
          <w:b/>
          <w:bCs/>
          <w:color w:val="auto"/>
          <w:sz w:val="30"/>
          <w:szCs w:val="30"/>
        </w:rPr>
        <w:t>环境可持续</w:t>
      </w:r>
      <w:bookmarkEnd w:id="113"/>
      <w:bookmarkEnd w:id="114"/>
      <w:bookmarkEnd w:id="115"/>
      <w:bookmarkEnd w:id="116"/>
      <w:bookmarkEnd w:id="117"/>
      <w:bookmarkEnd w:id="118"/>
      <w:bookmarkEnd w:id="119"/>
    </w:p>
    <w:p w14:paraId="6930A796">
      <w:pPr>
        <w:wordWrap/>
        <w:spacing w:line="360" w:lineRule="auto"/>
        <w:jc w:val="center"/>
        <w:textAlignment w:val="auto"/>
        <w:outlineLvl w:val="1"/>
        <w:rPr>
          <w:rFonts w:ascii="黑体" w:hAnsi="黑体" w:eastAsia="黑体" w:cs="黑体"/>
          <w:b/>
          <w:bCs/>
          <w:color w:val="auto"/>
          <w:sz w:val="28"/>
          <w:szCs w:val="28"/>
        </w:rPr>
      </w:pPr>
      <w:bookmarkStart w:id="120" w:name="_Toc5232"/>
      <w:bookmarkStart w:id="121" w:name="_Toc11394"/>
      <w:bookmarkStart w:id="122" w:name="_Toc25854"/>
      <w:bookmarkStart w:id="123" w:name="_Toc19346"/>
      <w:bookmarkStart w:id="124" w:name="_Toc18959"/>
      <w:bookmarkStart w:id="125" w:name="_Toc6584"/>
      <w:bookmarkStart w:id="126" w:name="_Toc21600"/>
      <w:r>
        <w:rPr>
          <w:rFonts w:hint="eastAsia" w:ascii="黑体" w:hAnsi="黑体" w:eastAsia="黑体" w:cs="黑体"/>
          <w:b/>
          <w:bCs/>
          <w:color w:val="auto"/>
          <w:sz w:val="28"/>
          <w:szCs w:val="28"/>
        </w:rPr>
        <w:t>4.1 控制项</w:t>
      </w:r>
      <w:bookmarkEnd w:id="120"/>
      <w:bookmarkEnd w:id="121"/>
      <w:bookmarkEnd w:id="122"/>
      <w:bookmarkEnd w:id="123"/>
      <w:bookmarkEnd w:id="124"/>
      <w:bookmarkEnd w:id="125"/>
      <w:bookmarkEnd w:id="126"/>
    </w:p>
    <w:p w14:paraId="7C7A4078">
      <w:pPr>
        <w:widowControl/>
        <w:wordWrap/>
        <w:spacing w:line="360" w:lineRule="auto"/>
        <w:jc w:val="left"/>
        <w:textAlignment w:val="auto"/>
        <w:rPr>
          <w:rFonts w:hint="eastAsia"/>
          <w:color w:val="auto"/>
          <w:sz w:val="24"/>
        </w:rPr>
      </w:pPr>
      <w:r>
        <w:rPr>
          <w:rFonts w:hint="eastAsia"/>
          <w:color w:val="auto"/>
          <w:sz w:val="24"/>
        </w:rPr>
        <w:t xml:space="preserve">4.1.1 </w:t>
      </w:r>
      <w:r>
        <w:rPr>
          <w:rFonts w:hint="eastAsia"/>
          <w:color w:val="auto"/>
          <w:sz w:val="24"/>
          <w:lang w:val="en-US" w:eastAsia="zh-CN"/>
        </w:rPr>
        <w:t>企业</w:t>
      </w:r>
      <w:r>
        <w:rPr>
          <w:rFonts w:hint="eastAsia"/>
          <w:color w:val="auto"/>
          <w:sz w:val="24"/>
        </w:rPr>
        <w:t>应</w:t>
      </w:r>
      <w:r>
        <w:rPr>
          <w:rFonts w:hint="eastAsia"/>
          <w:color w:val="auto"/>
          <w:sz w:val="24"/>
          <w:highlight w:val="none"/>
          <w:lang w:val="en-US" w:eastAsia="zh-CN"/>
        </w:rPr>
        <w:t>依据项目可持续实施计划以及上位规划</w:t>
      </w:r>
      <w:r>
        <w:rPr>
          <w:rFonts w:hint="eastAsia" w:ascii="宋体" w:hAnsi="宋体" w:eastAsia="宋体" w:cs="宋体"/>
          <w:color w:val="auto"/>
          <w:sz w:val="24"/>
          <w:highlight w:val="none"/>
          <w:lang w:val="en-US" w:eastAsia="zh-CN"/>
        </w:rPr>
        <w:t>分析项目所在地环境和生态现状</w:t>
      </w:r>
      <w:r>
        <w:rPr>
          <w:rFonts w:hint="eastAsia" w:ascii="宋体" w:hAnsi="宋体" w:eastAsia="宋体" w:cs="宋体"/>
          <w:color w:val="auto"/>
          <w:sz w:val="24"/>
          <w:lang w:val="en-US" w:eastAsia="zh-CN"/>
        </w:rPr>
        <w:t>，</w:t>
      </w:r>
      <w:r>
        <w:rPr>
          <w:rFonts w:hint="eastAsia"/>
          <w:color w:val="auto"/>
          <w:sz w:val="24"/>
        </w:rPr>
        <w:t>对项目所在场界范围环境因素进行识别与评估，并据此制定环境质量监测与控制方案。</w:t>
      </w:r>
    </w:p>
    <w:p w14:paraId="03CA5A6C">
      <w:pPr>
        <w:widowControl/>
        <w:wordWrap/>
        <w:spacing w:line="360" w:lineRule="auto"/>
        <w:jc w:val="left"/>
        <w:textAlignment w:val="auto"/>
        <w:rPr>
          <w:rFonts w:hint="eastAsia"/>
          <w:color w:val="auto"/>
          <w:sz w:val="24"/>
        </w:rPr>
      </w:pPr>
      <w:r>
        <w:rPr>
          <w:rFonts w:hint="eastAsia"/>
          <w:color w:val="auto"/>
          <w:sz w:val="24"/>
        </w:rPr>
        <w:t>4.1.2 环境质量控制方案中</w:t>
      </w:r>
      <w:r>
        <w:rPr>
          <w:rFonts w:hint="eastAsia"/>
          <w:color w:val="auto"/>
          <w:sz w:val="24"/>
          <w:lang w:val="en-US" w:eastAsia="zh-CN"/>
        </w:rPr>
        <w:t>应</w:t>
      </w:r>
      <w:r>
        <w:rPr>
          <w:rFonts w:hint="eastAsia"/>
          <w:color w:val="auto"/>
          <w:sz w:val="24"/>
        </w:rPr>
        <w:t>选用绿色低碳技术和智能化技术</w:t>
      </w:r>
      <w:r>
        <w:rPr>
          <w:rFonts w:hint="eastAsia"/>
          <w:color w:val="auto"/>
          <w:sz w:val="24"/>
          <w:lang w:eastAsia="zh-CN"/>
        </w:rPr>
        <w:t>，</w:t>
      </w:r>
      <w:r>
        <w:rPr>
          <w:rFonts w:hint="eastAsia"/>
          <w:color w:val="auto"/>
          <w:sz w:val="24"/>
          <w:lang w:val="en-US" w:eastAsia="zh-CN"/>
        </w:rPr>
        <w:t>用于</w:t>
      </w:r>
      <w:r>
        <w:rPr>
          <w:rFonts w:hint="eastAsia"/>
          <w:color w:val="auto"/>
          <w:sz w:val="24"/>
        </w:rPr>
        <w:t>实现控制目标。</w:t>
      </w:r>
    </w:p>
    <w:p w14:paraId="3F4CE4FA">
      <w:pPr>
        <w:widowControl/>
        <w:wordWrap/>
        <w:spacing w:line="360" w:lineRule="auto"/>
        <w:jc w:val="left"/>
        <w:textAlignment w:val="auto"/>
        <w:rPr>
          <w:rFonts w:hint="eastAsia"/>
          <w:color w:val="auto"/>
          <w:sz w:val="24"/>
        </w:rPr>
      </w:pPr>
      <w:r>
        <w:rPr>
          <w:rFonts w:hint="eastAsia"/>
          <w:color w:val="auto"/>
          <w:sz w:val="24"/>
        </w:rPr>
        <w:t xml:space="preserve">4.1.3 </w:t>
      </w:r>
      <w:r>
        <w:rPr>
          <w:rFonts w:hint="eastAsia"/>
          <w:color w:val="auto"/>
          <w:sz w:val="24"/>
          <w:lang w:val="en-US" w:eastAsia="zh-CN"/>
        </w:rPr>
        <w:t>企业</w:t>
      </w:r>
      <w:r>
        <w:rPr>
          <w:rFonts w:hint="eastAsia"/>
          <w:color w:val="auto"/>
          <w:sz w:val="24"/>
        </w:rPr>
        <w:t>应</w:t>
      </w:r>
      <w:r>
        <w:rPr>
          <w:rFonts w:hint="eastAsia"/>
          <w:color w:val="auto"/>
          <w:sz w:val="24"/>
          <w:lang w:val="en-US" w:eastAsia="zh-CN"/>
        </w:rPr>
        <w:t>将项目</w:t>
      </w:r>
      <w:r>
        <w:rPr>
          <w:rFonts w:hint="eastAsia"/>
          <w:color w:val="auto"/>
          <w:sz w:val="24"/>
        </w:rPr>
        <w:t>碳排放总量</w:t>
      </w:r>
      <w:r>
        <w:rPr>
          <w:rFonts w:hint="eastAsia"/>
          <w:color w:val="auto"/>
          <w:sz w:val="24"/>
          <w:lang w:val="en-US" w:eastAsia="zh-CN"/>
        </w:rPr>
        <w:t>控制</w:t>
      </w:r>
      <w:r>
        <w:rPr>
          <w:rFonts w:hint="eastAsia"/>
          <w:color w:val="auto"/>
          <w:sz w:val="24"/>
        </w:rPr>
        <w:t>目标</w:t>
      </w:r>
      <w:r>
        <w:rPr>
          <w:rFonts w:hint="eastAsia"/>
          <w:color w:val="auto"/>
          <w:sz w:val="24"/>
          <w:lang w:eastAsia="zh-CN"/>
        </w:rPr>
        <w:t>，</w:t>
      </w:r>
      <w:r>
        <w:rPr>
          <w:rFonts w:hint="eastAsia"/>
          <w:color w:val="auto"/>
          <w:sz w:val="24"/>
          <w:lang w:val="en-US" w:eastAsia="zh-CN"/>
        </w:rPr>
        <w:t>分解为控制</w:t>
      </w:r>
      <w:r>
        <w:rPr>
          <w:rFonts w:hint="eastAsia"/>
          <w:color w:val="auto"/>
          <w:sz w:val="24"/>
          <w:highlight w:val="none"/>
        </w:rPr>
        <w:t>单元</w:t>
      </w:r>
      <w:r>
        <w:rPr>
          <w:rFonts w:hint="eastAsia"/>
          <w:color w:val="auto"/>
          <w:sz w:val="24"/>
          <w:highlight w:val="none"/>
          <w:lang w:val="en-US" w:eastAsia="zh-CN"/>
        </w:rPr>
        <w:t>目标</w:t>
      </w:r>
      <w:r>
        <w:rPr>
          <w:rFonts w:hint="eastAsia"/>
          <w:color w:val="auto"/>
          <w:sz w:val="24"/>
        </w:rPr>
        <w:t>，并制定减排方案。</w:t>
      </w:r>
    </w:p>
    <w:p w14:paraId="2BD5584C">
      <w:pPr>
        <w:widowControl/>
        <w:wordWrap/>
        <w:spacing w:line="360" w:lineRule="auto"/>
        <w:jc w:val="left"/>
        <w:textAlignment w:val="auto"/>
        <w:rPr>
          <w:rFonts w:hint="eastAsia"/>
          <w:color w:val="auto"/>
          <w:sz w:val="24"/>
        </w:rPr>
      </w:pPr>
      <w:r>
        <w:rPr>
          <w:rFonts w:hint="eastAsia"/>
          <w:color w:val="auto"/>
          <w:sz w:val="24"/>
        </w:rPr>
        <w:t xml:space="preserve">4.1.4 </w:t>
      </w:r>
      <w:r>
        <w:rPr>
          <w:rFonts w:hint="eastAsia"/>
          <w:color w:val="auto"/>
          <w:sz w:val="24"/>
          <w:lang w:val="en-US" w:eastAsia="zh-CN"/>
        </w:rPr>
        <w:t>企业应</w:t>
      </w:r>
      <w:r>
        <w:rPr>
          <w:rFonts w:hint="eastAsia"/>
          <w:color w:val="auto"/>
          <w:sz w:val="24"/>
        </w:rPr>
        <w:t>在施工建造阶段、运行阶段，</w:t>
      </w:r>
      <w:r>
        <w:rPr>
          <w:rFonts w:hint="eastAsia"/>
          <w:color w:val="auto"/>
          <w:sz w:val="24"/>
          <w:lang w:val="en-US" w:eastAsia="zh-CN"/>
        </w:rPr>
        <w:t>应</w:t>
      </w:r>
      <w:r>
        <w:rPr>
          <w:rFonts w:hint="eastAsia"/>
          <w:color w:val="auto"/>
          <w:sz w:val="24"/>
        </w:rPr>
        <w:t>采用信息化、智能化技术监测项目环境质量控制方案的实施效果。</w:t>
      </w:r>
    </w:p>
    <w:p w14:paraId="747AFB8E">
      <w:pPr>
        <w:widowControl/>
        <w:wordWrap/>
        <w:spacing w:line="360" w:lineRule="auto"/>
        <w:jc w:val="left"/>
        <w:textAlignment w:val="auto"/>
        <w:rPr>
          <w:rFonts w:hint="eastAsia"/>
          <w:color w:val="auto"/>
          <w:sz w:val="24"/>
        </w:rPr>
      </w:pPr>
      <w:r>
        <w:rPr>
          <w:rFonts w:hint="eastAsia"/>
          <w:color w:val="auto"/>
          <w:sz w:val="24"/>
          <w:highlight w:val="none"/>
        </w:rPr>
        <w:t>4.1.</w:t>
      </w:r>
      <w:r>
        <w:rPr>
          <w:rFonts w:hint="eastAsia"/>
          <w:color w:val="auto"/>
          <w:sz w:val="24"/>
          <w:highlight w:val="none"/>
          <w:lang w:val="en-US" w:eastAsia="zh-CN"/>
        </w:rPr>
        <w:t>5</w:t>
      </w:r>
      <w:r>
        <w:rPr>
          <w:rFonts w:hint="eastAsia"/>
          <w:color w:val="auto"/>
          <w:sz w:val="24"/>
          <w:highlight w:val="none"/>
        </w:rPr>
        <w:t xml:space="preserve"> </w:t>
      </w:r>
      <w:r>
        <w:rPr>
          <w:rFonts w:hint="eastAsia"/>
          <w:color w:val="auto"/>
          <w:sz w:val="24"/>
          <w:lang w:val="en-US" w:eastAsia="zh-CN"/>
        </w:rPr>
        <w:t>企业</w:t>
      </w:r>
      <w:r>
        <w:rPr>
          <w:rFonts w:hint="eastAsia"/>
          <w:color w:val="auto"/>
          <w:sz w:val="24"/>
        </w:rPr>
        <w:t>应</w:t>
      </w:r>
      <w:r>
        <w:rPr>
          <w:rFonts w:hint="eastAsia"/>
          <w:color w:val="auto"/>
          <w:sz w:val="24"/>
          <w:lang w:val="en-US" w:eastAsia="zh-CN"/>
        </w:rPr>
        <w:t>按本标准</w:t>
      </w:r>
      <w:r>
        <w:rPr>
          <w:rFonts w:hint="eastAsia"/>
          <w:color w:val="auto"/>
          <w:sz w:val="24"/>
        </w:rPr>
        <w:t>附录C</w:t>
      </w:r>
      <w:r>
        <w:rPr>
          <w:rFonts w:hint="eastAsia"/>
          <w:lang w:val="en-US" w:eastAsia="zh-CN"/>
        </w:rPr>
        <w:t>的规定</w:t>
      </w:r>
      <w:r>
        <w:rPr>
          <w:rFonts w:hint="eastAsia"/>
          <w:color w:val="auto"/>
          <w:sz w:val="24"/>
        </w:rPr>
        <w:t>，定期编制项目碳排放报告。</w:t>
      </w:r>
    </w:p>
    <w:p w14:paraId="4E8174E5">
      <w:pPr>
        <w:wordWrap/>
        <w:spacing w:line="360" w:lineRule="auto"/>
        <w:jc w:val="center"/>
        <w:textAlignment w:val="auto"/>
        <w:outlineLvl w:val="1"/>
        <w:rPr>
          <w:rFonts w:ascii="黑体" w:hAnsi="黑体" w:eastAsia="黑体" w:cs="黑体"/>
          <w:b/>
          <w:bCs/>
          <w:color w:val="auto"/>
          <w:sz w:val="28"/>
          <w:szCs w:val="28"/>
        </w:rPr>
      </w:pPr>
      <w:bookmarkStart w:id="127" w:name="_Toc1206"/>
      <w:bookmarkStart w:id="128" w:name="_Toc8855"/>
      <w:bookmarkStart w:id="129" w:name="_Toc15153"/>
      <w:bookmarkStart w:id="130" w:name="_Toc15504"/>
      <w:bookmarkStart w:id="131" w:name="_Toc17002"/>
      <w:bookmarkStart w:id="132" w:name="_Toc20459"/>
      <w:bookmarkStart w:id="133" w:name="_Toc18517"/>
      <w:r>
        <w:rPr>
          <w:rFonts w:hint="eastAsia" w:ascii="黑体" w:hAnsi="黑体" w:eastAsia="黑体" w:cs="黑体"/>
          <w:b/>
          <w:bCs/>
          <w:color w:val="auto"/>
          <w:sz w:val="28"/>
          <w:szCs w:val="28"/>
        </w:rPr>
        <w:t>4.2 评分项</w:t>
      </w:r>
      <w:bookmarkEnd w:id="127"/>
      <w:bookmarkEnd w:id="128"/>
      <w:bookmarkEnd w:id="129"/>
      <w:bookmarkEnd w:id="130"/>
      <w:bookmarkEnd w:id="131"/>
      <w:bookmarkEnd w:id="132"/>
      <w:bookmarkEnd w:id="133"/>
    </w:p>
    <w:p w14:paraId="7B1A60C9">
      <w:pPr>
        <w:wordWrap/>
        <w:spacing w:line="360" w:lineRule="auto"/>
        <w:jc w:val="center"/>
        <w:textAlignment w:val="auto"/>
        <w:outlineLvl w:val="2"/>
        <w:rPr>
          <w:rFonts w:ascii="仿宋" w:hAnsi="仿宋" w:eastAsia="仿宋" w:cs="仿宋"/>
          <w:color w:val="auto"/>
          <w:sz w:val="28"/>
          <w:szCs w:val="28"/>
        </w:rPr>
      </w:pPr>
      <w:bookmarkStart w:id="134" w:name="_Toc29480"/>
      <w:bookmarkStart w:id="135" w:name="_Toc15638"/>
      <w:bookmarkStart w:id="136" w:name="_Toc12514"/>
      <w:bookmarkStart w:id="137" w:name="_Toc28675"/>
      <w:bookmarkStart w:id="138" w:name="_Toc20231"/>
      <w:r>
        <w:rPr>
          <w:rFonts w:hint="eastAsia" w:ascii="仿宋" w:hAnsi="仿宋" w:eastAsia="仿宋" w:cs="仿宋"/>
          <w:color w:val="auto"/>
          <w:sz w:val="28"/>
          <w:szCs w:val="28"/>
        </w:rPr>
        <w:t>Ⅰ 污染防治</w:t>
      </w:r>
      <w:bookmarkEnd w:id="134"/>
      <w:bookmarkEnd w:id="135"/>
      <w:bookmarkEnd w:id="136"/>
      <w:bookmarkEnd w:id="137"/>
      <w:bookmarkEnd w:id="138"/>
    </w:p>
    <w:p w14:paraId="5A40174E">
      <w:pPr>
        <w:wordWrap/>
        <w:spacing w:line="360" w:lineRule="auto"/>
        <w:textAlignment w:val="auto"/>
        <w:rPr>
          <w:rFonts w:hint="eastAsia"/>
          <w:color w:val="auto"/>
          <w:sz w:val="24"/>
          <w:highlight w:val="none"/>
        </w:rPr>
      </w:pPr>
      <w:r>
        <w:rPr>
          <w:rFonts w:hint="eastAsia"/>
          <w:color w:val="auto"/>
          <w:sz w:val="24"/>
          <w:highlight w:val="none"/>
        </w:rPr>
        <w:t>4.2.1 污废水污染控制，</w:t>
      </w:r>
      <w:r>
        <w:rPr>
          <w:rFonts w:hint="eastAsia"/>
          <w:color w:val="auto"/>
          <w:sz w:val="24"/>
          <w:highlight w:val="none"/>
          <w:lang w:eastAsia="zh-CN"/>
        </w:rPr>
        <w:t>应按下列</w:t>
      </w:r>
      <w:r>
        <w:rPr>
          <w:rFonts w:hint="eastAsia"/>
          <w:color w:val="auto"/>
          <w:sz w:val="24"/>
          <w:highlight w:val="none"/>
        </w:rPr>
        <w:t>内容分别评分：</w:t>
      </w:r>
    </w:p>
    <w:p w14:paraId="3D324799">
      <w:pPr>
        <w:wordWrap/>
        <w:spacing w:line="360" w:lineRule="auto"/>
        <w:ind w:firstLine="480" w:firstLineChars="200"/>
        <w:textAlignment w:val="auto"/>
        <w:rPr>
          <w:rFonts w:hint="eastAsia"/>
          <w:color w:val="auto"/>
          <w:sz w:val="24"/>
          <w:highlight w:val="none"/>
        </w:rPr>
      </w:pPr>
      <w:r>
        <w:rPr>
          <w:rFonts w:hint="eastAsia"/>
          <w:color w:val="auto"/>
          <w:sz w:val="24"/>
          <w:highlight w:val="none"/>
        </w:rPr>
        <w:t xml:space="preserve">1 </w:t>
      </w:r>
      <w:r>
        <w:rPr>
          <w:rFonts w:hint="eastAsia"/>
          <w:color w:val="auto"/>
          <w:sz w:val="24"/>
          <w:highlight w:val="none"/>
          <w:lang w:val="en-US" w:eastAsia="zh-CN"/>
        </w:rPr>
        <w:t>规划</w:t>
      </w:r>
      <w:r>
        <w:rPr>
          <w:rFonts w:hint="eastAsia"/>
          <w:color w:val="auto"/>
          <w:sz w:val="24"/>
          <w:highlight w:val="none"/>
        </w:rPr>
        <w:t>设计阶段，采用适宜技术，减少污废水的产生；制定污废水的隔离措施与处理方式；</w:t>
      </w:r>
    </w:p>
    <w:p w14:paraId="1FE4E9DE">
      <w:pPr>
        <w:wordWrap/>
        <w:spacing w:line="360" w:lineRule="auto"/>
        <w:ind w:firstLine="480" w:firstLineChars="200"/>
        <w:textAlignment w:val="auto"/>
        <w:rPr>
          <w:rFonts w:hint="eastAsia" w:eastAsia="宋体"/>
          <w:color w:val="auto"/>
          <w:sz w:val="24"/>
          <w:highlight w:val="none"/>
          <w:lang w:eastAsia="zh-CN"/>
        </w:rPr>
      </w:pPr>
      <w:r>
        <w:rPr>
          <w:rFonts w:hint="eastAsia"/>
          <w:color w:val="auto"/>
          <w:sz w:val="24"/>
          <w:highlight w:val="none"/>
        </w:rPr>
        <w:t>2 施工</w:t>
      </w:r>
      <w:r>
        <w:rPr>
          <w:rFonts w:hint="eastAsia"/>
          <w:color w:val="auto"/>
          <w:sz w:val="24"/>
          <w:highlight w:val="none"/>
          <w:lang w:val="en-US" w:eastAsia="zh-CN"/>
        </w:rPr>
        <w:t>建造</w:t>
      </w:r>
      <w:r>
        <w:rPr>
          <w:rFonts w:hint="eastAsia"/>
          <w:color w:val="auto"/>
          <w:sz w:val="24"/>
          <w:highlight w:val="none"/>
        </w:rPr>
        <w:t>和运行阶段，废水排放强度满足控制指标要求；回收利用率指标满足控制指标要求；各类废水排放应符合</w:t>
      </w:r>
      <w:r>
        <w:rPr>
          <w:rFonts w:hint="eastAsia"/>
          <w:color w:val="auto"/>
          <w:sz w:val="24"/>
          <w:highlight w:val="none"/>
          <w:lang w:eastAsia="zh-CN"/>
        </w:rPr>
        <w:t>现行国家标准</w:t>
      </w:r>
      <w:r>
        <w:rPr>
          <w:rFonts w:hint="eastAsia"/>
          <w:color w:val="auto"/>
          <w:sz w:val="24"/>
          <w:highlight w:val="none"/>
        </w:rPr>
        <w:t>《污水综合排放标准》GB8978</w:t>
      </w:r>
      <w:r>
        <w:rPr>
          <w:rFonts w:hint="eastAsia"/>
          <w:sz w:val="24"/>
          <w:lang w:val="en-US" w:eastAsia="zh-CN"/>
        </w:rPr>
        <w:t>的有关规定</w:t>
      </w:r>
      <w:r>
        <w:rPr>
          <w:rFonts w:hint="eastAsia"/>
          <w:color w:val="auto"/>
          <w:sz w:val="24"/>
          <w:highlight w:val="none"/>
        </w:rPr>
        <w:t>以及当地标准要求</w:t>
      </w:r>
      <w:r>
        <w:rPr>
          <w:rFonts w:hint="eastAsia"/>
          <w:color w:val="auto"/>
          <w:sz w:val="24"/>
          <w:highlight w:val="none"/>
          <w:lang w:eastAsia="zh-CN"/>
        </w:rPr>
        <w:t>；</w:t>
      </w:r>
    </w:p>
    <w:p w14:paraId="51933213">
      <w:pPr>
        <w:wordWrap/>
        <w:spacing w:line="360" w:lineRule="auto"/>
        <w:ind w:firstLine="480" w:firstLineChars="200"/>
        <w:textAlignment w:val="auto"/>
        <w:rPr>
          <w:rFonts w:hint="eastAsia" w:eastAsia="宋体"/>
          <w:color w:val="auto"/>
          <w:sz w:val="24"/>
          <w:highlight w:val="none"/>
          <w:lang w:eastAsia="zh-CN"/>
        </w:rPr>
      </w:pPr>
      <w:r>
        <w:rPr>
          <w:rFonts w:hint="eastAsia"/>
          <w:color w:val="auto"/>
          <w:sz w:val="24"/>
          <w:highlight w:val="none"/>
        </w:rPr>
        <w:t>3 运行阶段，被列入重点排污单位名录的项目，</w:t>
      </w:r>
      <w:r>
        <w:rPr>
          <w:rFonts w:hint="eastAsia"/>
          <w:color w:val="auto"/>
          <w:sz w:val="24"/>
          <w:highlight w:val="none"/>
          <w:lang w:val="en-US" w:eastAsia="zh-CN"/>
        </w:rPr>
        <w:t>应</w:t>
      </w:r>
      <w:r>
        <w:rPr>
          <w:rFonts w:hint="eastAsia"/>
          <w:color w:val="auto"/>
          <w:sz w:val="24"/>
          <w:highlight w:val="none"/>
        </w:rPr>
        <w:t>安装污废水排放自动监测设备，并与环境保护主管部门的监控设备联网</w:t>
      </w:r>
      <w:r>
        <w:rPr>
          <w:rFonts w:hint="eastAsia"/>
          <w:color w:val="auto"/>
          <w:sz w:val="24"/>
          <w:highlight w:val="none"/>
          <w:lang w:eastAsia="zh-CN"/>
        </w:rPr>
        <w:t>。</w:t>
      </w:r>
    </w:p>
    <w:p w14:paraId="7B50450A">
      <w:pPr>
        <w:wordWrap/>
        <w:spacing w:line="360" w:lineRule="auto"/>
        <w:textAlignment w:val="auto"/>
        <w:rPr>
          <w:rFonts w:hint="eastAsia"/>
          <w:color w:val="auto"/>
          <w:sz w:val="24"/>
          <w:highlight w:val="none"/>
        </w:rPr>
      </w:pPr>
      <w:r>
        <w:rPr>
          <w:rFonts w:hint="eastAsia"/>
          <w:color w:val="auto"/>
          <w:sz w:val="24"/>
          <w:highlight w:val="none"/>
        </w:rPr>
        <w:t>4.2.2 废气污染控制，</w:t>
      </w:r>
      <w:r>
        <w:rPr>
          <w:rFonts w:hint="eastAsia"/>
          <w:color w:val="auto"/>
          <w:sz w:val="24"/>
          <w:highlight w:val="none"/>
          <w:lang w:eastAsia="zh-CN"/>
        </w:rPr>
        <w:t>应按下列</w:t>
      </w:r>
      <w:r>
        <w:rPr>
          <w:rFonts w:hint="eastAsia"/>
          <w:color w:val="auto"/>
          <w:sz w:val="24"/>
          <w:highlight w:val="none"/>
        </w:rPr>
        <w:t>内容分别评分：</w:t>
      </w:r>
    </w:p>
    <w:p w14:paraId="5853E9FC">
      <w:pPr>
        <w:wordWrap/>
        <w:spacing w:line="360" w:lineRule="auto"/>
        <w:ind w:firstLine="480" w:firstLineChars="200"/>
        <w:textAlignment w:val="auto"/>
        <w:rPr>
          <w:rFonts w:hint="eastAsia"/>
          <w:color w:val="auto"/>
          <w:sz w:val="24"/>
          <w:highlight w:val="none"/>
        </w:rPr>
      </w:pPr>
      <w:r>
        <w:rPr>
          <w:rFonts w:hint="eastAsia"/>
          <w:color w:val="auto"/>
          <w:sz w:val="24"/>
          <w:highlight w:val="none"/>
        </w:rPr>
        <w:t>1 规划设计阶段，选择</w:t>
      </w:r>
      <w:r>
        <w:rPr>
          <w:rFonts w:hint="eastAsia"/>
          <w:color w:val="auto"/>
          <w:sz w:val="24"/>
          <w:highlight w:val="none"/>
          <w:lang w:val="en-US" w:eastAsia="zh-CN"/>
        </w:rPr>
        <w:t>应用</w:t>
      </w:r>
      <w:r>
        <w:rPr>
          <w:rFonts w:hint="eastAsia"/>
          <w:color w:val="auto"/>
          <w:sz w:val="24"/>
          <w:highlight w:val="none"/>
        </w:rPr>
        <w:t>绿色</w:t>
      </w:r>
      <w:r>
        <w:rPr>
          <w:rFonts w:hint="eastAsia"/>
          <w:color w:val="auto"/>
          <w:sz w:val="24"/>
          <w:highlight w:val="none"/>
          <w:lang w:val="en-US" w:eastAsia="zh-CN"/>
        </w:rPr>
        <w:t>技术</w:t>
      </w:r>
      <w:r>
        <w:rPr>
          <w:rFonts w:hint="eastAsia"/>
          <w:color w:val="auto"/>
          <w:sz w:val="24"/>
          <w:highlight w:val="none"/>
        </w:rPr>
        <w:t xml:space="preserve">和产品；优先考虑减少废气产生的工艺； </w:t>
      </w:r>
    </w:p>
    <w:p w14:paraId="536D5A60">
      <w:pPr>
        <w:wordWrap/>
        <w:spacing w:line="360" w:lineRule="auto"/>
        <w:ind w:firstLine="480" w:firstLineChars="200"/>
        <w:textAlignment w:val="auto"/>
        <w:rPr>
          <w:rFonts w:hint="eastAsia"/>
          <w:color w:val="auto"/>
          <w:sz w:val="24"/>
          <w:highlight w:val="none"/>
        </w:rPr>
      </w:pPr>
      <w:r>
        <w:rPr>
          <w:rFonts w:hint="eastAsia"/>
          <w:color w:val="auto"/>
          <w:sz w:val="24"/>
          <w:highlight w:val="none"/>
        </w:rPr>
        <w:t>2 施工建造和运行阶段，安装废气防治设施并有效运行；废气污染物排放量、排放强度、排放浓度满足控制指标要求。</w:t>
      </w:r>
    </w:p>
    <w:p w14:paraId="05A27888">
      <w:pPr>
        <w:wordWrap/>
        <w:spacing w:line="360" w:lineRule="auto"/>
        <w:textAlignment w:val="auto"/>
        <w:rPr>
          <w:rFonts w:hint="eastAsia" w:eastAsia="宋体"/>
          <w:color w:val="auto"/>
          <w:sz w:val="24"/>
          <w:highlight w:val="yellow"/>
          <w:lang w:eastAsia="zh-CN"/>
        </w:rPr>
      </w:pPr>
      <w:r>
        <w:rPr>
          <w:rFonts w:hint="eastAsia"/>
          <w:color w:val="auto"/>
          <w:sz w:val="24"/>
          <w:highlight w:val="none"/>
        </w:rPr>
        <w:t>4.2.3 粉尘污染控制</w:t>
      </w:r>
      <w:r>
        <w:rPr>
          <w:rFonts w:hint="eastAsia"/>
          <w:color w:val="auto"/>
          <w:sz w:val="24"/>
          <w:highlight w:val="none"/>
          <w:lang w:val="en-US" w:eastAsia="zh-CN"/>
        </w:rPr>
        <w:t>和渣土管理</w:t>
      </w:r>
      <w:r>
        <w:rPr>
          <w:rFonts w:hint="eastAsia"/>
          <w:color w:val="auto"/>
          <w:sz w:val="24"/>
          <w:highlight w:val="none"/>
        </w:rPr>
        <w:t>，</w:t>
      </w:r>
      <w:r>
        <w:rPr>
          <w:rFonts w:hint="eastAsia"/>
          <w:color w:val="auto"/>
          <w:sz w:val="24"/>
          <w:highlight w:val="none"/>
          <w:lang w:eastAsia="zh-CN"/>
        </w:rPr>
        <w:t>应按下列</w:t>
      </w:r>
      <w:r>
        <w:rPr>
          <w:rFonts w:hint="eastAsia"/>
          <w:color w:val="auto"/>
          <w:sz w:val="24"/>
          <w:highlight w:val="none"/>
        </w:rPr>
        <w:t>内容分别评分：</w:t>
      </w:r>
    </w:p>
    <w:p w14:paraId="1FBBDB9C">
      <w:pPr>
        <w:wordWrap/>
        <w:spacing w:line="360" w:lineRule="auto"/>
        <w:ind w:firstLine="480" w:firstLineChars="200"/>
        <w:textAlignment w:val="auto"/>
        <w:rPr>
          <w:rFonts w:hint="eastAsia"/>
          <w:color w:val="auto"/>
          <w:sz w:val="24"/>
          <w:highlight w:val="none"/>
        </w:rPr>
      </w:pPr>
      <w:r>
        <w:rPr>
          <w:rFonts w:hint="eastAsia"/>
          <w:color w:val="auto"/>
          <w:sz w:val="24"/>
          <w:highlight w:val="none"/>
        </w:rPr>
        <w:t xml:space="preserve">1 </w:t>
      </w:r>
      <w:r>
        <w:rPr>
          <w:rFonts w:hint="eastAsia"/>
          <w:color w:val="auto"/>
          <w:sz w:val="24"/>
          <w:highlight w:val="none"/>
          <w:lang w:val="en-US" w:eastAsia="zh-CN"/>
        </w:rPr>
        <w:t>规划</w:t>
      </w:r>
      <w:r>
        <w:rPr>
          <w:rFonts w:hint="eastAsia"/>
          <w:color w:val="auto"/>
          <w:sz w:val="24"/>
          <w:highlight w:val="none"/>
        </w:rPr>
        <w:t xml:space="preserve">设计阶段，选用有效的降尘工艺技术或降尘措施，抑制粉尘污染； </w:t>
      </w:r>
    </w:p>
    <w:p w14:paraId="6F04B12F">
      <w:pPr>
        <w:wordWrap/>
        <w:spacing w:line="360" w:lineRule="auto"/>
        <w:ind w:firstLine="480" w:firstLineChars="200"/>
        <w:textAlignment w:val="auto"/>
        <w:rPr>
          <w:rFonts w:hint="eastAsia"/>
          <w:color w:val="auto"/>
          <w:sz w:val="24"/>
          <w:highlight w:val="none"/>
        </w:rPr>
      </w:pPr>
      <w:r>
        <w:rPr>
          <w:rFonts w:hint="eastAsia"/>
          <w:color w:val="auto"/>
          <w:sz w:val="24"/>
          <w:highlight w:val="none"/>
        </w:rPr>
        <w:t>2 施工建造</w:t>
      </w:r>
      <w:r>
        <w:rPr>
          <w:rFonts w:hint="eastAsia"/>
          <w:color w:val="auto"/>
          <w:sz w:val="24"/>
          <w:highlight w:val="none"/>
          <w:lang w:val="en-US" w:eastAsia="zh-CN"/>
        </w:rPr>
        <w:t>、运行阶段</w:t>
      </w:r>
      <w:r>
        <w:rPr>
          <w:rFonts w:hint="eastAsia"/>
          <w:color w:val="auto"/>
          <w:sz w:val="24"/>
          <w:highlight w:val="none"/>
        </w:rPr>
        <w:t>安装粉尘污染物减排装置</w:t>
      </w:r>
      <w:r>
        <w:rPr>
          <w:rFonts w:hint="eastAsia"/>
          <w:color w:val="auto"/>
          <w:sz w:val="24"/>
          <w:highlight w:val="none"/>
          <w:lang w:val="en-US" w:eastAsia="zh-CN"/>
        </w:rPr>
        <w:t>并有效运行</w:t>
      </w:r>
      <w:r>
        <w:rPr>
          <w:rFonts w:hint="eastAsia"/>
          <w:color w:val="auto"/>
          <w:sz w:val="24"/>
          <w:highlight w:val="none"/>
        </w:rPr>
        <w:t>；安装空气质量监测设备，并与环保部门联网；室外大气质量PM2.5、PM10不高于当地环保部门实时公布的数据。</w:t>
      </w:r>
    </w:p>
    <w:p w14:paraId="677BDCD9">
      <w:pPr>
        <w:wordWrap/>
        <w:spacing w:line="360" w:lineRule="auto"/>
        <w:ind w:firstLine="480" w:firstLineChars="200"/>
        <w:textAlignment w:val="auto"/>
        <w:rPr>
          <w:rFonts w:hint="default" w:eastAsia="宋体"/>
          <w:color w:val="auto"/>
          <w:sz w:val="24"/>
          <w:highlight w:val="none"/>
          <w:lang w:val="en-US" w:eastAsia="zh-CN"/>
        </w:rPr>
      </w:pPr>
      <w:r>
        <w:rPr>
          <w:rFonts w:hint="eastAsia"/>
          <w:color w:val="auto"/>
          <w:sz w:val="24"/>
          <w:highlight w:val="none"/>
          <w:lang w:val="en-US" w:eastAsia="zh-CN"/>
        </w:rPr>
        <w:t xml:space="preserve">3 </w:t>
      </w:r>
      <w:r>
        <w:rPr>
          <w:rFonts w:hint="eastAsia"/>
          <w:color w:val="auto"/>
          <w:sz w:val="24"/>
          <w:highlight w:val="none"/>
        </w:rPr>
        <w:t>施工建造</w:t>
      </w:r>
      <w:r>
        <w:rPr>
          <w:rFonts w:hint="eastAsia"/>
          <w:color w:val="auto"/>
          <w:sz w:val="24"/>
          <w:highlight w:val="none"/>
          <w:lang w:val="en-US" w:eastAsia="zh-CN"/>
        </w:rPr>
        <w:t>阶段，对</w:t>
      </w:r>
      <w:r>
        <w:rPr>
          <w:rFonts w:hint="eastAsia" w:ascii="Calibri" w:hAnsi="Calibri" w:eastAsia="宋体" w:cs="黑体"/>
          <w:color w:val="000000"/>
          <w:sz w:val="24"/>
          <w:highlight w:val="none"/>
          <w:lang w:val="en-US" w:eastAsia="zh-CN"/>
        </w:rPr>
        <w:t>渣土堆场等采取封闭式管理，覆盖防尘网或设置围挡或绿化，定期清扫和洒水抑尘；渣土运输车辆密闭覆盖，配置喷淋降尘设施，减少扬尘扩散。</w:t>
      </w:r>
    </w:p>
    <w:p w14:paraId="4058EB2E">
      <w:pPr>
        <w:wordWrap/>
        <w:spacing w:line="360" w:lineRule="auto"/>
        <w:textAlignment w:val="auto"/>
        <w:rPr>
          <w:rFonts w:hint="eastAsia"/>
          <w:color w:val="auto"/>
          <w:sz w:val="24"/>
          <w:highlight w:val="none"/>
        </w:rPr>
      </w:pPr>
      <w:r>
        <w:rPr>
          <w:rFonts w:hint="eastAsia"/>
          <w:color w:val="auto"/>
          <w:sz w:val="24"/>
          <w:highlight w:val="none"/>
        </w:rPr>
        <w:t>4.2.4 噪声污染控制，</w:t>
      </w:r>
      <w:r>
        <w:rPr>
          <w:rFonts w:hint="eastAsia"/>
          <w:color w:val="auto"/>
          <w:sz w:val="24"/>
          <w:highlight w:val="none"/>
          <w:lang w:eastAsia="zh-CN"/>
        </w:rPr>
        <w:t>应按下列</w:t>
      </w:r>
      <w:r>
        <w:rPr>
          <w:rFonts w:hint="eastAsia"/>
          <w:color w:val="auto"/>
          <w:sz w:val="24"/>
          <w:highlight w:val="none"/>
        </w:rPr>
        <w:t>内容分别评分：</w:t>
      </w:r>
    </w:p>
    <w:p w14:paraId="2AE45694">
      <w:pPr>
        <w:wordWrap/>
        <w:spacing w:line="360" w:lineRule="auto"/>
        <w:ind w:firstLine="480" w:firstLineChars="200"/>
        <w:textAlignment w:val="auto"/>
        <w:rPr>
          <w:rFonts w:hint="eastAsia" w:eastAsia="宋体"/>
          <w:color w:val="auto"/>
          <w:sz w:val="24"/>
          <w:highlight w:val="none"/>
          <w:lang w:eastAsia="zh-CN"/>
        </w:rPr>
      </w:pPr>
      <w:r>
        <w:rPr>
          <w:rFonts w:hint="eastAsia"/>
          <w:color w:val="auto"/>
          <w:sz w:val="24"/>
          <w:highlight w:val="none"/>
        </w:rPr>
        <w:t>1 规划设计阶段，高噪声污染的基础设施项目</w:t>
      </w:r>
      <w:r>
        <w:rPr>
          <w:rFonts w:hint="eastAsia"/>
          <w:color w:val="auto"/>
          <w:sz w:val="24"/>
          <w:highlight w:val="none"/>
          <w:lang w:val="en-US" w:eastAsia="zh-CN"/>
        </w:rPr>
        <w:t>应</w:t>
      </w:r>
      <w:r>
        <w:rPr>
          <w:rFonts w:hint="eastAsia"/>
          <w:color w:val="auto"/>
          <w:sz w:val="24"/>
          <w:highlight w:val="none"/>
        </w:rPr>
        <w:t>远离噪声敏感区；规划隔音措施消减噪声</w:t>
      </w:r>
      <w:r>
        <w:rPr>
          <w:rFonts w:hint="eastAsia"/>
          <w:color w:val="auto"/>
          <w:sz w:val="24"/>
          <w:highlight w:val="none"/>
          <w:lang w:eastAsia="zh-CN"/>
        </w:rPr>
        <w:t>；</w:t>
      </w:r>
    </w:p>
    <w:p w14:paraId="11A14BC5">
      <w:pPr>
        <w:spacing w:line="360" w:lineRule="auto"/>
        <w:ind w:firstLine="480" w:firstLineChars="200"/>
        <w:rPr>
          <w:rFonts w:hint="eastAsia"/>
          <w:color w:val="auto"/>
          <w:sz w:val="24"/>
          <w:highlight w:val="none"/>
          <w:lang w:eastAsia="zh-CN"/>
        </w:rPr>
      </w:pPr>
      <w:r>
        <w:rPr>
          <w:rFonts w:hint="eastAsia"/>
          <w:color w:val="auto"/>
          <w:sz w:val="24"/>
          <w:highlight w:val="none"/>
        </w:rPr>
        <w:t>2 施工建造</w:t>
      </w:r>
      <w:r>
        <w:rPr>
          <w:rFonts w:hint="eastAsia"/>
          <w:color w:val="auto"/>
          <w:sz w:val="24"/>
          <w:highlight w:val="none"/>
          <w:lang w:val="en-US" w:eastAsia="zh-CN"/>
        </w:rPr>
        <w:t>阶段</w:t>
      </w:r>
      <w:r>
        <w:rPr>
          <w:rFonts w:hint="eastAsia"/>
          <w:color w:val="auto"/>
          <w:sz w:val="24"/>
          <w:highlight w:val="none"/>
        </w:rPr>
        <w:t>尽量采用低噪声机械设备；严格控制含有噪声污染的作业时间，减少对周边环境、居民及公共机构的影响</w:t>
      </w:r>
      <w:r>
        <w:rPr>
          <w:rFonts w:hint="eastAsia"/>
          <w:color w:val="auto"/>
          <w:sz w:val="24"/>
          <w:highlight w:val="none"/>
          <w:lang w:eastAsia="zh-CN"/>
        </w:rPr>
        <w:t>；</w:t>
      </w:r>
    </w:p>
    <w:p w14:paraId="4A1CDE50">
      <w:pPr>
        <w:spacing w:line="360" w:lineRule="auto"/>
        <w:ind w:firstLine="480" w:firstLineChars="200"/>
        <w:rPr>
          <w:rFonts w:hint="eastAsia"/>
          <w:color w:val="auto"/>
          <w:sz w:val="24"/>
          <w:highlight w:val="none"/>
        </w:rPr>
      </w:pPr>
      <w:r>
        <w:rPr>
          <w:rFonts w:hint="eastAsia"/>
          <w:color w:val="auto"/>
          <w:sz w:val="24"/>
          <w:highlight w:val="none"/>
          <w:lang w:val="en-US" w:eastAsia="zh-CN"/>
        </w:rPr>
        <w:t>3 运行阶段噪音控制</w:t>
      </w:r>
      <w:r>
        <w:rPr>
          <w:rFonts w:hint="eastAsia" w:ascii="Calibri" w:hAnsi="Calibri" w:eastAsia="宋体" w:cs="黑体"/>
          <w:color w:val="auto"/>
          <w:sz w:val="24"/>
          <w:highlight w:val="none"/>
          <w:lang w:val="en-US" w:eastAsia="zh-CN"/>
        </w:rPr>
        <w:t>应符合</w:t>
      </w:r>
      <w:r>
        <w:rPr>
          <w:rFonts w:hint="eastAsia" w:cs="黑体"/>
          <w:color w:val="auto"/>
          <w:sz w:val="24"/>
          <w:highlight w:val="none"/>
          <w:lang w:val="en-US" w:eastAsia="zh-CN"/>
        </w:rPr>
        <w:t>现行国家标准</w:t>
      </w:r>
      <w:r>
        <w:rPr>
          <w:rFonts w:hint="eastAsia" w:ascii="Calibri" w:hAnsi="Calibri" w:eastAsia="宋体" w:cs="黑体"/>
          <w:color w:val="auto"/>
          <w:sz w:val="24"/>
          <w:highlight w:val="none"/>
          <w:lang w:val="en-US" w:eastAsia="zh-CN"/>
        </w:rPr>
        <w:t>《工业企业厂界环境噪声排放标准》GB12348</w:t>
      </w:r>
      <w:r>
        <w:rPr>
          <w:rFonts w:hint="eastAsia" w:cs="黑体"/>
          <w:color w:val="auto"/>
          <w:sz w:val="24"/>
          <w:highlight w:val="none"/>
          <w:lang w:val="en-US" w:eastAsia="zh-CN"/>
        </w:rPr>
        <w:t>、</w:t>
      </w:r>
      <w:r>
        <w:rPr>
          <w:rFonts w:hint="eastAsia" w:ascii="Calibri" w:hAnsi="Calibri" w:eastAsia="宋体" w:cs="黑体"/>
          <w:color w:val="auto"/>
          <w:sz w:val="24"/>
          <w:highlight w:val="none"/>
          <w:lang w:val="en-US" w:eastAsia="zh-CN"/>
        </w:rPr>
        <w:t>《声环境质量标准》GB3096的规定。</w:t>
      </w:r>
    </w:p>
    <w:p w14:paraId="01CAAE00">
      <w:pPr>
        <w:wordWrap/>
        <w:spacing w:line="360" w:lineRule="auto"/>
        <w:textAlignment w:val="auto"/>
        <w:rPr>
          <w:rFonts w:hint="eastAsia"/>
          <w:color w:val="auto"/>
          <w:sz w:val="24"/>
          <w:highlight w:val="none"/>
        </w:rPr>
      </w:pPr>
      <w:r>
        <w:rPr>
          <w:rFonts w:hint="eastAsia"/>
          <w:color w:val="auto"/>
          <w:sz w:val="24"/>
          <w:highlight w:val="none"/>
        </w:rPr>
        <w:t>4.2.5 光污染</w:t>
      </w:r>
      <w:r>
        <w:rPr>
          <w:rFonts w:hint="eastAsia"/>
          <w:color w:val="auto"/>
          <w:sz w:val="24"/>
          <w:highlight w:val="none"/>
          <w:lang w:val="en-US" w:eastAsia="zh-CN"/>
        </w:rPr>
        <w:t>控制</w:t>
      </w:r>
      <w:r>
        <w:rPr>
          <w:rFonts w:hint="eastAsia"/>
          <w:color w:val="auto"/>
          <w:sz w:val="24"/>
          <w:highlight w:val="none"/>
        </w:rPr>
        <w:t>，</w:t>
      </w:r>
      <w:r>
        <w:rPr>
          <w:rFonts w:hint="eastAsia"/>
          <w:color w:val="auto"/>
          <w:sz w:val="24"/>
          <w:highlight w:val="none"/>
          <w:lang w:eastAsia="zh-CN"/>
        </w:rPr>
        <w:t>应按下列</w:t>
      </w:r>
      <w:r>
        <w:rPr>
          <w:rFonts w:hint="eastAsia"/>
          <w:color w:val="auto"/>
          <w:sz w:val="24"/>
          <w:highlight w:val="none"/>
        </w:rPr>
        <w:t>内容分别评分：</w:t>
      </w:r>
    </w:p>
    <w:p w14:paraId="1E8E892C">
      <w:pPr>
        <w:wordWrap/>
        <w:spacing w:line="360" w:lineRule="auto"/>
        <w:ind w:firstLine="480" w:firstLineChars="200"/>
        <w:textAlignment w:val="auto"/>
        <w:rPr>
          <w:rFonts w:hint="eastAsia"/>
          <w:color w:val="auto"/>
          <w:sz w:val="24"/>
          <w:highlight w:val="none"/>
        </w:rPr>
      </w:pPr>
      <w:r>
        <w:rPr>
          <w:rFonts w:hint="eastAsia"/>
          <w:color w:val="auto"/>
          <w:sz w:val="24"/>
          <w:highlight w:val="none"/>
        </w:rPr>
        <w:t>1 规划设计阶段，充分考虑光对生物生态平衡的影响；对步道、游憩场、庭院、广场等室外活动设施，充分考虑缓解太阳辐射影响，路面和步行道太阳辐射反射系数不大于0.4；玻璃幕墙可见光反射比不大于 0.2；室外夜景照明设计</w:t>
      </w:r>
      <w:r>
        <w:rPr>
          <w:rFonts w:hint="eastAsia"/>
          <w:color w:val="auto"/>
          <w:sz w:val="24"/>
          <w:highlight w:val="none"/>
          <w:lang w:val="en-US" w:eastAsia="zh-CN"/>
        </w:rPr>
        <w:t>符合现行行业标准</w:t>
      </w:r>
      <w:r>
        <w:rPr>
          <w:rFonts w:hint="eastAsia"/>
          <w:color w:val="auto"/>
          <w:sz w:val="24"/>
          <w:highlight w:val="none"/>
        </w:rPr>
        <w:t>《城市夜景照明设计规范》JGJ/T 163关于光污染控制的</w:t>
      </w:r>
      <w:r>
        <w:rPr>
          <w:rFonts w:hint="eastAsia"/>
          <w:color w:val="auto"/>
          <w:sz w:val="24"/>
          <w:highlight w:val="none"/>
          <w:lang w:val="en-US" w:eastAsia="zh-CN"/>
        </w:rPr>
        <w:t>有关规定</w:t>
      </w:r>
      <w:r>
        <w:rPr>
          <w:rFonts w:hint="eastAsia"/>
          <w:color w:val="auto"/>
          <w:sz w:val="24"/>
          <w:highlight w:val="none"/>
        </w:rPr>
        <w:t xml:space="preserve">，并在室外照明设计图纸中体现； </w:t>
      </w:r>
    </w:p>
    <w:p w14:paraId="46BC5FA1">
      <w:pPr>
        <w:wordWrap/>
        <w:spacing w:line="360" w:lineRule="auto"/>
        <w:ind w:firstLine="480" w:firstLineChars="200"/>
        <w:textAlignment w:val="auto"/>
        <w:rPr>
          <w:rFonts w:hint="eastAsia" w:eastAsia="宋体"/>
          <w:color w:val="auto"/>
          <w:sz w:val="24"/>
          <w:highlight w:val="none"/>
          <w:lang w:eastAsia="zh-CN"/>
        </w:rPr>
      </w:pPr>
      <w:r>
        <w:rPr>
          <w:rFonts w:hint="eastAsia"/>
          <w:color w:val="auto"/>
          <w:sz w:val="24"/>
          <w:highlight w:val="none"/>
        </w:rPr>
        <w:t>2 施工建造和运行阶段，合理布置照明系统光源；对产生光污染的生产作业采取防治措施。</w:t>
      </w:r>
    </w:p>
    <w:p w14:paraId="5E3DC9AC">
      <w:pPr>
        <w:wordWrap/>
        <w:spacing w:line="360" w:lineRule="auto"/>
        <w:textAlignment w:val="auto"/>
        <w:rPr>
          <w:rFonts w:hint="eastAsia"/>
          <w:color w:val="auto"/>
          <w:sz w:val="24"/>
          <w:highlight w:val="none"/>
        </w:rPr>
      </w:pPr>
      <w:r>
        <w:rPr>
          <w:rFonts w:hint="eastAsia"/>
          <w:color w:val="auto"/>
          <w:sz w:val="24"/>
          <w:highlight w:val="none"/>
        </w:rPr>
        <w:t>4.2.6 固体废物</w:t>
      </w:r>
      <w:r>
        <w:rPr>
          <w:rFonts w:hint="eastAsia"/>
          <w:color w:val="auto"/>
          <w:sz w:val="24"/>
          <w:highlight w:val="none"/>
          <w:lang w:val="en-US" w:eastAsia="zh-CN"/>
        </w:rPr>
        <w:t>减量化</w:t>
      </w:r>
      <w:r>
        <w:rPr>
          <w:rFonts w:hint="eastAsia"/>
          <w:color w:val="auto"/>
          <w:sz w:val="24"/>
          <w:highlight w:val="none"/>
        </w:rPr>
        <w:t>，并进行资源化利用或无害化处理，</w:t>
      </w:r>
      <w:r>
        <w:rPr>
          <w:rFonts w:hint="eastAsia"/>
          <w:color w:val="auto"/>
          <w:sz w:val="24"/>
          <w:highlight w:val="none"/>
          <w:lang w:eastAsia="zh-CN"/>
        </w:rPr>
        <w:t>应按下列</w:t>
      </w:r>
      <w:r>
        <w:rPr>
          <w:rFonts w:hint="eastAsia"/>
          <w:color w:val="auto"/>
          <w:sz w:val="24"/>
          <w:highlight w:val="none"/>
        </w:rPr>
        <w:t>内容分别评分：</w:t>
      </w:r>
    </w:p>
    <w:p w14:paraId="014FDB23">
      <w:pPr>
        <w:wordWrap/>
        <w:spacing w:line="360" w:lineRule="auto"/>
        <w:ind w:firstLine="480" w:firstLineChars="200"/>
        <w:textAlignment w:val="auto"/>
        <w:rPr>
          <w:rFonts w:hint="eastAsia" w:eastAsia="宋体"/>
          <w:color w:val="auto"/>
          <w:sz w:val="24"/>
          <w:highlight w:val="none"/>
          <w:lang w:eastAsia="zh-CN"/>
        </w:rPr>
      </w:pPr>
      <w:r>
        <w:rPr>
          <w:rFonts w:hint="eastAsia"/>
          <w:color w:val="auto"/>
          <w:sz w:val="24"/>
          <w:highlight w:val="none"/>
        </w:rPr>
        <w:t>1 规划设计阶段，选用固体废物源头减量化设计方案；选用绿色、环保材料</w:t>
      </w:r>
      <w:r>
        <w:rPr>
          <w:rFonts w:hint="eastAsia"/>
          <w:color w:val="auto"/>
          <w:sz w:val="24"/>
          <w:highlight w:val="none"/>
          <w:lang w:eastAsia="zh-CN"/>
        </w:rPr>
        <w:t>；</w:t>
      </w:r>
    </w:p>
    <w:p w14:paraId="07864F96">
      <w:pPr>
        <w:wordWrap/>
        <w:spacing w:line="360" w:lineRule="auto"/>
        <w:ind w:firstLine="480" w:firstLineChars="200"/>
        <w:textAlignment w:val="auto"/>
        <w:rPr>
          <w:rFonts w:hint="eastAsia"/>
          <w:color w:val="auto"/>
          <w:sz w:val="24"/>
          <w:highlight w:val="none"/>
        </w:rPr>
      </w:pPr>
      <w:r>
        <w:rPr>
          <w:rFonts w:hint="eastAsia"/>
          <w:color w:val="auto"/>
          <w:sz w:val="24"/>
          <w:highlight w:val="none"/>
        </w:rPr>
        <w:t>2 施工建造和运行阶段，及时清理或处理生活垃圾和一般工业固体废物；分类统计固体废弃物的种类、来源、数量、流向、贮存、利用、处置和回收利用率等信息；妥善安置或无害化处理危险废物；对废物排放量、排放强度分类统计分析；废物循环</w:t>
      </w:r>
      <w:r>
        <w:rPr>
          <w:rFonts w:hint="eastAsia"/>
          <w:color w:val="auto"/>
          <w:sz w:val="24"/>
          <w:highlight w:val="none"/>
          <w:lang w:val="en-US" w:eastAsia="zh-CN"/>
        </w:rPr>
        <w:t>再</w:t>
      </w:r>
      <w:r>
        <w:rPr>
          <w:rFonts w:hint="eastAsia"/>
          <w:color w:val="auto"/>
          <w:sz w:val="24"/>
          <w:highlight w:val="none"/>
        </w:rPr>
        <w:t>利用。</w:t>
      </w:r>
    </w:p>
    <w:p w14:paraId="416AE8B4">
      <w:pPr>
        <w:wordWrap/>
        <w:spacing w:line="360" w:lineRule="auto"/>
        <w:textAlignment w:val="auto"/>
        <w:rPr>
          <w:rFonts w:hint="eastAsia"/>
          <w:color w:val="auto"/>
          <w:sz w:val="24"/>
          <w:highlight w:val="none"/>
        </w:rPr>
      </w:pPr>
      <w:r>
        <w:rPr>
          <w:rFonts w:hint="eastAsia"/>
          <w:color w:val="auto"/>
          <w:sz w:val="24"/>
          <w:highlight w:val="none"/>
        </w:rPr>
        <w:t>4.2.7 土壤污染</w:t>
      </w:r>
      <w:r>
        <w:rPr>
          <w:rFonts w:hint="eastAsia"/>
          <w:color w:val="auto"/>
          <w:sz w:val="24"/>
          <w:highlight w:val="none"/>
          <w:lang w:val="en-US" w:eastAsia="zh-CN"/>
        </w:rPr>
        <w:t>控制</w:t>
      </w:r>
      <w:r>
        <w:rPr>
          <w:rFonts w:hint="eastAsia"/>
          <w:color w:val="auto"/>
          <w:sz w:val="24"/>
          <w:highlight w:val="none"/>
        </w:rPr>
        <w:t>，</w:t>
      </w:r>
      <w:r>
        <w:rPr>
          <w:rFonts w:hint="eastAsia"/>
          <w:color w:val="auto"/>
          <w:sz w:val="24"/>
          <w:highlight w:val="none"/>
          <w:lang w:eastAsia="zh-CN"/>
        </w:rPr>
        <w:t>应按下列</w:t>
      </w:r>
      <w:r>
        <w:rPr>
          <w:rFonts w:hint="eastAsia"/>
          <w:color w:val="auto"/>
          <w:sz w:val="24"/>
          <w:highlight w:val="none"/>
        </w:rPr>
        <w:t>内容分别评分：</w:t>
      </w:r>
    </w:p>
    <w:p w14:paraId="3F662715">
      <w:pPr>
        <w:wordWrap/>
        <w:spacing w:line="360" w:lineRule="auto"/>
        <w:ind w:firstLine="480" w:firstLineChars="200"/>
        <w:textAlignment w:val="auto"/>
        <w:rPr>
          <w:rFonts w:hint="eastAsia"/>
          <w:color w:val="auto"/>
          <w:sz w:val="24"/>
          <w:highlight w:val="none"/>
        </w:rPr>
      </w:pPr>
      <w:r>
        <w:rPr>
          <w:rFonts w:hint="eastAsia"/>
          <w:color w:val="auto"/>
          <w:sz w:val="24"/>
          <w:highlight w:val="none"/>
        </w:rPr>
        <w:t>1 规划设计阶段，</w:t>
      </w:r>
      <w:r>
        <w:rPr>
          <w:rFonts w:hint="eastAsia"/>
          <w:color w:val="auto"/>
          <w:sz w:val="24"/>
          <w:highlight w:val="none"/>
          <w:lang w:val="en-US" w:eastAsia="zh-CN"/>
        </w:rPr>
        <w:t>符合现行国家标准</w:t>
      </w:r>
      <w:r>
        <w:rPr>
          <w:rFonts w:hint="eastAsia"/>
          <w:color w:val="auto"/>
          <w:sz w:val="24"/>
          <w:highlight w:val="none"/>
        </w:rPr>
        <w:t>《土壤环境质量建设用地土壤污染风险管控标准》GB36600</w:t>
      </w:r>
      <w:r>
        <w:rPr>
          <w:rFonts w:hint="eastAsia"/>
          <w:color w:val="auto"/>
          <w:sz w:val="24"/>
          <w:highlight w:val="none"/>
          <w:lang w:val="en-US" w:eastAsia="zh-CN"/>
        </w:rPr>
        <w:t>的有关规定，</w:t>
      </w:r>
      <w:r>
        <w:rPr>
          <w:rFonts w:hint="eastAsia"/>
          <w:color w:val="auto"/>
          <w:sz w:val="24"/>
          <w:highlight w:val="none"/>
        </w:rPr>
        <w:t>开展建设用地土壤污染物调查，评估现状土壤的物理、化学和水文功能，编制土壤保护方案</w:t>
      </w:r>
      <w:r>
        <w:rPr>
          <w:rFonts w:hint="eastAsia"/>
          <w:color w:val="auto"/>
          <w:sz w:val="24"/>
          <w:highlight w:val="none"/>
          <w:lang w:eastAsia="zh-CN"/>
        </w:rPr>
        <w:t>；</w:t>
      </w:r>
      <w:r>
        <w:rPr>
          <w:rFonts w:hint="eastAsia"/>
          <w:color w:val="auto"/>
          <w:sz w:val="24"/>
          <w:highlight w:val="none"/>
        </w:rPr>
        <w:t xml:space="preserve"> </w:t>
      </w:r>
    </w:p>
    <w:p w14:paraId="00DB6F2A">
      <w:pPr>
        <w:wordWrap/>
        <w:spacing w:line="360" w:lineRule="auto"/>
        <w:ind w:firstLine="480" w:firstLineChars="200"/>
        <w:textAlignment w:val="auto"/>
        <w:rPr>
          <w:rFonts w:hint="eastAsia"/>
          <w:color w:val="auto"/>
          <w:sz w:val="24"/>
          <w:highlight w:val="none"/>
        </w:rPr>
      </w:pPr>
      <w:r>
        <w:rPr>
          <w:rFonts w:hint="eastAsia"/>
          <w:color w:val="auto"/>
          <w:sz w:val="24"/>
          <w:highlight w:val="none"/>
        </w:rPr>
        <w:t>2 施工建造、对存在污染土壤的场地制定治理方案，排除场地内化学、生物或放射性污染；施工建造、运行阶段，制定防范土壤污染具体措施、以及防范突发污染事件的技术方案；定期监测土壤质量，采取防护措施避免或减少毒性物质、重金属及其它离子进入土壤；根据行业性质，采用生物修复，或采用物理及化学修复，减少土壤污染，恢复土壤的生态功能。</w:t>
      </w:r>
    </w:p>
    <w:p w14:paraId="4134E66D">
      <w:pPr>
        <w:wordWrap/>
        <w:spacing w:line="360" w:lineRule="auto"/>
        <w:ind w:firstLine="0" w:firstLineChars="0"/>
        <w:jc w:val="left"/>
        <w:textAlignment w:val="auto"/>
        <w:outlineLvl w:val="9"/>
        <w:rPr>
          <w:rFonts w:hint="eastAsia"/>
          <w:color w:val="auto"/>
          <w:sz w:val="24"/>
          <w:highlight w:val="none"/>
        </w:rPr>
      </w:pPr>
      <w:r>
        <w:rPr>
          <w:rFonts w:hint="eastAsia" w:ascii="Calibri" w:hAnsi="Calibri" w:eastAsia="宋体" w:cs="黑体"/>
          <w:color w:val="auto"/>
          <w:sz w:val="24"/>
          <w:highlight w:val="none"/>
          <w:lang w:val="en-US" w:eastAsia="zh-CN"/>
        </w:rPr>
        <w:t>4.2.8</w:t>
      </w:r>
      <w:r>
        <w:rPr>
          <w:rFonts w:hint="eastAsia" w:cs="黑体"/>
          <w:color w:val="auto"/>
          <w:sz w:val="24"/>
          <w:highlight w:val="none"/>
          <w:lang w:val="en-US" w:eastAsia="zh-CN"/>
        </w:rPr>
        <w:t xml:space="preserve"> </w:t>
      </w:r>
      <w:r>
        <w:rPr>
          <w:rFonts w:hint="eastAsia" w:ascii="Calibri" w:hAnsi="Calibri" w:eastAsia="宋体" w:cs="黑体"/>
          <w:color w:val="auto"/>
          <w:sz w:val="24"/>
          <w:highlight w:val="none"/>
          <w:lang w:val="en-US" w:eastAsia="zh-CN"/>
        </w:rPr>
        <w:t>在运行阶段水处理系统</w:t>
      </w:r>
      <w:r>
        <w:rPr>
          <w:rFonts w:hint="eastAsia" w:cs="黑体"/>
          <w:color w:val="auto"/>
          <w:sz w:val="24"/>
          <w:highlight w:val="none"/>
          <w:lang w:val="en-US" w:eastAsia="zh-CN"/>
        </w:rPr>
        <w:t>中，对</w:t>
      </w:r>
      <w:r>
        <w:rPr>
          <w:rFonts w:hint="eastAsia" w:ascii="Calibri" w:hAnsi="Calibri" w:eastAsia="宋体" w:cs="黑体"/>
          <w:color w:val="auto"/>
          <w:sz w:val="24"/>
          <w:highlight w:val="none"/>
          <w:lang w:val="en-US" w:eastAsia="zh-CN"/>
        </w:rPr>
        <w:t>使用药剂</w:t>
      </w:r>
      <w:r>
        <w:rPr>
          <w:rFonts w:hint="eastAsia" w:cs="黑体"/>
          <w:color w:val="auto"/>
          <w:sz w:val="24"/>
          <w:highlight w:val="none"/>
          <w:lang w:val="en-US" w:eastAsia="zh-CN"/>
        </w:rPr>
        <w:t>的管理应按下列</w:t>
      </w:r>
      <w:r>
        <w:rPr>
          <w:rFonts w:hint="eastAsia"/>
          <w:color w:val="auto"/>
          <w:sz w:val="24"/>
          <w:highlight w:val="none"/>
        </w:rPr>
        <w:t>内容分别评分：</w:t>
      </w:r>
    </w:p>
    <w:p w14:paraId="6C706B70">
      <w:pPr>
        <w:wordWrap/>
        <w:spacing w:line="360" w:lineRule="auto"/>
        <w:ind w:firstLine="480" w:firstLineChars="200"/>
        <w:jc w:val="left"/>
        <w:textAlignment w:val="auto"/>
        <w:outlineLvl w:val="9"/>
        <w:rPr>
          <w:rFonts w:hint="eastAsia" w:cs="黑体"/>
          <w:color w:val="auto"/>
          <w:sz w:val="24"/>
          <w:highlight w:val="none"/>
          <w:lang w:val="en-US" w:eastAsia="zh-CN"/>
        </w:rPr>
      </w:pPr>
      <w:r>
        <w:rPr>
          <w:rFonts w:hint="eastAsia"/>
          <w:color w:val="auto"/>
          <w:sz w:val="24"/>
          <w:highlight w:val="none"/>
          <w:lang w:val="en-US" w:eastAsia="zh-CN"/>
        </w:rPr>
        <w:t xml:space="preserve">1 </w:t>
      </w:r>
      <w:r>
        <w:rPr>
          <w:rFonts w:hint="eastAsia" w:ascii="Calibri" w:hAnsi="Calibri" w:eastAsia="宋体" w:cs="黑体"/>
          <w:color w:val="auto"/>
          <w:sz w:val="24"/>
          <w:highlight w:val="none"/>
          <w:lang w:val="en-US" w:eastAsia="zh-CN"/>
        </w:rPr>
        <w:t>在化学品仓库</w:t>
      </w:r>
      <w:r>
        <w:rPr>
          <w:rFonts w:hint="eastAsia" w:cs="黑体"/>
          <w:color w:val="auto"/>
          <w:sz w:val="24"/>
          <w:highlight w:val="none"/>
          <w:lang w:val="en-US" w:eastAsia="zh-CN"/>
        </w:rPr>
        <w:t>中</w:t>
      </w:r>
      <w:r>
        <w:rPr>
          <w:rFonts w:hint="eastAsia" w:ascii="Calibri" w:hAnsi="Calibri" w:eastAsia="宋体" w:cs="黑体"/>
          <w:color w:val="auto"/>
          <w:sz w:val="24"/>
          <w:highlight w:val="none"/>
          <w:lang w:val="en-US" w:eastAsia="zh-CN"/>
        </w:rPr>
        <w:t>贮存</w:t>
      </w:r>
      <w:r>
        <w:rPr>
          <w:rFonts w:hint="eastAsia" w:cs="黑体"/>
          <w:color w:val="auto"/>
          <w:sz w:val="24"/>
          <w:highlight w:val="none"/>
          <w:lang w:val="en-US" w:eastAsia="zh-CN"/>
        </w:rPr>
        <w:t>；</w:t>
      </w:r>
    </w:p>
    <w:p w14:paraId="28DC1DDE">
      <w:pPr>
        <w:wordWrap/>
        <w:spacing w:line="360" w:lineRule="auto"/>
        <w:ind w:firstLine="480" w:firstLineChars="200"/>
        <w:jc w:val="left"/>
        <w:textAlignment w:val="auto"/>
        <w:outlineLvl w:val="9"/>
        <w:rPr>
          <w:rFonts w:hint="eastAsia" w:ascii="Calibri" w:hAnsi="Calibri" w:eastAsia="宋体" w:cs="黑体"/>
          <w:color w:val="auto"/>
          <w:sz w:val="24"/>
          <w:highlight w:val="none"/>
          <w:lang w:val="en-US" w:eastAsia="zh-CN"/>
        </w:rPr>
      </w:pPr>
      <w:r>
        <w:rPr>
          <w:rFonts w:hint="eastAsia" w:cs="黑体"/>
          <w:color w:val="auto"/>
          <w:sz w:val="24"/>
          <w:highlight w:val="none"/>
          <w:lang w:val="en-US" w:eastAsia="zh-CN"/>
        </w:rPr>
        <w:t xml:space="preserve">2 </w:t>
      </w:r>
      <w:r>
        <w:rPr>
          <w:rFonts w:hint="eastAsia" w:ascii="Calibri" w:hAnsi="Calibri" w:eastAsia="宋体" w:cs="黑体"/>
          <w:color w:val="auto"/>
          <w:sz w:val="24"/>
          <w:highlight w:val="none"/>
          <w:lang w:val="en-US" w:eastAsia="zh-CN"/>
        </w:rPr>
        <w:t>药剂中属于危险化学品的应按危险化学品管理。</w:t>
      </w:r>
    </w:p>
    <w:p w14:paraId="1AC7B902">
      <w:pPr>
        <w:wordWrap/>
        <w:spacing w:line="360" w:lineRule="auto"/>
        <w:jc w:val="center"/>
        <w:textAlignment w:val="auto"/>
        <w:outlineLvl w:val="2"/>
        <w:rPr>
          <w:rFonts w:hint="eastAsia" w:ascii="仿宋" w:hAnsi="仿宋" w:eastAsia="仿宋" w:cs="仿宋"/>
          <w:color w:val="auto"/>
          <w:sz w:val="28"/>
          <w:szCs w:val="28"/>
          <w:lang w:val="en-US" w:eastAsia="zh-CN"/>
        </w:rPr>
      </w:pPr>
      <w:bookmarkStart w:id="139" w:name="_Toc11248"/>
      <w:bookmarkStart w:id="140" w:name="_Toc18233"/>
      <w:bookmarkStart w:id="141" w:name="_Toc18266"/>
      <w:bookmarkStart w:id="142" w:name="_Toc27128"/>
      <w:bookmarkStart w:id="143" w:name="_Toc27024"/>
      <w:r>
        <w:rPr>
          <w:rFonts w:hint="eastAsia" w:ascii="仿宋" w:hAnsi="仿宋" w:eastAsia="仿宋" w:cs="仿宋"/>
          <w:color w:val="auto"/>
          <w:sz w:val="28"/>
          <w:szCs w:val="28"/>
        </w:rPr>
        <w:t xml:space="preserve">Ⅱ </w:t>
      </w:r>
      <w:bookmarkStart w:id="144" w:name="OLE_LINK1"/>
      <w:r>
        <w:rPr>
          <w:rFonts w:hint="eastAsia" w:ascii="仿宋" w:hAnsi="仿宋" w:eastAsia="仿宋" w:cs="仿宋"/>
          <w:color w:val="auto"/>
          <w:sz w:val="28"/>
          <w:szCs w:val="28"/>
          <w:lang w:val="en-US" w:eastAsia="zh-CN"/>
        </w:rPr>
        <w:t>温室气体减排</w:t>
      </w:r>
      <w:bookmarkEnd w:id="139"/>
      <w:bookmarkEnd w:id="140"/>
      <w:bookmarkEnd w:id="141"/>
      <w:bookmarkEnd w:id="142"/>
      <w:bookmarkEnd w:id="143"/>
      <w:bookmarkEnd w:id="144"/>
    </w:p>
    <w:p w14:paraId="666BD44B">
      <w:pPr>
        <w:wordWrap/>
        <w:spacing w:line="360" w:lineRule="auto"/>
        <w:textAlignment w:val="auto"/>
        <w:rPr>
          <w:rFonts w:hint="eastAsia" w:eastAsia="宋体"/>
          <w:color w:val="auto"/>
          <w:sz w:val="24"/>
          <w:highlight w:val="yellow"/>
          <w:lang w:eastAsia="zh-CN"/>
        </w:rPr>
      </w:pPr>
      <w:r>
        <w:rPr>
          <w:rFonts w:hint="eastAsia"/>
          <w:color w:val="auto"/>
          <w:sz w:val="24"/>
          <w:highlight w:val="none"/>
        </w:rPr>
        <w:t>4.2.</w:t>
      </w:r>
      <w:r>
        <w:rPr>
          <w:rFonts w:hint="eastAsia"/>
          <w:color w:val="auto"/>
          <w:sz w:val="24"/>
          <w:highlight w:val="none"/>
          <w:lang w:val="en-US" w:eastAsia="zh-CN"/>
        </w:rPr>
        <w:t>9</w:t>
      </w:r>
      <w:r>
        <w:rPr>
          <w:rFonts w:hint="eastAsia"/>
          <w:color w:val="auto"/>
          <w:sz w:val="24"/>
          <w:highlight w:val="none"/>
        </w:rPr>
        <w:t xml:space="preserve"> 施工建造和运行阶段，项目温室气体排放管理</w:t>
      </w:r>
      <w:r>
        <w:rPr>
          <w:rFonts w:hint="eastAsia"/>
          <w:color w:val="auto"/>
          <w:sz w:val="24"/>
          <w:highlight w:val="none"/>
          <w:lang w:eastAsia="zh-CN"/>
        </w:rPr>
        <w:t>应按下列</w:t>
      </w:r>
      <w:r>
        <w:rPr>
          <w:rFonts w:hint="eastAsia"/>
          <w:color w:val="auto"/>
          <w:sz w:val="24"/>
          <w:highlight w:val="none"/>
        </w:rPr>
        <w:t>内容分别评分：</w:t>
      </w:r>
    </w:p>
    <w:p w14:paraId="5314A6A8">
      <w:pPr>
        <w:wordWrap/>
        <w:spacing w:line="360" w:lineRule="auto"/>
        <w:ind w:firstLine="480" w:firstLineChars="200"/>
        <w:textAlignment w:val="auto"/>
        <w:rPr>
          <w:rFonts w:hint="eastAsia"/>
          <w:color w:val="auto"/>
          <w:sz w:val="24"/>
          <w:highlight w:val="none"/>
        </w:rPr>
      </w:pPr>
      <w:r>
        <w:rPr>
          <w:rFonts w:hint="eastAsia"/>
          <w:color w:val="auto"/>
          <w:sz w:val="24"/>
          <w:highlight w:val="none"/>
        </w:rPr>
        <w:t>1 制定明确的碳排放控制指标</w:t>
      </w:r>
      <w:r>
        <w:rPr>
          <w:rFonts w:hint="eastAsia"/>
          <w:color w:val="auto"/>
          <w:sz w:val="24"/>
          <w:highlight w:val="none"/>
          <w:lang w:eastAsia="zh-CN"/>
        </w:rPr>
        <w:t>；</w:t>
      </w:r>
    </w:p>
    <w:p w14:paraId="29AE0276">
      <w:pPr>
        <w:wordWrap/>
        <w:spacing w:line="360" w:lineRule="auto"/>
        <w:ind w:firstLine="480" w:firstLineChars="200"/>
        <w:textAlignment w:val="auto"/>
        <w:rPr>
          <w:rFonts w:hint="eastAsia"/>
          <w:color w:val="auto"/>
          <w:sz w:val="24"/>
          <w:highlight w:val="none"/>
        </w:rPr>
      </w:pPr>
      <w:r>
        <w:rPr>
          <w:rFonts w:hint="eastAsia"/>
          <w:color w:val="auto"/>
          <w:sz w:val="24"/>
          <w:highlight w:val="none"/>
        </w:rPr>
        <w:t>2 建立项目的碳排放管理信息平台，对项目的温室气体排放进行分类监测、统计</w:t>
      </w:r>
      <w:r>
        <w:rPr>
          <w:rFonts w:hint="eastAsia"/>
          <w:color w:val="auto"/>
          <w:sz w:val="24"/>
          <w:highlight w:val="none"/>
          <w:lang w:val="en-US" w:eastAsia="zh-CN"/>
        </w:rPr>
        <w:t>与管理</w:t>
      </w:r>
      <w:r>
        <w:rPr>
          <w:rFonts w:hint="eastAsia"/>
          <w:color w:val="auto"/>
          <w:sz w:val="24"/>
          <w:highlight w:val="none"/>
        </w:rPr>
        <w:t>。</w:t>
      </w:r>
    </w:p>
    <w:p w14:paraId="0D7A3BE0">
      <w:pPr>
        <w:wordWrap/>
        <w:spacing w:line="360" w:lineRule="auto"/>
        <w:textAlignment w:val="auto"/>
        <w:rPr>
          <w:rFonts w:hint="eastAsia"/>
          <w:color w:val="auto"/>
          <w:sz w:val="24"/>
          <w:highlight w:val="yellow"/>
        </w:rPr>
      </w:pPr>
      <w:r>
        <w:rPr>
          <w:rFonts w:hint="eastAsia"/>
          <w:color w:val="auto"/>
          <w:sz w:val="24"/>
          <w:highlight w:val="none"/>
        </w:rPr>
        <w:t>4.2.</w:t>
      </w:r>
      <w:r>
        <w:rPr>
          <w:rFonts w:hint="eastAsia"/>
          <w:color w:val="auto"/>
          <w:sz w:val="24"/>
          <w:highlight w:val="none"/>
          <w:lang w:val="en-US" w:eastAsia="zh-CN"/>
        </w:rPr>
        <w:t>10</w:t>
      </w:r>
      <w:r>
        <w:rPr>
          <w:rFonts w:hint="eastAsia"/>
          <w:color w:val="auto"/>
          <w:sz w:val="24"/>
          <w:highlight w:val="none"/>
        </w:rPr>
        <w:t xml:space="preserve"> 温室气体排放</w:t>
      </w:r>
      <w:r>
        <w:rPr>
          <w:rFonts w:hint="eastAsia"/>
          <w:color w:val="auto"/>
          <w:sz w:val="24"/>
          <w:highlight w:val="none"/>
          <w:lang w:val="en-US" w:eastAsia="zh-CN"/>
        </w:rPr>
        <w:t>得到</w:t>
      </w:r>
      <w:r>
        <w:rPr>
          <w:rFonts w:hint="eastAsia"/>
          <w:color w:val="auto"/>
          <w:sz w:val="24"/>
          <w:highlight w:val="none"/>
        </w:rPr>
        <w:t>控制，降低碳排放强度，</w:t>
      </w:r>
      <w:r>
        <w:rPr>
          <w:rFonts w:hint="eastAsia"/>
          <w:color w:val="auto"/>
          <w:sz w:val="24"/>
          <w:highlight w:val="none"/>
          <w:lang w:eastAsia="zh-CN"/>
        </w:rPr>
        <w:t>应按下列</w:t>
      </w:r>
      <w:r>
        <w:rPr>
          <w:rFonts w:hint="eastAsia"/>
          <w:color w:val="auto"/>
          <w:sz w:val="24"/>
          <w:highlight w:val="none"/>
        </w:rPr>
        <w:t>内容分别评分：</w:t>
      </w:r>
    </w:p>
    <w:p w14:paraId="34DE7B5B">
      <w:pPr>
        <w:wordWrap/>
        <w:spacing w:line="360" w:lineRule="auto"/>
        <w:ind w:firstLine="480" w:firstLineChars="200"/>
        <w:textAlignment w:val="auto"/>
        <w:rPr>
          <w:rFonts w:hint="eastAsia" w:eastAsia="宋体"/>
          <w:color w:val="auto"/>
          <w:sz w:val="24"/>
          <w:highlight w:val="none"/>
          <w:lang w:eastAsia="zh-CN"/>
        </w:rPr>
      </w:pPr>
      <w:r>
        <w:rPr>
          <w:rFonts w:hint="eastAsia"/>
          <w:color w:val="auto"/>
          <w:sz w:val="24"/>
          <w:highlight w:val="none"/>
        </w:rPr>
        <w:t>1 规划设计阶段，在不影响安全、耐久前提下，优化</w:t>
      </w:r>
      <w:r>
        <w:rPr>
          <w:rFonts w:hint="eastAsia"/>
          <w:color w:val="auto"/>
          <w:sz w:val="24"/>
          <w:highlight w:val="none"/>
          <w:lang w:val="en-US" w:eastAsia="zh-CN"/>
        </w:rPr>
        <w:t>建筑材料和设备</w:t>
      </w:r>
      <w:r>
        <w:rPr>
          <w:rFonts w:hint="eastAsia"/>
          <w:color w:val="auto"/>
          <w:sz w:val="24"/>
          <w:highlight w:val="none"/>
        </w:rPr>
        <w:t>使用量，合理降低隐含碳排放量；规划和设计与项目建设、运</w:t>
      </w:r>
      <w:r>
        <w:rPr>
          <w:rFonts w:hint="eastAsia"/>
          <w:color w:val="auto"/>
          <w:sz w:val="24"/>
          <w:highlight w:val="none"/>
          <w:lang w:val="en-US" w:eastAsia="zh-CN"/>
        </w:rPr>
        <w:t>行</w:t>
      </w:r>
      <w:r>
        <w:rPr>
          <w:rFonts w:hint="eastAsia"/>
          <w:color w:val="auto"/>
          <w:sz w:val="24"/>
          <w:highlight w:val="none"/>
        </w:rPr>
        <w:t>有关的绿色物流方案</w:t>
      </w:r>
      <w:r>
        <w:rPr>
          <w:rFonts w:hint="eastAsia"/>
          <w:color w:val="auto"/>
          <w:sz w:val="24"/>
          <w:highlight w:val="none"/>
          <w:lang w:eastAsia="zh-CN"/>
        </w:rPr>
        <w:t>；</w:t>
      </w:r>
    </w:p>
    <w:p w14:paraId="7D875186">
      <w:pPr>
        <w:wordWrap/>
        <w:spacing w:line="360" w:lineRule="auto"/>
        <w:ind w:firstLine="480" w:firstLineChars="200"/>
        <w:textAlignment w:val="auto"/>
        <w:rPr>
          <w:rFonts w:hint="eastAsia"/>
          <w:color w:val="auto"/>
          <w:sz w:val="24"/>
          <w:highlight w:val="none"/>
          <w:lang w:eastAsia="zh-CN"/>
        </w:rPr>
      </w:pPr>
      <w:r>
        <w:rPr>
          <w:rFonts w:hint="eastAsia"/>
          <w:color w:val="auto"/>
          <w:sz w:val="24"/>
          <w:highlight w:val="none"/>
        </w:rPr>
        <w:t>2 施工建造和运行阶段，碳排放强度符合项目减排目标；采取减少碳排放量的工艺措施；执行符合绿色</w:t>
      </w:r>
      <w:r>
        <w:rPr>
          <w:rFonts w:hint="eastAsia"/>
          <w:color w:val="auto"/>
          <w:sz w:val="24"/>
          <w:highlight w:val="none"/>
          <w:lang w:val="en-US" w:eastAsia="zh-CN"/>
        </w:rPr>
        <w:t>要求</w:t>
      </w:r>
      <w:r>
        <w:rPr>
          <w:rFonts w:hint="eastAsia"/>
          <w:color w:val="auto"/>
          <w:sz w:val="24"/>
          <w:highlight w:val="none"/>
        </w:rPr>
        <w:t>的物流方案；投入减少碳排放量专项资金</w:t>
      </w:r>
      <w:r>
        <w:rPr>
          <w:rFonts w:hint="eastAsia"/>
          <w:color w:val="auto"/>
          <w:sz w:val="24"/>
          <w:highlight w:val="none"/>
          <w:lang w:eastAsia="zh-CN"/>
        </w:rPr>
        <w:t>；</w:t>
      </w:r>
    </w:p>
    <w:p w14:paraId="6B2ABACB">
      <w:pPr>
        <w:wordWrap/>
        <w:spacing w:line="360" w:lineRule="auto"/>
        <w:ind w:firstLine="480" w:firstLineChars="200"/>
        <w:textAlignment w:val="auto"/>
        <w:rPr>
          <w:rFonts w:hint="eastAsia" w:eastAsia="宋体"/>
          <w:color w:val="auto"/>
          <w:sz w:val="24"/>
          <w:highlight w:val="none"/>
          <w:lang w:eastAsia="zh-CN"/>
        </w:rPr>
      </w:pPr>
      <w:r>
        <w:rPr>
          <w:rFonts w:hint="eastAsia"/>
          <w:color w:val="auto"/>
          <w:sz w:val="24"/>
          <w:highlight w:val="none"/>
          <w:lang w:val="en-US" w:eastAsia="zh-CN"/>
        </w:rPr>
        <w:t>3 运行阶段，</w:t>
      </w:r>
      <w:r>
        <w:rPr>
          <w:rFonts w:hint="eastAsia"/>
          <w:color w:val="auto"/>
          <w:sz w:val="24"/>
          <w:highlight w:val="none"/>
        </w:rPr>
        <w:t>碳汇</w:t>
      </w:r>
      <w:r>
        <w:rPr>
          <w:rFonts w:hint="eastAsia"/>
          <w:color w:val="auto"/>
          <w:sz w:val="24"/>
          <w:highlight w:val="none"/>
          <w:lang w:val="en-US" w:eastAsia="zh-CN"/>
        </w:rPr>
        <w:t>量作为独立单元划分与核算：</w:t>
      </w:r>
      <w:r>
        <w:rPr>
          <w:rFonts w:hint="eastAsia"/>
          <w:color w:val="auto"/>
          <w:sz w:val="24"/>
          <w:highlight w:val="none"/>
        </w:rPr>
        <w:t>除用地红线边界内由于除绿化、植被等方式吸收的二氧化碳外，还包括其他能够捕获二氧化碳或以形成负碳的其他碳汇措施。</w:t>
      </w:r>
    </w:p>
    <w:p w14:paraId="0BFFDD13">
      <w:pPr>
        <w:wordWrap/>
        <w:spacing w:line="360" w:lineRule="auto"/>
        <w:jc w:val="center"/>
        <w:textAlignment w:val="auto"/>
        <w:outlineLvl w:val="2"/>
        <w:rPr>
          <w:rFonts w:ascii="仿宋" w:hAnsi="仿宋" w:eastAsia="仿宋" w:cs="仿宋"/>
          <w:color w:val="auto"/>
          <w:sz w:val="28"/>
          <w:szCs w:val="28"/>
        </w:rPr>
      </w:pPr>
      <w:bookmarkStart w:id="145" w:name="_Toc7962"/>
      <w:bookmarkStart w:id="146" w:name="_Toc13465"/>
      <w:bookmarkStart w:id="147" w:name="_Toc21707"/>
      <w:bookmarkStart w:id="148" w:name="_Toc15301"/>
      <w:bookmarkStart w:id="149" w:name="_Toc15659"/>
      <w:r>
        <w:rPr>
          <w:rFonts w:hint="eastAsia" w:ascii="仿宋" w:hAnsi="仿宋" w:eastAsia="仿宋" w:cs="仿宋"/>
          <w:color w:val="auto"/>
          <w:sz w:val="28"/>
          <w:szCs w:val="28"/>
        </w:rPr>
        <w:t>Ⅲ 生态系统保护</w:t>
      </w:r>
      <w:bookmarkEnd w:id="145"/>
      <w:bookmarkEnd w:id="146"/>
      <w:bookmarkEnd w:id="147"/>
      <w:bookmarkEnd w:id="148"/>
      <w:bookmarkEnd w:id="149"/>
    </w:p>
    <w:p w14:paraId="5F20B07F">
      <w:pPr>
        <w:wordWrap/>
        <w:spacing w:line="360" w:lineRule="auto"/>
        <w:textAlignment w:val="auto"/>
        <w:rPr>
          <w:rFonts w:hint="eastAsia"/>
          <w:color w:val="auto"/>
          <w:sz w:val="24"/>
        </w:rPr>
      </w:pPr>
      <w:r>
        <w:rPr>
          <w:rFonts w:hint="eastAsia"/>
          <w:color w:val="auto"/>
          <w:sz w:val="24"/>
        </w:rPr>
        <w:t>4.2.1</w:t>
      </w:r>
      <w:r>
        <w:rPr>
          <w:rFonts w:hint="eastAsia"/>
          <w:color w:val="auto"/>
          <w:sz w:val="24"/>
          <w:lang w:val="en-US" w:eastAsia="zh-CN"/>
        </w:rPr>
        <w:t>1</w:t>
      </w:r>
      <w:r>
        <w:rPr>
          <w:rFonts w:hint="eastAsia"/>
          <w:color w:val="auto"/>
          <w:sz w:val="24"/>
        </w:rPr>
        <w:t xml:space="preserve"> 生物多样性</w:t>
      </w:r>
      <w:r>
        <w:rPr>
          <w:rFonts w:hint="eastAsia"/>
          <w:color w:val="auto"/>
          <w:sz w:val="24"/>
          <w:lang w:val="en-US" w:eastAsia="zh-CN"/>
        </w:rPr>
        <w:t>得到</w:t>
      </w:r>
      <w:r>
        <w:rPr>
          <w:rFonts w:hint="eastAsia"/>
          <w:color w:val="auto"/>
          <w:sz w:val="24"/>
        </w:rPr>
        <w:t>保护，</w:t>
      </w:r>
      <w:r>
        <w:rPr>
          <w:rFonts w:hint="eastAsia"/>
          <w:color w:val="auto"/>
          <w:sz w:val="24"/>
          <w:lang w:eastAsia="zh-CN"/>
        </w:rPr>
        <w:t>应按下列</w:t>
      </w:r>
      <w:r>
        <w:rPr>
          <w:rFonts w:hint="eastAsia"/>
          <w:color w:val="auto"/>
          <w:sz w:val="24"/>
        </w:rPr>
        <w:t>内容分别评分：</w:t>
      </w:r>
    </w:p>
    <w:p w14:paraId="0DBBA47B">
      <w:pPr>
        <w:wordWrap/>
        <w:spacing w:line="360" w:lineRule="auto"/>
        <w:ind w:firstLine="480" w:firstLineChars="200"/>
        <w:textAlignment w:val="auto"/>
        <w:rPr>
          <w:rFonts w:hint="eastAsia"/>
          <w:color w:val="auto"/>
          <w:sz w:val="24"/>
        </w:rPr>
      </w:pPr>
      <w:r>
        <w:rPr>
          <w:rFonts w:hint="eastAsia"/>
          <w:color w:val="auto"/>
          <w:sz w:val="24"/>
        </w:rPr>
        <w:t>1 规划设计阶段，设计方案</w:t>
      </w:r>
      <w:r>
        <w:rPr>
          <w:rFonts w:hint="eastAsia"/>
          <w:color w:val="auto"/>
          <w:sz w:val="24"/>
          <w:lang w:val="en-US" w:eastAsia="zh-CN"/>
        </w:rPr>
        <w:t>有效</w:t>
      </w:r>
      <w:r>
        <w:rPr>
          <w:rFonts w:hint="eastAsia"/>
          <w:color w:val="auto"/>
          <w:sz w:val="24"/>
        </w:rPr>
        <w:t>降低项目对所在区域内重要物种生存、繁育的影响；</w:t>
      </w:r>
    </w:p>
    <w:p w14:paraId="06762726">
      <w:pPr>
        <w:wordWrap/>
        <w:spacing w:line="360" w:lineRule="auto"/>
        <w:ind w:firstLine="480" w:firstLineChars="200"/>
        <w:textAlignment w:val="auto"/>
        <w:rPr>
          <w:rFonts w:hint="eastAsia"/>
          <w:color w:val="auto"/>
          <w:sz w:val="24"/>
        </w:rPr>
      </w:pPr>
      <w:r>
        <w:rPr>
          <w:rFonts w:hint="eastAsia"/>
          <w:color w:val="auto"/>
          <w:sz w:val="24"/>
        </w:rPr>
        <w:t>2 施工建造和运行阶段，对场内濒危/特有物种、古树实施保留或异地迁移保护；采用建立生态廊道、圈地保护、建立缓冲区、设立隔离带等保护措施，减少对所在区内重要物种的影响；指定专门部门与人员对生态保护区内的物种进行备案，并对有可能出现的损害行为提出处理预案。</w:t>
      </w:r>
    </w:p>
    <w:p w14:paraId="54483439">
      <w:pPr>
        <w:wordWrap/>
        <w:spacing w:line="360" w:lineRule="auto"/>
        <w:textAlignment w:val="auto"/>
        <w:rPr>
          <w:rFonts w:hint="eastAsia" w:eastAsia="宋体"/>
          <w:color w:val="auto"/>
          <w:sz w:val="24"/>
          <w:lang w:eastAsia="zh-CN"/>
        </w:rPr>
      </w:pPr>
      <w:r>
        <w:rPr>
          <w:rFonts w:hint="eastAsia"/>
          <w:color w:val="auto"/>
          <w:sz w:val="24"/>
        </w:rPr>
        <w:t>4.2.1</w:t>
      </w:r>
      <w:r>
        <w:rPr>
          <w:rFonts w:hint="eastAsia"/>
          <w:color w:val="auto"/>
          <w:sz w:val="24"/>
          <w:lang w:val="en-US" w:eastAsia="zh-CN"/>
        </w:rPr>
        <w:t>2</w:t>
      </w:r>
      <w:r>
        <w:rPr>
          <w:rFonts w:hint="eastAsia"/>
          <w:color w:val="auto"/>
          <w:sz w:val="24"/>
        </w:rPr>
        <w:t xml:space="preserve"> 生态系统完整性</w:t>
      </w:r>
      <w:r>
        <w:rPr>
          <w:rFonts w:hint="eastAsia"/>
          <w:color w:val="auto"/>
          <w:sz w:val="24"/>
          <w:lang w:val="en-US" w:eastAsia="zh-CN"/>
        </w:rPr>
        <w:t>得到保护</w:t>
      </w:r>
      <w:r>
        <w:rPr>
          <w:rFonts w:hint="eastAsia"/>
          <w:color w:val="auto"/>
          <w:sz w:val="24"/>
        </w:rPr>
        <w:t>，</w:t>
      </w:r>
      <w:r>
        <w:rPr>
          <w:rFonts w:hint="eastAsia"/>
          <w:color w:val="auto"/>
          <w:sz w:val="24"/>
          <w:lang w:eastAsia="zh-CN"/>
        </w:rPr>
        <w:t>应按下列</w:t>
      </w:r>
      <w:r>
        <w:rPr>
          <w:rFonts w:hint="eastAsia"/>
          <w:color w:val="auto"/>
          <w:sz w:val="24"/>
        </w:rPr>
        <w:t xml:space="preserve">内容分别评分： </w:t>
      </w:r>
    </w:p>
    <w:p w14:paraId="0CE6053E">
      <w:pPr>
        <w:wordWrap/>
        <w:spacing w:line="360" w:lineRule="auto"/>
        <w:ind w:firstLine="480" w:firstLineChars="200"/>
        <w:textAlignment w:val="auto"/>
        <w:rPr>
          <w:rFonts w:hint="eastAsia" w:eastAsia="宋体"/>
          <w:color w:val="auto"/>
          <w:sz w:val="24"/>
          <w:lang w:eastAsia="zh-CN"/>
        </w:rPr>
      </w:pPr>
      <w:r>
        <w:rPr>
          <w:rFonts w:hint="eastAsia"/>
          <w:color w:val="auto"/>
          <w:sz w:val="24"/>
        </w:rPr>
        <w:t>1 规划设计阶段，设计方案有效回避生态功能敏感区域，如水源地、珍稀物种保护地等，避免对生态系统产生直接或间接不利影响；项目硬化地面中可渗透地面面积不</w:t>
      </w:r>
      <w:r>
        <w:rPr>
          <w:rFonts w:hint="eastAsia"/>
          <w:color w:val="auto"/>
          <w:sz w:val="24"/>
          <w:lang w:val="en-US" w:eastAsia="zh-CN"/>
        </w:rPr>
        <w:t>少</w:t>
      </w:r>
      <w:r>
        <w:rPr>
          <w:rFonts w:hint="eastAsia"/>
          <w:color w:val="auto"/>
          <w:sz w:val="24"/>
        </w:rPr>
        <w:t>于40%</w:t>
      </w:r>
      <w:r>
        <w:rPr>
          <w:rFonts w:hint="eastAsia"/>
          <w:color w:val="auto"/>
          <w:sz w:val="24"/>
          <w:lang w:eastAsia="zh-CN"/>
        </w:rPr>
        <w:t>；</w:t>
      </w:r>
    </w:p>
    <w:p w14:paraId="04AB3C12">
      <w:pPr>
        <w:wordWrap/>
        <w:spacing w:line="360" w:lineRule="auto"/>
        <w:ind w:firstLine="480" w:firstLineChars="200"/>
        <w:textAlignment w:val="auto"/>
        <w:rPr>
          <w:rFonts w:hint="eastAsia" w:eastAsia="宋体"/>
          <w:color w:val="auto"/>
          <w:sz w:val="24"/>
          <w:lang w:eastAsia="zh-CN"/>
        </w:rPr>
      </w:pPr>
      <w:r>
        <w:rPr>
          <w:rFonts w:hint="eastAsia"/>
          <w:color w:val="auto"/>
          <w:sz w:val="24"/>
        </w:rPr>
        <w:t>2 施工建造</w:t>
      </w:r>
      <w:r>
        <w:rPr>
          <w:rFonts w:hint="eastAsia"/>
          <w:color w:val="auto"/>
          <w:sz w:val="24"/>
          <w:lang w:val="en-US" w:eastAsia="zh-CN"/>
        </w:rPr>
        <w:t>阶段，</w:t>
      </w:r>
      <w:r>
        <w:rPr>
          <w:rFonts w:hint="eastAsia"/>
          <w:color w:val="auto"/>
          <w:sz w:val="24"/>
        </w:rPr>
        <w:t>取用水时应采取有效措施，减小含水层水位下降造成其他显著负面影响；合理安排施工期，雨季做好防排水工作，减少</w:t>
      </w:r>
      <w:r>
        <w:rPr>
          <w:rFonts w:hint="eastAsia"/>
          <w:color w:val="auto"/>
          <w:sz w:val="24"/>
          <w:lang w:val="en-US" w:eastAsia="zh-CN"/>
        </w:rPr>
        <w:t>因</w:t>
      </w:r>
      <w:r>
        <w:rPr>
          <w:rFonts w:hint="eastAsia"/>
          <w:color w:val="auto"/>
          <w:sz w:val="24"/>
        </w:rPr>
        <w:t>工程造成的水土流失；</w:t>
      </w:r>
      <w:r>
        <w:rPr>
          <w:rFonts w:hint="eastAsia"/>
          <w:color w:val="auto"/>
          <w:sz w:val="24"/>
          <w:lang w:val="en-US" w:eastAsia="zh-CN"/>
        </w:rPr>
        <w:t>采取专项保护措施，控制地面沉降，减少对周边植被及地下生态系统的扰动；</w:t>
      </w:r>
      <w:r>
        <w:rPr>
          <w:rFonts w:hint="eastAsia"/>
          <w:color w:val="auto"/>
          <w:sz w:val="24"/>
        </w:rPr>
        <w:t>恢复临时受损的排水、蓄水系统</w:t>
      </w:r>
      <w:r>
        <w:rPr>
          <w:rFonts w:hint="eastAsia"/>
          <w:color w:val="auto"/>
          <w:sz w:val="24"/>
          <w:lang w:eastAsia="zh-CN"/>
        </w:rPr>
        <w:t>；</w:t>
      </w:r>
    </w:p>
    <w:p w14:paraId="1EC3DFB8">
      <w:pPr>
        <w:wordWrap/>
        <w:spacing w:line="360" w:lineRule="auto"/>
        <w:ind w:firstLine="480" w:firstLineChars="200"/>
        <w:textAlignment w:val="auto"/>
        <w:rPr>
          <w:rFonts w:hint="eastAsia" w:ascii="Calibri" w:hAnsi="Calibri" w:eastAsia="宋体" w:cs="黑体"/>
          <w:color w:val="auto"/>
          <w:sz w:val="24"/>
          <w:lang w:val="en-US" w:eastAsia="zh-CN"/>
        </w:rPr>
      </w:pPr>
      <w:r>
        <w:rPr>
          <w:rFonts w:hint="eastAsia"/>
          <w:color w:val="auto"/>
          <w:sz w:val="24"/>
          <w:lang w:val="en-US" w:eastAsia="zh-CN"/>
        </w:rPr>
        <w:t>3 运行阶段，管道中高温水不能直接排入城市排水管线、雨水管线或河流等；管道的散热不应影响人员和环境的安全。</w:t>
      </w:r>
    </w:p>
    <w:p w14:paraId="5A07860A">
      <w:pPr>
        <w:wordWrap/>
        <w:spacing w:line="360" w:lineRule="auto"/>
        <w:textAlignment w:val="auto"/>
        <w:rPr>
          <w:rFonts w:hint="eastAsia"/>
          <w:color w:val="auto"/>
          <w:sz w:val="24"/>
        </w:rPr>
      </w:pPr>
      <w:r>
        <w:rPr>
          <w:rFonts w:hint="eastAsia"/>
          <w:color w:val="auto"/>
          <w:sz w:val="24"/>
        </w:rPr>
        <w:t>4.2.1</w:t>
      </w:r>
      <w:r>
        <w:rPr>
          <w:rFonts w:hint="eastAsia"/>
          <w:color w:val="auto"/>
          <w:sz w:val="24"/>
          <w:lang w:val="en-US" w:eastAsia="zh-CN"/>
        </w:rPr>
        <w:t xml:space="preserve">3 </w:t>
      </w:r>
      <w:r>
        <w:rPr>
          <w:rFonts w:hint="eastAsia"/>
          <w:color w:val="auto"/>
          <w:sz w:val="24"/>
        </w:rPr>
        <w:t>生态补偿和</w:t>
      </w:r>
      <w:r>
        <w:rPr>
          <w:rFonts w:hint="eastAsia"/>
          <w:color w:val="auto"/>
          <w:sz w:val="24"/>
          <w:lang w:val="en-US" w:eastAsia="zh-CN"/>
        </w:rPr>
        <w:t>修复</w:t>
      </w:r>
      <w:r>
        <w:rPr>
          <w:rFonts w:hint="eastAsia"/>
          <w:color w:val="auto"/>
          <w:sz w:val="24"/>
          <w:lang w:eastAsia="zh-CN"/>
        </w:rPr>
        <w:t>应按下列</w:t>
      </w:r>
      <w:r>
        <w:rPr>
          <w:rFonts w:hint="eastAsia"/>
          <w:color w:val="auto"/>
          <w:sz w:val="24"/>
        </w:rPr>
        <w:t>内容分别评分：</w:t>
      </w:r>
    </w:p>
    <w:p w14:paraId="5D2CE55B">
      <w:pPr>
        <w:wordWrap/>
        <w:spacing w:line="360" w:lineRule="auto"/>
        <w:ind w:firstLine="480" w:firstLineChars="200"/>
        <w:textAlignment w:val="auto"/>
        <w:rPr>
          <w:rFonts w:hint="eastAsia"/>
          <w:color w:val="auto"/>
          <w:sz w:val="24"/>
        </w:rPr>
      </w:pPr>
      <w:r>
        <w:rPr>
          <w:rFonts w:hint="eastAsia"/>
          <w:color w:val="auto"/>
          <w:sz w:val="24"/>
        </w:rPr>
        <w:t xml:space="preserve">1 规划设计阶段，制定生态补偿方案，对不可避免的生态环境损失和损害进行补偿； </w:t>
      </w:r>
    </w:p>
    <w:p w14:paraId="690CFCCF">
      <w:pPr>
        <w:wordWrap/>
        <w:spacing w:line="360" w:lineRule="auto"/>
        <w:ind w:firstLine="480" w:firstLineChars="200"/>
        <w:textAlignment w:val="auto"/>
        <w:rPr>
          <w:rFonts w:hint="eastAsia"/>
          <w:color w:val="auto"/>
          <w:sz w:val="24"/>
        </w:rPr>
      </w:pPr>
      <w:r>
        <w:rPr>
          <w:rFonts w:hint="eastAsia"/>
          <w:color w:val="auto"/>
          <w:sz w:val="24"/>
        </w:rPr>
        <w:t>2 施工建造和运行阶段，对受到污染、破坏的生态系统及时进行恢复和修复；定期评估项目对周边物种多样性、水土流失的影响，并根据评估结果调整和完善相关措施分。</w:t>
      </w:r>
    </w:p>
    <w:p w14:paraId="577419EE">
      <w:pPr>
        <w:wordWrap/>
        <w:spacing w:line="360" w:lineRule="auto"/>
        <w:ind w:firstLine="480" w:firstLineChars="200"/>
        <w:textAlignment w:val="auto"/>
        <w:rPr>
          <w:rFonts w:hint="eastAsia"/>
          <w:color w:val="auto"/>
          <w:sz w:val="24"/>
        </w:rPr>
        <w:sectPr>
          <w:pgSz w:w="11906" w:h="16838"/>
          <w:pgMar w:top="1440" w:right="1800" w:bottom="1440" w:left="1800" w:header="851" w:footer="992" w:gutter="0"/>
          <w:pgNumType w:fmt="decimal"/>
          <w:cols w:space="720" w:num="1"/>
          <w:docGrid w:type="lines" w:linePitch="312" w:charSpace="0"/>
        </w:sectPr>
      </w:pPr>
    </w:p>
    <w:p w14:paraId="105E2196">
      <w:pPr>
        <w:wordWrap/>
        <w:spacing w:line="360" w:lineRule="auto"/>
        <w:jc w:val="center"/>
        <w:textAlignment w:val="auto"/>
        <w:outlineLvl w:val="0"/>
        <w:rPr>
          <w:rFonts w:ascii="宋体" w:hAnsi="宋体" w:eastAsia="宋体" w:cs="宋体"/>
          <w:b/>
          <w:bCs/>
          <w:color w:val="auto"/>
          <w:sz w:val="30"/>
          <w:szCs w:val="30"/>
        </w:rPr>
      </w:pPr>
      <w:bookmarkStart w:id="150" w:name="_Toc14536"/>
      <w:bookmarkStart w:id="151" w:name="_Toc26150"/>
      <w:bookmarkStart w:id="152" w:name="_Toc20861"/>
      <w:bookmarkStart w:id="153" w:name="_Toc21759"/>
      <w:bookmarkStart w:id="154" w:name="_Toc12573"/>
      <w:bookmarkStart w:id="155" w:name="_Toc1210"/>
      <w:bookmarkStart w:id="156" w:name="_Toc19822"/>
      <w:r>
        <w:rPr>
          <w:rFonts w:hint="eastAsia" w:ascii="宋体" w:hAnsi="宋体" w:eastAsia="宋体" w:cs="宋体"/>
          <w:b/>
          <w:bCs/>
          <w:color w:val="auto"/>
          <w:sz w:val="30"/>
          <w:szCs w:val="30"/>
        </w:rPr>
        <w:t>5</w:t>
      </w:r>
      <w:r>
        <w:rPr>
          <w:rFonts w:ascii="宋体" w:hAnsi="宋体" w:eastAsia="宋体" w:cs="宋体"/>
          <w:b/>
          <w:bCs/>
          <w:color w:val="auto"/>
          <w:sz w:val="30"/>
          <w:szCs w:val="30"/>
        </w:rPr>
        <w:t xml:space="preserve"> </w:t>
      </w:r>
      <w:r>
        <w:rPr>
          <w:rFonts w:hint="eastAsia" w:ascii="宋体" w:hAnsi="宋体" w:eastAsia="宋体" w:cs="宋体"/>
          <w:b/>
          <w:bCs/>
          <w:color w:val="auto"/>
          <w:sz w:val="30"/>
          <w:szCs w:val="30"/>
        </w:rPr>
        <w:t>资源可持续</w:t>
      </w:r>
      <w:bookmarkEnd w:id="150"/>
      <w:bookmarkEnd w:id="151"/>
      <w:bookmarkEnd w:id="152"/>
      <w:bookmarkEnd w:id="153"/>
      <w:bookmarkEnd w:id="154"/>
      <w:bookmarkEnd w:id="155"/>
      <w:bookmarkEnd w:id="156"/>
    </w:p>
    <w:p w14:paraId="2F308CF0">
      <w:pPr>
        <w:wordWrap/>
        <w:spacing w:line="360" w:lineRule="auto"/>
        <w:jc w:val="center"/>
        <w:textAlignment w:val="auto"/>
        <w:outlineLvl w:val="1"/>
        <w:rPr>
          <w:rFonts w:ascii="黑体" w:hAnsi="黑体" w:eastAsia="黑体" w:cs="黑体"/>
          <w:b/>
          <w:bCs/>
          <w:color w:val="auto"/>
          <w:sz w:val="28"/>
          <w:szCs w:val="28"/>
        </w:rPr>
      </w:pPr>
      <w:bookmarkStart w:id="157" w:name="_Toc3821"/>
      <w:bookmarkStart w:id="158" w:name="_Toc18715"/>
      <w:bookmarkStart w:id="159" w:name="_Toc15101"/>
      <w:bookmarkStart w:id="160" w:name="_Toc1065"/>
      <w:bookmarkStart w:id="161" w:name="_Toc14120"/>
      <w:bookmarkStart w:id="162" w:name="_Toc25112"/>
      <w:bookmarkStart w:id="163" w:name="_Toc29378"/>
      <w:r>
        <w:rPr>
          <w:rFonts w:hint="eastAsia" w:ascii="黑体" w:hAnsi="黑体" w:eastAsia="黑体" w:cs="黑体"/>
          <w:b/>
          <w:bCs/>
          <w:color w:val="auto"/>
          <w:sz w:val="28"/>
          <w:szCs w:val="28"/>
        </w:rPr>
        <w:t>5.1 控制项</w:t>
      </w:r>
      <w:bookmarkEnd w:id="157"/>
      <w:bookmarkEnd w:id="158"/>
      <w:bookmarkEnd w:id="159"/>
      <w:bookmarkEnd w:id="160"/>
      <w:bookmarkEnd w:id="161"/>
      <w:bookmarkEnd w:id="162"/>
      <w:bookmarkEnd w:id="163"/>
    </w:p>
    <w:p w14:paraId="459A9E03">
      <w:pPr>
        <w:wordWrap/>
        <w:spacing w:line="360" w:lineRule="auto"/>
        <w:ind w:firstLine="0" w:firstLineChars="0"/>
        <w:textAlignment w:val="auto"/>
        <w:rPr>
          <w:rFonts w:hint="eastAsia"/>
          <w:color w:val="auto"/>
          <w:sz w:val="24"/>
        </w:rPr>
      </w:pPr>
      <w:r>
        <w:rPr>
          <w:rFonts w:hint="eastAsia"/>
          <w:color w:val="auto"/>
          <w:sz w:val="24"/>
        </w:rPr>
        <w:t>5.1.1 企业应根据当地气候和自然资源条件以及项目自身特点，依据项目可持续实施计划</w:t>
      </w:r>
      <w:r>
        <w:rPr>
          <w:rFonts w:hint="eastAsia"/>
          <w:color w:val="auto"/>
          <w:sz w:val="24"/>
          <w:lang w:eastAsia="zh-CN"/>
        </w:rPr>
        <w:t>，</w:t>
      </w:r>
      <w:r>
        <w:rPr>
          <w:rFonts w:hint="eastAsia"/>
          <w:color w:val="auto"/>
          <w:sz w:val="24"/>
        </w:rPr>
        <w:t>制定项目全周期内不同阶段的材料资源、能源和水资源</w:t>
      </w:r>
      <w:r>
        <w:rPr>
          <w:rFonts w:hint="eastAsia"/>
          <w:color w:val="auto"/>
          <w:sz w:val="24"/>
          <w:highlight w:val="none"/>
          <w:lang w:val="en-US" w:eastAsia="zh-CN"/>
        </w:rPr>
        <w:t>消耗与</w:t>
      </w:r>
      <w:r>
        <w:rPr>
          <w:rFonts w:hint="eastAsia"/>
          <w:color w:val="auto"/>
          <w:sz w:val="24"/>
        </w:rPr>
        <w:t>节约以及有效利用目标，并按照</w:t>
      </w:r>
      <w:r>
        <w:rPr>
          <w:rFonts w:hint="eastAsia"/>
          <w:color w:val="auto"/>
          <w:sz w:val="24"/>
          <w:lang w:val="en-US" w:eastAsia="zh-CN"/>
        </w:rPr>
        <w:t>控制单元</w:t>
      </w:r>
      <w:r>
        <w:rPr>
          <w:rFonts w:hint="eastAsia"/>
          <w:color w:val="auto"/>
          <w:sz w:val="24"/>
        </w:rPr>
        <w:t>进行分解。</w:t>
      </w:r>
    </w:p>
    <w:p w14:paraId="0F703DB1">
      <w:pPr>
        <w:wordWrap/>
        <w:spacing w:line="360" w:lineRule="auto"/>
        <w:ind w:firstLine="0" w:firstLineChars="0"/>
        <w:textAlignment w:val="auto"/>
        <w:rPr>
          <w:rFonts w:hint="eastAsia"/>
          <w:color w:val="auto"/>
          <w:sz w:val="24"/>
        </w:rPr>
      </w:pPr>
      <w:r>
        <w:rPr>
          <w:rFonts w:hint="eastAsia"/>
          <w:color w:val="auto"/>
          <w:sz w:val="24"/>
        </w:rPr>
        <w:t>5.1.2 企业应注重</w:t>
      </w:r>
      <w:r>
        <w:rPr>
          <w:rFonts w:hint="eastAsia"/>
          <w:color w:val="auto"/>
          <w:sz w:val="24"/>
          <w:lang w:val="en-US" w:eastAsia="zh-CN"/>
        </w:rPr>
        <w:t>项目</w:t>
      </w:r>
      <w:r>
        <w:rPr>
          <w:rFonts w:hint="eastAsia"/>
          <w:color w:val="auto"/>
          <w:sz w:val="24"/>
        </w:rPr>
        <w:t>资源可持续利用和保护，采取有效</w:t>
      </w:r>
      <w:r>
        <w:rPr>
          <w:rFonts w:hint="eastAsia"/>
          <w:color w:val="auto"/>
          <w:sz w:val="24"/>
          <w:lang w:val="en-US" w:eastAsia="zh-CN"/>
        </w:rPr>
        <w:t>管理</w:t>
      </w:r>
      <w:r>
        <w:rPr>
          <w:rFonts w:hint="eastAsia"/>
          <w:color w:val="auto"/>
          <w:sz w:val="24"/>
        </w:rPr>
        <w:t>措施</w:t>
      </w:r>
      <w:r>
        <w:rPr>
          <w:rFonts w:hint="eastAsia"/>
          <w:color w:val="auto"/>
          <w:sz w:val="24"/>
          <w:lang w:val="en-US" w:eastAsia="zh-CN"/>
        </w:rPr>
        <w:t>与技术措施</w:t>
      </w:r>
      <w:r>
        <w:rPr>
          <w:rFonts w:hint="eastAsia"/>
          <w:color w:val="auto"/>
          <w:sz w:val="24"/>
        </w:rPr>
        <w:t>，减少自然资源（材料、能源和水</w:t>
      </w:r>
      <w:r>
        <w:rPr>
          <w:rFonts w:hint="eastAsia"/>
          <w:color w:val="auto"/>
          <w:sz w:val="24"/>
          <w:lang w:val="en-US" w:eastAsia="zh-CN"/>
        </w:rPr>
        <w:t>等</w:t>
      </w:r>
      <w:r>
        <w:rPr>
          <w:rFonts w:hint="eastAsia"/>
          <w:color w:val="auto"/>
          <w:sz w:val="24"/>
        </w:rPr>
        <w:t>）的消耗。</w:t>
      </w:r>
    </w:p>
    <w:p w14:paraId="7116ABC4">
      <w:pPr>
        <w:wordWrap/>
        <w:spacing w:line="360" w:lineRule="auto"/>
        <w:ind w:firstLine="0" w:firstLineChars="0"/>
        <w:textAlignment w:val="auto"/>
        <w:rPr>
          <w:rFonts w:hint="eastAsia"/>
          <w:color w:val="auto"/>
          <w:sz w:val="24"/>
        </w:rPr>
      </w:pPr>
      <w:r>
        <w:rPr>
          <w:rFonts w:hint="eastAsia"/>
          <w:color w:val="auto"/>
          <w:sz w:val="24"/>
        </w:rPr>
        <w:t xml:space="preserve">5.1.3 </w:t>
      </w:r>
      <w:r>
        <w:rPr>
          <w:rFonts w:hint="eastAsia"/>
          <w:color w:val="auto"/>
          <w:sz w:val="24"/>
          <w:lang w:val="en-US" w:eastAsia="zh-CN"/>
        </w:rPr>
        <w:t>企业</w:t>
      </w:r>
      <w:r>
        <w:rPr>
          <w:rFonts w:hint="eastAsia"/>
          <w:color w:val="auto"/>
          <w:sz w:val="24"/>
        </w:rPr>
        <w:t>应具有完善的</w:t>
      </w:r>
      <w:r>
        <w:rPr>
          <w:rFonts w:hint="eastAsia"/>
          <w:color w:val="auto"/>
          <w:sz w:val="24"/>
          <w:lang w:val="en-US" w:eastAsia="zh-CN"/>
        </w:rPr>
        <w:t>项目</w:t>
      </w:r>
      <w:r>
        <w:rPr>
          <w:rFonts w:hint="eastAsia"/>
          <w:color w:val="auto"/>
          <w:sz w:val="24"/>
        </w:rPr>
        <w:t>水资源、材料资源循环使用计划和可再生能源使用计划。</w:t>
      </w:r>
    </w:p>
    <w:p w14:paraId="6E958E9A">
      <w:pPr>
        <w:wordWrap/>
        <w:spacing w:line="360" w:lineRule="auto"/>
        <w:ind w:firstLine="0" w:firstLineChars="0"/>
        <w:textAlignment w:val="auto"/>
        <w:rPr>
          <w:rFonts w:hint="eastAsia"/>
          <w:color w:val="auto"/>
          <w:sz w:val="24"/>
        </w:rPr>
      </w:pPr>
      <w:r>
        <w:rPr>
          <w:rFonts w:hint="eastAsia"/>
          <w:color w:val="auto"/>
          <w:sz w:val="24"/>
        </w:rPr>
        <w:t xml:space="preserve">5.1.4 </w:t>
      </w:r>
      <w:r>
        <w:rPr>
          <w:rFonts w:hint="eastAsia"/>
          <w:color w:val="auto"/>
          <w:sz w:val="24"/>
          <w:lang w:val="en-US" w:eastAsia="zh-CN"/>
        </w:rPr>
        <w:t>企业应</w:t>
      </w:r>
      <w:r>
        <w:rPr>
          <w:rFonts w:hint="eastAsia"/>
          <w:color w:val="auto"/>
          <w:sz w:val="24"/>
        </w:rPr>
        <w:t>通过数字化管理平台，对</w:t>
      </w:r>
      <w:r>
        <w:rPr>
          <w:rFonts w:hint="eastAsia"/>
          <w:color w:val="auto"/>
          <w:sz w:val="24"/>
          <w:lang w:val="en-US" w:eastAsia="zh-CN"/>
        </w:rPr>
        <w:t>项目</w:t>
      </w:r>
      <w:r>
        <w:rPr>
          <w:rFonts w:hint="eastAsia"/>
          <w:color w:val="auto"/>
          <w:sz w:val="24"/>
        </w:rPr>
        <w:t>各种能源、资源的消耗和循环利用情况进行计量、监测和统计分析。</w:t>
      </w:r>
    </w:p>
    <w:p w14:paraId="0FD5890F">
      <w:pPr>
        <w:wordWrap/>
        <w:spacing w:line="360" w:lineRule="auto"/>
        <w:ind w:firstLine="0" w:firstLineChars="0"/>
        <w:textAlignment w:val="auto"/>
        <w:rPr>
          <w:rFonts w:hint="eastAsia"/>
          <w:color w:val="auto"/>
          <w:sz w:val="24"/>
        </w:rPr>
      </w:pPr>
      <w:r>
        <w:rPr>
          <w:rFonts w:hint="eastAsia"/>
          <w:color w:val="auto"/>
          <w:sz w:val="24"/>
        </w:rPr>
        <w:t>5.1.5 项目建设手续</w:t>
      </w:r>
      <w:r>
        <w:rPr>
          <w:rFonts w:hint="eastAsia"/>
          <w:color w:val="auto"/>
          <w:sz w:val="24"/>
          <w:lang w:val="en-US" w:eastAsia="zh-CN"/>
        </w:rPr>
        <w:t>应</w:t>
      </w:r>
      <w:r>
        <w:rPr>
          <w:rFonts w:hint="eastAsia"/>
          <w:color w:val="auto"/>
          <w:sz w:val="24"/>
        </w:rPr>
        <w:t>合法合规。</w:t>
      </w:r>
    </w:p>
    <w:p w14:paraId="238B33A7">
      <w:pPr>
        <w:spacing w:line="360" w:lineRule="auto"/>
        <w:rPr>
          <w:rFonts w:hint="eastAsia" w:eastAsia="宋体"/>
          <w:color w:val="auto"/>
          <w:sz w:val="24"/>
          <w:lang w:val="en-US" w:eastAsia="zh-CN"/>
        </w:rPr>
      </w:pPr>
      <w:r>
        <w:rPr>
          <w:rFonts w:hint="eastAsia"/>
          <w:color w:val="auto"/>
          <w:sz w:val="24"/>
        </w:rPr>
        <w:t>5.1.</w:t>
      </w:r>
      <w:r>
        <w:rPr>
          <w:rFonts w:hint="eastAsia"/>
          <w:color w:val="auto"/>
          <w:sz w:val="24"/>
          <w:lang w:val="en-US" w:eastAsia="zh-CN"/>
        </w:rPr>
        <w:t>6</w:t>
      </w:r>
      <w:r>
        <w:rPr>
          <w:rFonts w:hint="eastAsia"/>
          <w:color w:val="auto"/>
          <w:sz w:val="24"/>
        </w:rPr>
        <w:t xml:space="preserve"> </w:t>
      </w:r>
      <w:r>
        <w:rPr>
          <w:rFonts w:hint="eastAsia"/>
          <w:color w:val="auto"/>
          <w:sz w:val="24"/>
          <w:lang w:val="en-US" w:eastAsia="zh-CN"/>
        </w:rPr>
        <w:t>应合理利用空间，有效利用土地资源。</w:t>
      </w:r>
    </w:p>
    <w:p w14:paraId="26D303EC">
      <w:pPr>
        <w:wordWrap/>
        <w:spacing w:line="360" w:lineRule="auto"/>
        <w:jc w:val="center"/>
        <w:textAlignment w:val="auto"/>
        <w:outlineLvl w:val="1"/>
        <w:rPr>
          <w:rFonts w:ascii="黑体" w:hAnsi="黑体" w:eastAsia="黑体" w:cs="黑体"/>
          <w:b/>
          <w:bCs/>
          <w:color w:val="auto"/>
          <w:sz w:val="28"/>
          <w:szCs w:val="28"/>
        </w:rPr>
      </w:pPr>
      <w:bookmarkStart w:id="164" w:name="_Toc11846"/>
      <w:bookmarkStart w:id="165" w:name="_Toc11002"/>
      <w:bookmarkStart w:id="166" w:name="_Toc29469"/>
      <w:bookmarkStart w:id="167" w:name="_Toc27544"/>
      <w:bookmarkStart w:id="168" w:name="_Toc5209"/>
      <w:bookmarkStart w:id="169" w:name="_Toc4251"/>
      <w:bookmarkStart w:id="170" w:name="_Toc4188"/>
      <w:r>
        <w:rPr>
          <w:rFonts w:hint="eastAsia" w:ascii="黑体" w:hAnsi="黑体" w:eastAsia="黑体" w:cs="黑体"/>
          <w:b/>
          <w:bCs/>
          <w:color w:val="auto"/>
          <w:sz w:val="28"/>
          <w:szCs w:val="28"/>
        </w:rPr>
        <w:t>5.2 评分项</w:t>
      </w:r>
      <w:bookmarkEnd w:id="164"/>
      <w:bookmarkEnd w:id="165"/>
      <w:bookmarkEnd w:id="166"/>
      <w:bookmarkEnd w:id="167"/>
      <w:bookmarkEnd w:id="168"/>
      <w:bookmarkEnd w:id="169"/>
      <w:bookmarkEnd w:id="170"/>
    </w:p>
    <w:p w14:paraId="4423D7F8">
      <w:pPr>
        <w:wordWrap/>
        <w:spacing w:line="360" w:lineRule="auto"/>
        <w:jc w:val="center"/>
        <w:textAlignment w:val="auto"/>
        <w:outlineLvl w:val="2"/>
        <w:rPr>
          <w:rFonts w:ascii="仿宋" w:hAnsi="仿宋" w:eastAsia="仿宋" w:cs="仿宋"/>
          <w:color w:val="auto"/>
          <w:sz w:val="28"/>
          <w:szCs w:val="28"/>
        </w:rPr>
      </w:pPr>
      <w:bookmarkStart w:id="171" w:name="_Toc9063"/>
      <w:bookmarkStart w:id="172" w:name="_Toc9206"/>
      <w:bookmarkStart w:id="173" w:name="_Toc32723"/>
      <w:bookmarkStart w:id="174" w:name="_Toc21791"/>
      <w:bookmarkStart w:id="175" w:name="_Toc1040"/>
      <w:r>
        <w:rPr>
          <w:rFonts w:hint="eastAsia" w:ascii="仿宋" w:hAnsi="仿宋" w:eastAsia="仿宋" w:cs="仿宋"/>
          <w:color w:val="auto"/>
          <w:sz w:val="28"/>
          <w:szCs w:val="28"/>
        </w:rPr>
        <w:t>Ⅰ 能源</w:t>
      </w:r>
      <w:bookmarkEnd w:id="171"/>
      <w:bookmarkEnd w:id="172"/>
      <w:bookmarkEnd w:id="173"/>
      <w:bookmarkEnd w:id="174"/>
      <w:bookmarkEnd w:id="175"/>
    </w:p>
    <w:p w14:paraId="7D498988">
      <w:pPr>
        <w:wordWrap/>
        <w:spacing w:line="360" w:lineRule="auto"/>
        <w:textAlignment w:val="auto"/>
        <w:rPr>
          <w:rFonts w:hint="eastAsia"/>
          <w:color w:val="auto"/>
          <w:sz w:val="24"/>
        </w:rPr>
      </w:pPr>
      <w:r>
        <w:rPr>
          <w:rFonts w:hint="eastAsia"/>
          <w:color w:val="auto"/>
          <w:sz w:val="24"/>
        </w:rPr>
        <w:t>5.2.1 降低能源消耗，提高能源利用效率，</w:t>
      </w:r>
      <w:r>
        <w:rPr>
          <w:rFonts w:hint="eastAsia"/>
          <w:color w:val="auto"/>
          <w:sz w:val="24"/>
          <w:lang w:eastAsia="zh-CN"/>
        </w:rPr>
        <w:t>应按下列</w:t>
      </w:r>
      <w:r>
        <w:rPr>
          <w:rFonts w:hint="eastAsia"/>
          <w:color w:val="auto"/>
          <w:sz w:val="24"/>
        </w:rPr>
        <w:t xml:space="preserve">内容分别评分： </w:t>
      </w:r>
    </w:p>
    <w:p w14:paraId="4D8B0701">
      <w:pPr>
        <w:wordWrap/>
        <w:spacing w:line="360" w:lineRule="auto"/>
        <w:ind w:firstLine="480" w:firstLineChars="200"/>
        <w:textAlignment w:val="auto"/>
        <w:rPr>
          <w:rFonts w:hint="eastAsia"/>
          <w:color w:val="auto"/>
          <w:sz w:val="24"/>
        </w:rPr>
      </w:pPr>
      <w:r>
        <w:rPr>
          <w:rFonts w:hint="eastAsia"/>
          <w:color w:val="auto"/>
          <w:sz w:val="24"/>
        </w:rPr>
        <w:t>1 规划设计阶段，选用“以可再生能源为主，其它能源为辅”</w:t>
      </w:r>
      <w:r>
        <w:rPr>
          <w:rFonts w:hint="eastAsia"/>
          <w:color w:val="auto"/>
          <w:sz w:val="24"/>
          <w:lang w:val="en-US" w:eastAsia="zh-CN"/>
        </w:rPr>
        <w:t>的</w:t>
      </w:r>
      <w:r>
        <w:rPr>
          <w:rFonts w:hint="eastAsia"/>
          <w:color w:val="auto"/>
          <w:sz w:val="24"/>
        </w:rPr>
        <w:t xml:space="preserve">能源结构方案； </w:t>
      </w:r>
    </w:p>
    <w:p w14:paraId="36225F00">
      <w:pPr>
        <w:wordWrap/>
        <w:spacing w:line="360" w:lineRule="auto"/>
        <w:ind w:firstLine="480" w:firstLineChars="200"/>
        <w:textAlignment w:val="auto"/>
        <w:rPr>
          <w:rFonts w:hint="eastAsia" w:eastAsia="宋体"/>
          <w:color w:val="auto"/>
          <w:sz w:val="24"/>
          <w:lang w:eastAsia="zh-CN"/>
        </w:rPr>
      </w:pPr>
      <w:r>
        <w:rPr>
          <w:rFonts w:hint="eastAsia"/>
          <w:color w:val="auto"/>
          <w:sz w:val="24"/>
        </w:rPr>
        <w:t>2 施工建造和运行阶段，通过绿色低碳技术创新与应用，减少能源消耗；采用高效的机具、用能系统和设备；建立设备技术档案，定期进行设备维护、保养；能源消耗满足指标要求；可再生能源利用率满足指标要求；对项目用能进行</w:t>
      </w:r>
      <w:r>
        <w:rPr>
          <w:rFonts w:hint="eastAsia"/>
          <w:color w:val="auto"/>
          <w:sz w:val="24"/>
          <w:lang w:val="en-US" w:eastAsia="zh-CN"/>
        </w:rPr>
        <w:t>分类</w:t>
      </w:r>
      <w:r>
        <w:rPr>
          <w:rFonts w:hint="eastAsia"/>
          <w:color w:val="auto"/>
          <w:sz w:val="24"/>
        </w:rPr>
        <w:t>统计分析</w:t>
      </w:r>
      <w:r>
        <w:rPr>
          <w:rFonts w:hint="eastAsia"/>
          <w:color w:val="auto"/>
          <w:sz w:val="24"/>
          <w:lang w:eastAsia="zh-CN"/>
        </w:rPr>
        <w:t>；</w:t>
      </w:r>
    </w:p>
    <w:p w14:paraId="0A81D082">
      <w:pPr>
        <w:wordWrap/>
        <w:spacing w:line="360" w:lineRule="auto"/>
        <w:ind w:firstLine="480" w:firstLineChars="200"/>
        <w:textAlignment w:val="auto"/>
        <w:rPr>
          <w:rFonts w:hint="eastAsia" w:eastAsia="宋体"/>
          <w:color w:val="auto"/>
          <w:sz w:val="24"/>
          <w:lang w:eastAsia="zh-CN"/>
        </w:rPr>
      </w:pPr>
      <w:r>
        <w:rPr>
          <w:rFonts w:hint="eastAsia"/>
          <w:color w:val="auto"/>
          <w:sz w:val="24"/>
          <w:lang w:val="en-US" w:eastAsia="zh-CN"/>
        </w:rPr>
        <w:t xml:space="preserve">3 </w:t>
      </w:r>
      <w:r>
        <w:rPr>
          <w:rFonts w:hint="eastAsia"/>
          <w:color w:val="auto"/>
          <w:sz w:val="24"/>
        </w:rPr>
        <w:t>运行阶段</w:t>
      </w:r>
      <w:r>
        <w:rPr>
          <w:rFonts w:hint="eastAsia"/>
          <w:color w:val="auto"/>
          <w:sz w:val="24"/>
          <w:lang w:val="en-US" w:eastAsia="zh-CN"/>
        </w:rPr>
        <w:t>采取</w:t>
      </w:r>
      <w:r>
        <w:rPr>
          <w:rFonts w:hint="eastAsia"/>
          <w:color w:val="auto"/>
          <w:sz w:val="24"/>
        </w:rPr>
        <w:t>节能策略优化</w:t>
      </w:r>
      <w:r>
        <w:rPr>
          <w:rFonts w:hint="eastAsia"/>
          <w:color w:val="auto"/>
          <w:sz w:val="24"/>
          <w:lang w:val="en-US" w:eastAsia="zh-CN"/>
        </w:rPr>
        <w:t>措施</w:t>
      </w:r>
      <w:r>
        <w:rPr>
          <w:rFonts w:hint="eastAsia"/>
          <w:color w:val="auto"/>
          <w:sz w:val="24"/>
        </w:rPr>
        <w:t>，对多台同类设备实施群控管理；设施运行期间能源消耗优于</w:t>
      </w:r>
      <w:r>
        <w:rPr>
          <w:rFonts w:hint="eastAsia"/>
          <w:color w:val="auto"/>
          <w:sz w:val="24"/>
          <w:lang w:val="en-US" w:eastAsia="zh-CN"/>
        </w:rPr>
        <w:t>当地</w:t>
      </w:r>
      <w:r>
        <w:rPr>
          <w:rFonts w:hint="eastAsia"/>
          <w:color w:val="auto"/>
          <w:sz w:val="24"/>
        </w:rPr>
        <w:t>规定的能耗限额要求</w:t>
      </w:r>
      <w:r>
        <w:rPr>
          <w:rFonts w:hint="eastAsia"/>
          <w:color w:val="auto"/>
          <w:sz w:val="24"/>
          <w:lang w:eastAsia="zh-CN"/>
        </w:rPr>
        <w:t>。</w:t>
      </w:r>
    </w:p>
    <w:p w14:paraId="71FA3652">
      <w:pPr>
        <w:wordWrap/>
        <w:spacing w:line="360" w:lineRule="auto"/>
        <w:textAlignment w:val="auto"/>
        <w:rPr>
          <w:rFonts w:hint="eastAsia"/>
          <w:color w:val="auto"/>
          <w:sz w:val="24"/>
        </w:rPr>
      </w:pPr>
      <w:r>
        <w:rPr>
          <w:rFonts w:hint="eastAsia"/>
          <w:color w:val="auto"/>
          <w:sz w:val="24"/>
        </w:rPr>
        <w:t>5.2.2 统筹利用可再生能源，</w:t>
      </w:r>
      <w:r>
        <w:rPr>
          <w:rFonts w:hint="eastAsia"/>
          <w:color w:val="auto"/>
          <w:sz w:val="24"/>
          <w:lang w:eastAsia="zh-CN"/>
        </w:rPr>
        <w:t>应按下列</w:t>
      </w:r>
      <w:r>
        <w:rPr>
          <w:rFonts w:hint="eastAsia"/>
          <w:color w:val="auto"/>
          <w:sz w:val="24"/>
        </w:rPr>
        <w:t xml:space="preserve">内容分别评分： </w:t>
      </w:r>
    </w:p>
    <w:p w14:paraId="2E5379B2">
      <w:pPr>
        <w:wordWrap/>
        <w:spacing w:line="360" w:lineRule="auto"/>
        <w:ind w:firstLine="480" w:firstLineChars="200"/>
        <w:textAlignment w:val="auto"/>
        <w:rPr>
          <w:rFonts w:hint="eastAsia"/>
          <w:color w:val="auto"/>
          <w:sz w:val="24"/>
        </w:rPr>
      </w:pPr>
      <w:r>
        <w:rPr>
          <w:rFonts w:hint="eastAsia"/>
          <w:color w:val="auto"/>
          <w:sz w:val="24"/>
        </w:rPr>
        <w:t>1 规划设计阶段，统筹考虑多种可再生能源</w:t>
      </w:r>
      <w:r>
        <w:rPr>
          <w:rFonts w:hint="eastAsia"/>
          <w:color w:val="auto"/>
          <w:sz w:val="24"/>
          <w:lang w:val="en-US" w:eastAsia="zh-CN"/>
        </w:rPr>
        <w:t>利用</w:t>
      </w:r>
      <w:r>
        <w:rPr>
          <w:rFonts w:hint="eastAsia"/>
          <w:color w:val="auto"/>
          <w:sz w:val="24"/>
        </w:rPr>
        <w:t>形式合理规划能源供应和存储；采用具备独立运行能力的光伏智能微电网系统；合理微网配置调配电网负荷，实现电力少增容、不增容</w:t>
      </w:r>
      <w:r>
        <w:rPr>
          <w:rFonts w:hint="eastAsia"/>
          <w:color w:val="auto"/>
          <w:sz w:val="24"/>
          <w:lang w:eastAsia="zh-CN"/>
        </w:rPr>
        <w:t>；</w:t>
      </w:r>
    </w:p>
    <w:p w14:paraId="6BD1C8A9">
      <w:pPr>
        <w:wordWrap/>
        <w:spacing w:line="360" w:lineRule="auto"/>
        <w:ind w:firstLine="480" w:firstLineChars="200"/>
        <w:textAlignment w:val="auto"/>
        <w:rPr>
          <w:rFonts w:hint="default" w:eastAsia="宋体"/>
          <w:color w:val="auto"/>
          <w:sz w:val="24"/>
          <w:lang w:val="en-US" w:eastAsia="zh-CN"/>
        </w:rPr>
      </w:pPr>
      <w:r>
        <w:rPr>
          <w:rFonts w:hint="eastAsia"/>
          <w:color w:val="auto"/>
          <w:sz w:val="24"/>
        </w:rPr>
        <w:t>2 施工建造阶段，结合</w:t>
      </w:r>
      <w:r>
        <w:rPr>
          <w:rFonts w:hint="eastAsia"/>
          <w:color w:val="auto"/>
          <w:sz w:val="24"/>
          <w:lang w:val="en-US" w:eastAsia="zh-CN"/>
        </w:rPr>
        <w:t>项目</w:t>
      </w:r>
      <w:r>
        <w:rPr>
          <w:rFonts w:hint="eastAsia"/>
          <w:color w:val="auto"/>
          <w:sz w:val="24"/>
        </w:rPr>
        <w:t>所在地地域特征，合理利用可再生能源</w:t>
      </w:r>
      <w:r>
        <w:rPr>
          <w:rFonts w:hint="eastAsia"/>
          <w:color w:val="auto"/>
          <w:sz w:val="24"/>
          <w:lang w:eastAsia="zh-CN"/>
        </w:rPr>
        <w:t>；</w:t>
      </w:r>
    </w:p>
    <w:p w14:paraId="73362AAA">
      <w:pPr>
        <w:wordWrap/>
        <w:spacing w:line="360" w:lineRule="auto"/>
        <w:ind w:firstLine="480" w:firstLineChars="200"/>
        <w:textAlignment w:val="auto"/>
        <w:rPr>
          <w:rFonts w:hint="eastAsia"/>
          <w:color w:val="auto"/>
          <w:sz w:val="24"/>
        </w:rPr>
      </w:pPr>
      <w:r>
        <w:rPr>
          <w:rFonts w:hint="eastAsia"/>
          <w:color w:val="auto"/>
          <w:sz w:val="24"/>
        </w:rPr>
        <w:t>3 运行阶段，对具备条件的项目实施改造，铺设光伏，采用如充电桩等多种方式的绿电就地消纳方案，合理配备安全可靠储能；通过购买绿证</w:t>
      </w:r>
      <w:r>
        <w:rPr>
          <w:rFonts w:hint="eastAsia"/>
          <w:color w:val="auto"/>
          <w:sz w:val="24"/>
          <w:lang w:eastAsia="zh-CN"/>
        </w:rPr>
        <w:t>、</w:t>
      </w:r>
      <w:r>
        <w:rPr>
          <w:rFonts w:hint="eastAsia"/>
          <w:color w:val="auto"/>
          <w:sz w:val="24"/>
        </w:rPr>
        <w:t>绿电进行可再生能源消费替代。</w:t>
      </w:r>
    </w:p>
    <w:p w14:paraId="084029EB">
      <w:pPr>
        <w:wordWrap/>
        <w:spacing w:line="360" w:lineRule="auto"/>
        <w:textAlignment w:val="auto"/>
        <w:rPr>
          <w:rFonts w:hint="eastAsia"/>
          <w:color w:val="auto"/>
          <w:sz w:val="24"/>
        </w:rPr>
      </w:pPr>
      <w:r>
        <w:rPr>
          <w:rFonts w:hint="eastAsia"/>
          <w:color w:val="auto"/>
          <w:sz w:val="24"/>
        </w:rPr>
        <w:t>5.2.3 建立能源智能化管理系统，对能源实施计量监测与节能运行管理，</w:t>
      </w:r>
      <w:r>
        <w:rPr>
          <w:rFonts w:hint="eastAsia"/>
          <w:color w:val="auto"/>
          <w:sz w:val="24"/>
          <w:lang w:eastAsia="zh-CN"/>
        </w:rPr>
        <w:t>应按下列内容</w:t>
      </w:r>
      <w:r>
        <w:rPr>
          <w:rFonts w:hint="eastAsia"/>
          <w:color w:val="auto"/>
          <w:sz w:val="24"/>
        </w:rPr>
        <w:t xml:space="preserve">分别评分： </w:t>
      </w:r>
    </w:p>
    <w:p w14:paraId="722C9B07">
      <w:pPr>
        <w:wordWrap/>
        <w:spacing w:line="360" w:lineRule="auto"/>
        <w:ind w:firstLine="480" w:firstLineChars="200"/>
        <w:textAlignment w:val="auto"/>
        <w:rPr>
          <w:rFonts w:hint="eastAsia"/>
          <w:color w:val="auto"/>
          <w:sz w:val="24"/>
          <w:lang w:eastAsia="zh-CN"/>
        </w:rPr>
      </w:pPr>
      <w:r>
        <w:rPr>
          <w:rFonts w:hint="eastAsia"/>
          <w:color w:val="auto"/>
          <w:sz w:val="24"/>
          <w:highlight w:val="none"/>
        </w:rPr>
        <w:t xml:space="preserve">1 </w:t>
      </w:r>
      <w:r>
        <w:rPr>
          <w:rFonts w:hint="eastAsia"/>
          <w:color w:val="auto"/>
          <w:sz w:val="24"/>
        </w:rPr>
        <w:t>施工建造、运行阶段对重点用能系统和设备实现能源消耗分项</w:t>
      </w:r>
      <w:r>
        <w:rPr>
          <w:rFonts w:hint="eastAsia"/>
          <w:color w:val="auto"/>
          <w:sz w:val="24"/>
          <w:highlight w:val="none"/>
          <w:lang w:val="en-US" w:eastAsia="zh-CN"/>
        </w:rPr>
        <w:t>计量</w:t>
      </w:r>
      <w:r>
        <w:rPr>
          <w:rFonts w:hint="eastAsia"/>
          <w:color w:val="auto"/>
          <w:sz w:val="24"/>
        </w:rPr>
        <w:t>监测、能效管理</w:t>
      </w:r>
      <w:r>
        <w:rPr>
          <w:rFonts w:hint="eastAsia"/>
          <w:color w:val="auto"/>
          <w:sz w:val="24"/>
          <w:lang w:eastAsia="zh-CN"/>
        </w:rPr>
        <w:t>；</w:t>
      </w:r>
    </w:p>
    <w:p w14:paraId="5C121233">
      <w:pPr>
        <w:wordWrap/>
        <w:spacing w:line="360" w:lineRule="auto"/>
        <w:ind w:firstLine="480" w:firstLineChars="200"/>
        <w:textAlignment w:val="auto"/>
        <w:rPr>
          <w:rFonts w:hint="eastAsia" w:eastAsia="宋体"/>
          <w:color w:val="auto"/>
          <w:sz w:val="24"/>
          <w:highlight w:val="none"/>
          <w:lang w:eastAsia="zh-CN"/>
        </w:rPr>
      </w:pPr>
      <w:r>
        <w:rPr>
          <w:rFonts w:hint="eastAsia"/>
          <w:color w:val="auto"/>
          <w:sz w:val="24"/>
          <w:highlight w:val="none"/>
          <w:lang w:val="en-US" w:eastAsia="zh-CN"/>
        </w:rPr>
        <w:t>2 运行阶段，符合现行行业标准</w:t>
      </w:r>
      <w:r>
        <w:rPr>
          <w:rFonts w:hint="eastAsia" w:ascii="宋体" w:hAnsi="宋体" w:eastAsia="宋体" w:cs="宋体"/>
          <w:color w:val="auto"/>
          <w:sz w:val="24"/>
          <w:highlight w:val="none"/>
          <w:lang w:val="en-US" w:eastAsia="zh-CN"/>
        </w:rPr>
        <w:t>《民用建筑远传抄表系统》JG/T162-2017标准，实现水、电、气、热等多表合一计量远程抄表</w:t>
      </w:r>
      <w:r>
        <w:rPr>
          <w:rFonts w:hint="eastAsia"/>
          <w:color w:val="auto"/>
          <w:sz w:val="24"/>
          <w:highlight w:val="none"/>
          <w:lang w:eastAsia="zh-CN"/>
        </w:rPr>
        <w:t>。</w:t>
      </w:r>
    </w:p>
    <w:p w14:paraId="0F308597">
      <w:pPr>
        <w:wordWrap/>
        <w:spacing w:line="360" w:lineRule="auto"/>
        <w:jc w:val="center"/>
        <w:textAlignment w:val="auto"/>
        <w:outlineLvl w:val="2"/>
        <w:rPr>
          <w:rFonts w:ascii="仿宋" w:hAnsi="仿宋" w:eastAsia="仿宋" w:cs="仿宋"/>
          <w:color w:val="auto"/>
          <w:sz w:val="28"/>
          <w:szCs w:val="28"/>
        </w:rPr>
      </w:pPr>
      <w:bookmarkStart w:id="176" w:name="_Toc21625"/>
      <w:bookmarkStart w:id="177" w:name="_Toc3730"/>
      <w:bookmarkStart w:id="178" w:name="_Toc18795"/>
      <w:bookmarkStart w:id="179" w:name="_Toc30019"/>
      <w:bookmarkStart w:id="180" w:name="_Toc20030"/>
      <w:r>
        <w:rPr>
          <w:rFonts w:hint="eastAsia" w:ascii="仿宋" w:hAnsi="仿宋" w:eastAsia="仿宋" w:cs="仿宋"/>
          <w:color w:val="auto"/>
          <w:sz w:val="28"/>
          <w:szCs w:val="28"/>
        </w:rPr>
        <w:t>Ⅱ 水资源</w:t>
      </w:r>
      <w:bookmarkEnd w:id="176"/>
      <w:bookmarkEnd w:id="177"/>
      <w:bookmarkEnd w:id="178"/>
      <w:bookmarkEnd w:id="179"/>
      <w:bookmarkEnd w:id="180"/>
    </w:p>
    <w:p w14:paraId="4C4EAB8F">
      <w:pPr>
        <w:wordWrap/>
        <w:spacing w:line="360" w:lineRule="auto"/>
        <w:textAlignment w:val="auto"/>
        <w:rPr>
          <w:rFonts w:hint="eastAsia"/>
          <w:color w:val="auto"/>
          <w:sz w:val="24"/>
        </w:rPr>
      </w:pPr>
      <w:r>
        <w:rPr>
          <w:rFonts w:hint="eastAsia"/>
          <w:color w:val="auto"/>
          <w:sz w:val="24"/>
        </w:rPr>
        <w:t>5.2.4 减少水资源消耗，</w:t>
      </w:r>
      <w:r>
        <w:rPr>
          <w:rFonts w:hint="eastAsia"/>
          <w:color w:val="auto"/>
          <w:sz w:val="24"/>
          <w:lang w:eastAsia="zh-CN"/>
        </w:rPr>
        <w:t>应按下列</w:t>
      </w:r>
      <w:r>
        <w:rPr>
          <w:rFonts w:hint="eastAsia"/>
          <w:color w:val="auto"/>
          <w:sz w:val="24"/>
        </w:rPr>
        <w:t xml:space="preserve">内容分别评分： </w:t>
      </w:r>
    </w:p>
    <w:p w14:paraId="518B301F">
      <w:pPr>
        <w:wordWrap/>
        <w:spacing w:line="360" w:lineRule="auto"/>
        <w:ind w:firstLine="480" w:firstLineChars="200"/>
        <w:textAlignment w:val="auto"/>
        <w:rPr>
          <w:rFonts w:hint="eastAsia"/>
          <w:color w:val="auto"/>
          <w:sz w:val="24"/>
        </w:rPr>
      </w:pPr>
      <w:r>
        <w:rPr>
          <w:rFonts w:hint="eastAsia"/>
          <w:color w:val="auto"/>
          <w:sz w:val="24"/>
        </w:rPr>
        <w:t>1 规划设计阶段，体现海绵建设理念，采用“渗、滞、蓄、净、用、排”等措施；综合供水、用水、排水和水处理</w:t>
      </w:r>
      <w:r>
        <w:rPr>
          <w:rFonts w:hint="eastAsia"/>
          <w:color w:val="auto"/>
          <w:sz w:val="24"/>
          <w:lang w:val="en-US" w:eastAsia="zh-CN"/>
        </w:rPr>
        <w:t>等</w:t>
      </w:r>
      <w:r>
        <w:rPr>
          <w:rFonts w:hint="eastAsia"/>
          <w:color w:val="auto"/>
          <w:sz w:val="24"/>
        </w:rPr>
        <w:t>多个环节相互关系和影响，优化水资源配置和使用策略；</w:t>
      </w:r>
    </w:p>
    <w:p w14:paraId="525F9A3D">
      <w:pPr>
        <w:wordWrap/>
        <w:spacing w:line="360" w:lineRule="auto"/>
        <w:ind w:firstLine="480" w:firstLineChars="200"/>
        <w:textAlignment w:val="auto"/>
        <w:rPr>
          <w:rFonts w:hint="eastAsia"/>
          <w:color w:val="auto"/>
          <w:sz w:val="24"/>
        </w:rPr>
      </w:pPr>
      <w:r>
        <w:rPr>
          <w:rFonts w:hint="eastAsia"/>
          <w:color w:val="auto"/>
          <w:sz w:val="24"/>
        </w:rPr>
        <w:t>2 施工建造和运行阶段，通过节水技术和工艺，降低对水资源的消耗；</w:t>
      </w:r>
      <w:r>
        <w:rPr>
          <w:rFonts w:hint="eastAsia"/>
          <w:color w:val="auto"/>
          <w:sz w:val="24"/>
          <w:highlight w:val="none"/>
          <w:lang w:val="en-US" w:eastAsia="zh-CN"/>
        </w:rPr>
        <w:t>在勘察与土方开挖过程中，通过有效回灌等措施减少地下水抽排负面影响；</w:t>
      </w:r>
      <w:r>
        <w:rPr>
          <w:rFonts w:hint="eastAsia"/>
          <w:color w:val="auto"/>
          <w:sz w:val="24"/>
        </w:rPr>
        <w:t>实施用水分项计量与智能化精细化管理，建立台账；水资源消耗满足目标要求。</w:t>
      </w:r>
    </w:p>
    <w:p w14:paraId="311499CD">
      <w:pPr>
        <w:wordWrap/>
        <w:spacing w:line="360" w:lineRule="auto"/>
        <w:textAlignment w:val="auto"/>
        <w:rPr>
          <w:rFonts w:hint="eastAsia"/>
          <w:color w:val="auto"/>
          <w:sz w:val="24"/>
        </w:rPr>
      </w:pPr>
      <w:r>
        <w:rPr>
          <w:rFonts w:hint="eastAsia"/>
          <w:color w:val="auto"/>
          <w:sz w:val="24"/>
        </w:rPr>
        <w:t>5.2.5 施工建造和运行阶段，因地制宜对非传统水进行科学合理利用，</w:t>
      </w:r>
      <w:r>
        <w:rPr>
          <w:rFonts w:hint="eastAsia"/>
          <w:color w:val="auto"/>
          <w:sz w:val="24"/>
          <w:lang w:eastAsia="zh-CN"/>
        </w:rPr>
        <w:t>应按下列</w:t>
      </w:r>
      <w:r>
        <w:rPr>
          <w:rFonts w:hint="eastAsia"/>
          <w:color w:val="auto"/>
          <w:sz w:val="24"/>
        </w:rPr>
        <w:t>内容分别评分：</w:t>
      </w:r>
    </w:p>
    <w:p w14:paraId="78FB61FB">
      <w:pPr>
        <w:wordWrap/>
        <w:spacing w:line="360" w:lineRule="auto"/>
        <w:ind w:firstLine="480" w:firstLineChars="200"/>
        <w:textAlignment w:val="auto"/>
        <w:rPr>
          <w:rFonts w:hint="eastAsia"/>
          <w:color w:val="auto"/>
          <w:sz w:val="24"/>
        </w:rPr>
      </w:pPr>
      <w:r>
        <w:rPr>
          <w:rFonts w:hint="eastAsia"/>
          <w:color w:val="auto"/>
          <w:sz w:val="24"/>
        </w:rPr>
        <w:t xml:space="preserve">1 建立可再利用的水收集处理系统，实现非传统水的收集与循环利用； </w:t>
      </w:r>
    </w:p>
    <w:p w14:paraId="4EA8B41B">
      <w:pPr>
        <w:wordWrap/>
        <w:spacing w:line="360" w:lineRule="auto"/>
        <w:ind w:firstLine="480" w:firstLineChars="200"/>
        <w:textAlignment w:val="auto"/>
        <w:rPr>
          <w:rFonts w:hint="eastAsia"/>
          <w:color w:val="auto"/>
          <w:sz w:val="24"/>
        </w:rPr>
      </w:pPr>
      <w:r>
        <w:rPr>
          <w:rFonts w:hint="eastAsia"/>
          <w:color w:val="auto"/>
          <w:sz w:val="24"/>
        </w:rPr>
        <w:t>2 建立可再利用水</w:t>
      </w:r>
      <w:r>
        <w:rPr>
          <w:rFonts w:hint="eastAsia"/>
          <w:color w:val="auto"/>
          <w:sz w:val="24"/>
          <w:lang w:val="en-US" w:eastAsia="zh-CN"/>
        </w:rPr>
        <w:t>资</w:t>
      </w:r>
      <w:r>
        <w:rPr>
          <w:rFonts w:hint="eastAsia"/>
          <w:color w:val="auto"/>
          <w:sz w:val="24"/>
        </w:rPr>
        <w:t>源计量系统，对非传统水利用情况</w:t>
      </w:r>
      <w:r>
        <w:rPr>
          <w:rFonts w:hint="eastAsia"/>
          <w:color w:val="auto"/>
          <w:sz w:val="24"/>
          <w:highlight w:val="none"/>
          <w:lang w:val="en-US" w:eastAsia="zh-CN"/>
        </w:rPr>
        <w:t>建立台账</w:t>
      </w:r>
      <w:r>
        <w:rPr>
          <w:rFonts w:hint="eastAsia"/>
          <w:color w:val="auto"/>
          <w:sz w:val="24"/>
        </w:rPr>
        <w:t>，标明用途；</w:t>
      </w:r>
    </w:p>
    <w:p w14:paraId="2F1DD428">
      <w:pPr>
        <w:wordWrap/>
        <w:spacing w:line="360" w:lineRule="auto"/>
        <w:ind w:firstLine="480" w:firstLineChars="200"/>
        <w:textAlignment w:val="auto"/>
        <w:rPr>
          <w:rFonts w:hint="eastAsia"/>
          <w:color w:val="auto"/>
          <w:sz w:val="24"/>
        </w:rPr>
      </w:pPr>
      <w:r>
        <w:rPr>
          <w:rFonts w:hint="eastAsia"/>
          <w:color w:val="auto"/>
          <w:sz w:val="24"/>
        </w:rPr>
        <w:t>3 绘制场界非传统水收集系统布置图；</w:t>
      </w:r>
    </w:p>
    <w:p w14:paraId="324FFB88">
      <w:pPr>
        <w:wordWrap/>
        <w:spacing w:line="360" w:lineRule="auto"/>
        <w:ind w:firstLine="480" w:firstLineChars="200"/>
        <w:textAlignment w:val="auto"/>
        <w:rPr>
          <w:rFonts w:hint="eastAsia"/>
          <w:color w:val="auto"/>
          <w:sz w:val="24"/>
        </w:rPr>
      </w:pPr>
      <w:r>
        <w:rPr>
          <w:rFonts w:hint="eastAsia"/>
          <w:color w:val="auto"/>
          <w:sz w:val="24"/>
        </w:rPr>
        <w:t>4 对使用的非传统水，根据用途进行水质检测，并保留检测报告。</w:t>
      </w:r>
    </w:p>
    <w:p w14:paraId="51E91B63">
      <w:pPr>
        <w:wordWrap/>
        <w:spacing w:line="360" w:lineRule="auto"/>
        <w:jc w:val="center"/>
        <w:textAlignment w:val="auto"/>
        <w:outlineLvl w:val="2"/>
        <w:rPr>
          <w:rFonts w:ascii="仿宋" w:hAnsi="仿宋" w:eastAsia="仿宋" w:cs="仿宋"/>
          <w:color w:val="auto"/>
          <w:sz w:val="28"/>
          <w:szCs w:val="28"/>
        </w:rPr>
      </w:pPr>
      <w:bookmarkStart w:id="181" w:name="_Toc16008"/>
      <w:bookmarkStart w:id="182" w:name="_Toc20840"/>
      <w:bookmarkStart w:id="183" w:name="_Toc8327"/>
      <w:bookmarkStart w:id="184" w:name="_Toc21977"/>
      <w:bookmarkStart w:id="185" w:name="_Toc14112"/>
      <w:r>
        <w:rPr>
          <w:rFonts w:hint="eastAsia" w:ascii="仿宋" w:hAnsi="仿宋" w:eastAsia="仿宋" w:cs="仿宋"/>
          <w:color w:val="auto"/>
          <w:sz w:val="28"/>
          <w:szCs w:val="28"/>
        </w:rPr>
        <w:t>Ⅲ 材料及固废资源</w:t>
      </w:r>
      <w:bookmarkEnd w:id="181"/>
      <w:bookmarkEnd w:id="182"/>
      <w:bookmarkEnd w:id="183"/>
      <w:bookmarkEnd w:id="184"/>
      <w:bookmarkEnd w:id="185"/>
    </w:p>
    <w:p w14:paraId="36194E4C">
      <w:pPr>
        <w:wordWrap/>
        <w:spacing w:line="360" w:lineRule="auto"/>
        <w:textAlignment w:val="auto"/>
        <w:rPr>
          <w:rFonts w:hint="eastAsia"/>
          <w:color w:val="auto"/>
          <w:sz w:val="24"/>
        </w:rPr>
      </w:pPr>
      <w:r>
        <w:rPr>
          <w:rFonts w:hint="eastAsia"/>
          <w:color w:val="auto"/>
          <w:sz w:val="24"/>
        </w:rPr>
        <w:t>5.2.6 减少材料消耗，</w:t>
      </w:r>
      <w:r>
        <w:rPr>
          <w:rFonts w:hint="eastAsia"/>
          <w:color w:val="auto"/>
          <w:sz w:val="24"/>
          <w:lang w:eastAsia="zh-CN"/>
        </w:rPr>
        <w:t>应按下列</w:t>
      </w:r>
      <w:r>
        <w:rPr>
          <w:rFonts w:hint="eastAsia"/>
          <w:color w:val="auto"/>
          <w:sz w:val="24"/>
        </w:rPr>
        <w:t xml:space="preserve">内容分别评分： </w:t>
      </w:r>
    </w:p>
    <w:p w14:paraId="52CE463C">
      <w:pPr>
        <w:wordWrap/>
        <w:spacing w:line="360" w:lineRule="auto"/>
        <w:ind w:firstLine="480" w:firstLineChars="200"/>
        <w:textAlignment w:val="auto"/>
        <w:rPr>
          <w:rFonts w:hint="eastAsia" w:eastAsia="宋体"/>
          <w:color w:val="auto"/>
          <w:sz w:val="24"/>
          <w:lang w:eastAsia="zh-CN"/>
        </w:rPr>
      </w:pPr>
      <w:r>
        <w:rPr>
          <w:rFonts w:hint="eastAsia"/>
          <w:color w:val="auto"/>
          <w:sz w:val="24"/>
        </w:rPr>
        <w:t>1 规划设计阶段，</w:t>
      </w:r>
      <w:r>
        <w:rPr>
          <w:rFonts w:hint="eastAsia"/>
          <w:color w:val="auto"/>
          <w:sz w:val="24"/>
          <w:lang w:val="en-US" w:eastAsia="zh-CN"/>
        </w:rPr>
        <w:t>通过</w:t>
      </w:r>
      <w:r>
        <w:rPr>
          <w:rFonts w:hint="eastAsia"/>
          <w:color w:val="auto"/>
          <w:sz w:val="24"/>
        </w:rPr>
        <w:t>优化设计减少用材，降低损耗；选用利废建材、耐用和适应性强的材料</w:t>
      </w:r>
      <w:r>
        <w:rPr>
          <w:rFonts w:hint="eastAsia"/>
          <w:color w:val="auto"/>
          <w:sz w:val="24"/>
          <w:lang w:eastAsia="zh-CN"/>
        </w:rPr>
        <w:t>；</w:t>
      </w:r>
    </w:p>
    <w:p w14:paraId="4E9F9385">
      <w:pPr>
        <w:wordWrap/>
        <w:spacing w:line="360" w:lineRule="auto"/>
        <w:ind w:firstLine="480" w:firstLineChars="200"/>
        <w:textAlignment w:val="auto"/>
        <w:rPr>
          <w:rFonts w:hint="eastAsia" w:eastAsia="宋体"/>
          <w:color w:val="auto"/>
          <w:sz w:val="24"/>
          <w:lang w:eastAsia="zh-CN"/>
        </w:rPr>
      </w:pPr>
      <w:r>
        <w:rPr>
          <w:rFonts w:hint="eastAsia"/>
          <w:color w:val="auto"/>
          <w:sz w:val="24"/>
        </w:rPr>
        <w:t>2 施工建造阶段，通过设计深化、施工方案优化，采用节材施工工艺，减少对材料资源的消耗；材料工厂化加工，实现精准下料、精细管理，降低材料损耗率；临时设施与安全防护采用装配式或标准化定型产品；合理利用余料</w:t>
      </w:r>
      <w:r>
        <w:rPr>
          <w:rFonts w:hint="eastAsia"/>
          <w:color w:val="auto"/>
          <w:sz w:val="24"/>
          <w:lang w:eastAsia="zh-CN"/>
        </w:rPr>
        <w:t>。</w:t>
      </w:r>
    </w:p>
    <w:p w14:paraId="0FCDF2C6">
      <w:pPr>
        <w:wordWrap/>
        <w:spacing w:line="360" w:lineRule="auto"/>
        <w:textAlignment w:val="auto"/>
        <w:rPr>
          <w:rFonts w:hint="eastAsia"/>
          <w:color w:val="auto"/>
          <w:sz w:val="24"/>
        </w:rPr>
      </w:pPr>
      <w:r>
        <w:rPr>
          <w:rFonts w:hint="eastAsia"/>
          <w:color w:val="auto"/>
          <w:sz w:val="24"/>
        </w:rPr>
        <w:t>5.2.7 采用工业化</w:t>
      </w:r>
      <w:r>
        <w:rPr>
          <w:rFonts w:hint="eastAsia"/>
          <w:color w:val="auto"/>
          <w:sz w:val="24"/>
          <w:lang w:eastAsia="zh-CN"/>
        </w:rPr>
        <w:t>、</w:t>
      </w:r>
      <w:r>
        <w:rPr>
          <w:rFonts w:hint="eastAsia"/>
          <w:color w:val="auto"/>
          <w:sz w:val="24"/>
        </w:rPr>
        <w:t>智能化建造方式，</w:t>
      </w:r>
      <w:r>
        <w:rPr>
          <w:rFonts w:hint="eastAsia"/>
          <w:color w:val="auto"/>
          <w:sz w:val="24"/>
          <w:lang w:eastAsia="zh-CN"/>
        </w:rPr>
        <w:t>应按下列</w:t>
      </w:r>
      <w:r>
        <w:rPr>
          <w:rFonts w:hint="eastAsia"/>
          <w:color w:val="auto"/>
          <w:sz w:val="24"/>
          <w:lang w:val="en-US" w:eastAsia="zh-CN"/>
        </w:rPr>
        <w:t>内容</w:t>
      </w:r>
      <w:r>
        <w:rPr>
          <w:rFonts w:hint="eastAsia"/>
          <w:color w:val="auto"/>
          <w:sz w:val="24"/>
        </w:rPr>
        <w:t xml:space="preserve">分别评分： </w:t>
      </w:r>
    </w:p>
    <w:p w14:paraId="646F113E">
      <w:pPr>
        <w:wordWrap/>
        <w:spacing w:line="360" w:lineRule="auto"/>
        <w:ind w:firstLine="480" w:firstLineChars="200"/>
        <w:textAlignment w:val="auto"/>
        <w:rPr>
          <w:rFonts w:hint="eastAsia" w:eastAsia="宋体"/>
          <w:color w:val="auto"/>
          <w:sz w:val="24"/>
          <w:lang w:eastAsia="zh-CN"/>
        </w:rPr>
      </w:pPr>
      <w:r>
        <w:rPr>
          <w:rFonts w:hint="eastAsia"/>
          <w:color w:val="auto"/>
          <w:sz w:val="24"/>
        </w:rPr>
        <w:t>1 规划设计阶段，基于BIM信息建立</w:t>
      </w:r>
      <w:r>
        <w:rPr>
          <w:rFonts w:hint="eastAsia"/>
          <w:color w:val="auto"/>
          <w:sz w:val="24"/>
          <w:lang w:val="en-US" w:eastAsia="zh-CN"/>
        </w:rPr>
        <w:t>部品部件</w:t>
      </w:r>
      <w:r>
        <w:rPr>
          <w:rFonts w:hint="eastAsia"/>
          <w:color w:val="auto"/>
          <w:sz w:val="24"/>
        </w:rPr>
        <w:t>库，实施</w:t>
      </w:r>
      <w:r>
        <w:rPr>
          <w:rFonts w:hint="eastAsia"/>
          <w:color w:val="auto"/>
          <w:sz w:val="24"/>
          <w:lang w:val="en-US" w:eastAsia="zh-CN"/>
        </w:rPr>
        <w:t>部品部件</w:t>
      </w:r>
      <w:r>
        <w:rPr>
          <w:rFonts w:hint="eastAsia"/>
          <w:color w:val="auto"/>
          <w:sz w:val="24"/>
        </w:rPr>
        <w:t>全流程管理</w:t>
      </w:r>
      <w:r>
        <w:rPr>
          <w:rFonts w:hint="eastAsia"/>
          <w:color w:val="auto"/>
          <w:sz w:val="24"/>
          <w:lang w:eastAsia="zh-CN"/>
        </w:rPr>
        <w:t>；</w:t>
      </w:r>
    </w:p>
    <w:p w14:paraId="739299AE">
      <w:pPr>
        <w:wordWrap/>
        <w:spacing w:line="360" w:lineRule="auto"/>
        <w:ind w:firstLine="480" w:firstLineChars="200"/>
        <w:textAlignment w:val="auto"/>
        <w:rPr>
          <w:rFonts w:hint="eastAsia"/>
          <w:color w:val="auto"/>
          <w:sz w:val="24"/>
        </w:rPr>
      </w:pPr>
      <w:r>
        <w:rPr>
          <w:rFonts w:hint="eastAsia"/>
          <w:color w:val="auto"/>
          <w:sz w:val="24"/>
        </w:rPr>
        <w:t>2 施工建造阶段，基于BIM信息实施</w:t>
      </w:r>
      <w:r>
        <w:rPr>
          <w:rFonts w:hint="eastAsia"/>
          <w:color w:val="auto"/>
          <w:sz w:val="24"/>
          <w:lang w:val="en-US" w:eastAsia="zh-CN"/>
        </w:rPr>
        <w:t>部品部件的</w:t>
      </w:r>
      <w:r>
        <w:rPr>
          <w:rFonts w:hint="eastAsia"/>
          <w:color w:val="auto"/>
          <w:sz w:val="24"/>
        </w:rPr>
        <w:t>生产管理、质量控制、物流管理、供应链管理、施工管理。</w:t>
      </w:r>
    </w:p>
    <w:p w14:paraId="1B5F4C63">
      <w:pPr>
        <w:wordWrap/>
        <w:spacing w:line="360" w:lineRule="auto"/>
        <w:textAlignment w:val="auto"/>
        <w:rPr>
          <w:rFonts w:hint="eastAsia"/>
          <w:color w:val="auto"/>
          <w:sz w:val="24"/>
        </w:rPr>
      </w:pPr>
      <w:r>
        <w:rPr>
          <w:rFonts w:hint="eastAsia"/>
          <w:color w:val="auto"/>
          <w:sz w:val="24"/>
        </w:rPr>
        <w:t>5.2.8 施工建造、运行阶段，一般工业固体废物回收利用率</w:t>
      </w:r>
      <w:r>
        <w:rPr>
          <w:rFonts w:hint="eastAsia"/>
          <w:color w:val="auto"/>
          <w:sz w:val="24"/>
          <w:lang w:val="en-US" w:eastAsia="zh-CN"/>
        </w:rPr>
        <w:t>应</w:t>
      </w:r>
      <w:r>
        <w:rPr>
          <w:rFonts w:hint="eastAsia"/>
          <w:color w:val="auto"/>
          <w:sz w:val="24"/>
        </w:rPr>
        <w:t>不低于50%。</w:t>
      </w:r>
    </w:p>
    <w:p w14:paraId="53088300">
      <w:pPr>
        <w:wordWrap/>
        <w:spacing w:line="360" w:lineRule="auto"/>
        <w:textAlignment w:val="auto"/>
        <w:rPr>
          <w:rFonts w:ascii="仿宋" w:hAnsi="仿宋" w:eastAsia="仿宋" w:cs="仿宋"/>
          <w:color w:val="auto"/>
          <w:kern w:val="0"/>
          <w:szCs w:val="21"/>
        </w:rPr>
        <w:sectPr>
          <w:pgSz w:w="11906" w:h="16838"/>
          <w:pgMar w:top="1440" w:right="1800" w:bottom="1440" w:left="1800" w:header="851" w:footer="992" w:gutter="0"/>
          <w:pgNumType w:fmt="decimal"/>
          <w:cols w:space="720" w:num="1"/>
          <w:docGrid w:type="lines" w:linePitch="312" w:charSpace="0"/>
        </w:sectPr>
      </w:pPr>
    </w:p>
    <w:p w14:paraId="00740ECE">
      <w:pPr>
        <w:wordWrap/>
        <w:spacing w:line="360" w:lineRule="auto"/>
        <w:jc w:val="center"/>
        <w:textAlignment w:val="auto"/>
        <w:outlineLvl w:val="0"/>
        <w:rPr>
          <w:rFonts w:ascii="宋体" w:hAnsi="宋体" w:eastAsia="宋体" w:cs="宋体"/>
          <w:b/>
          <w:bCs/>
          <w:color w:val="auto"/>
          <w:sz w:val="30"/>
          <w:szCs w:val="30"/>
        </w:rPr>
      </w:pPr>
      <w:bookmarkStart w:id="186" w:name="_Toc2912"/>
      <w:bookmarkStart w:id="187" w:name="_Toc15693"/>
      <w:bookmarkStart w:id="188" w:name="_Toc343"/>
      <w:bookmarkStart w:id="189" w:name="_Toc10937"/>
      <w:bookmarkStart w:id="190" w:name="_Toc12223"/>
      <w:bookmarkStart w:id="191" w:name="_Toc14512"/>
      <w:bookmarkStart w:id="192" w:name="_Toc32130"/>
      <w:r>
        <w:rPr>
          <w:rFonts w:hint="eastAsia" w:ascii="宋体" w:hAnsi="宋体" w:eastAsia="宋体" w:cs="宋体"/>
          <w:b/>
          <w:bCs/>
          <w:color w:val="auto"/>
          <w:sz w:val="30"/>
          <w:szCs w:val="30"/>
        </w:rPr>
        <w:t>6</w:t>
      </w:r>
      <w:r>
        <w:rPr>
          <w:rFonts w:ascii="宋体" w:hAnsi="宋体" w:eastAsia="宋体" w:cs="宋体"/>
          <w:b/>
          <w:bCs/>
          <w:color w:val="auto"/>
          <w:sz w:val="30"/>
          <w:szCs w:val="30"/>
        </w:rPr>
        <w:t xml:space="preserve"> </w:t>
      </w:r>
      <w:r>
        <w:rPr>
          <w:rFonts w:hint="eastAsia" w:ascii="宋体" w:hAnsi="宋体" w:eastAsia="宋体" w:cs="宋体"/>
          <w:b/>
          <w:bCs/>
          <w:color w:val="auto"/>
          <w:sz w:val="30"/>
          <w:szCs w:val="30"/>
        </w:rPr>
        <w:t>社会可持续</w:t>
      </w:r>
      <w:bookmarkEnd w:id="186"/>
      <w:bookmarkEnd w:id="187"/>
      <w:bookmarkEnd w:id="188"/>
      <w:bookmarkEnd w:id="189"/>
      <w:bookmarkEnd w:id="190"/>
      <w:bookmarkEnd w:id="191"/>
      <w:bookmarkEnd w:id="192"/>
    </w:p>
    <w:p w14:paraId="625676C5">
      <w:pPr>
        <w:wordWrap/>
        <w:spacing w:line="360" w:lineRule="auto"/>
        <w:jc w:val="center"/>
        <w:textAlignment w:val="auto"/>
        <w:outlineLvl w:val="1"/>
        <w:rPr>
          <w:rFonts w:ascii="黑体" w:hAnsi="黑体" w:eastAsia="黑体" w:cs="黑体"/>
          <w:b/>
          <w:bCs/>
          <w:color w:val="auto"/>
          <w:sz w:val="28"/>
          <w:szCs w:val="28"/>
        </w:rPr>
      </w:pPr>
      <w:bookmarkStart w:id="193" w:name="_Toc17068"/>
      <w:bookmarkStart w:id="194" w:name="_Toc17565"/>
      <w:bookmarkStart w:id="195" w:name="_Toc28120"/>
      <w:bookmarkStart w:id="196" w:name="_Toc6803"/>
      <w:bookmarkStart w:id="197" w:name="_Toc21725"/>
      <w:bookmarkStart w:id="198" w:name="_Toc25588"/>
      <w:bookmarkStart w:id="199" w:name="_Toc20292"/>
      <w:r>
        <w:rPr>
          <w:rFonts w:hint="eastAsia" w:ascii="黑体" w:hAnsi="黑体" w:eastAsia="黑体" w:cs="黑体"/>
          <w:b/>
          <w:bCs/>
          <w:color w:val="auto"/>
          <w:sz w:val="28"/>
          <w:szCs w:val="28"/>
        </w:rPr>
        <w:t>6.1 控制项</w:t>
      </w:r>
      <w:bookmarkEnd w:id="193"/>
      <w:bookmarkEnd w:id="194"/>
      <w:bookmarkEnd w:id="195"/>
      <w:bookmarkEnd w:id="196"/>
      <w:bookmarkEnd w:id="197"/>
      <w:bookmarkEnd w:id="198"/>
      <w:bookmarkEnd w:id="199"/>
    </w:p>
    <w:p w14:paraId="2104761E">
      <w:pPr>
        <w:wordWrap/>
        <w:spacing w:line="360" w:lineRule="auto"/>
        <w:textAlignment w:val="auto"/>
        <w:rPr>
          <w:rFonts w:hint="eastAsia"/>
          <w:color w:val="auto"/>
          <w:sz w:val="24"/>
          <w:lang w:val="en-US" w:eastAsia="zh-CN"/>
        </w:rPr>
      </w:pPr>
      <w:r>
        <w:rPr>
          <w:rFonts w:hint="eastAsia"/>
          <w:color w:val="auto"/>
          <w:sz w:val="24"/>
          <w:lang w:val="en-US" w:eastAsia="zh-CN"/>
        </w:rPr>
        <w:t>6.1.1 企业应按照企业职业健康安全管理体系要求，制定项目职业病预防措施和保证作业环境安全的预案。</w:t>
      </w:r>
    </w:p>
    <w:p w14:paraId="5E85E4FF">
      <w:pPr>
        <w:wordWrap/>
        <w:spacing w:line="360" w:lineRule="auto"/>
        <w:textAlignment w:val="auto"/>
        <w:rPr>
          <w:rFonts w:hint="eastAsia"/>
          <w:color w:val="auto"/>
          <w:sz w:val="24"/>
          <w:lang w:val="en-US" w:eastAsia="zh-CN"/>
        </w:rPr>
      </w:pPr>
      <w:r>
        <w:rPr>
          <w:rFonts w:hint="eastAsia"/>
          <w:color w:val="auto"/>
          <w:sz w:val="24"/>
          <w:lang w:val="en-US" w:eastAsia="zh-CN"/>
        </w:rPr>
        <w:t>6.1.2 企业应注重质量管理，明确项目的质量目标，并通过质量管理体系中的质量策划、控制和改进，为社会及居民提供安全、可靠、高质量的产品或服务。</w:t>
      </w:r>
    </w:p>
    <w:p w14:paraId="4E75C520">
      <w:pPr>
        <w:wordWrap/>
        <w:spacing w:line="360" w:lineRule="auto"/>
        <w:textAlignment w:val="auto"/>
        <w:rPr>
          <w:rFonts w:hint="eastAsia"/>
          <w:color w:val="auto"/>
          <w:sz w:val="24"/>
          <w:lang w:val="en-US" w:eastAsia="zh-CN"/>
        </w:rPr>
      </w:pPr>
      <w:r>
        <w:rPr>
          <w:rFonts w:hint="eastAsia"/>
          <w:color w:val="auto"/>
          <w:sz w:val="24"/>
          <w:lang w:val="en-US" w:eastAsia="zh-CN"/>
        </w:rPr>
        <w:t>6.1.3 企业应加强对项目的供应链管理，选择满足社会责任要求的供应商和分包商进行合作，实现绿色采购。</w:t>
      </w:r>
    </w:p>
    <w:p w14:paraId="24700F99">
      <w:pPr>
        <w:wordWrap/>
        <w:spacing w:line="360" w:lineRule="auto"/>
        <w:jc w:val="center"/>
        <w:textAlignment w:val="auto"/>
        <w:outlineLvl w:val="1"/>
        <w:rPr>
          <w:rFonts w:ascii="黑体" w:hAnsi="黑体" w:eastAsia="黑体" w:cs="黑体"/>
          <w:b/>
          <w:bCs/>
          <w:color w:val="auto"/>
          <w:sz w:val="28"/>
          <w:szCs w:val="28"/>
        </w:rPr>
      </w:pPr>
      <w:bookmarkStart w:id="200" w:name="_Toc30331"/>
      <w:bookmarkStart w:id="201" w:name="_Toc14090"/>
      <w:bookmarkStart w:id="202" w:name="_Toc22675"/>
      <w:bookmarkStart w:id="203" w:name="_Toc13323"/>
      <w:bookmarkStart w:id="204" w:name="_Toc7625"/>
      <w:bookmarkStart w:id="205" w:name="_Toc30116"/>
      <w:bookmarkStart w:id="206" w:name="_Toc8700"/>
      <w:r>
        <w:rPr>
          <w:rFonts w:hint="eastAsia" w:ascii="黑体" w:hAnsi="黑体" w:eastAsia="黑体" w:cs="黑体"/>
          <w:b/>
          <w:bCs/>
          <w:color w:val="auto"/>
          <w:sz w:val="28"/>
          <w:szCs w:val="28"/>
        </w:rPr>
        <w:t>6.2 评分项</w:t>
      </w:r>
      <w:bookmarkEnd w:id="200"/>
      <w:bookmarkEnd w:id="201"/>
      <w:bookmarkEnd w:id="202"/>
      <w:bookmarkEnd w:id="203"/>
      <w:bookmarkEnd w:id="204"/>
      <w:bookmarkEnd w:id="205"/>
      <w:bookmarkEnd w:id="206"/>
    </w:p>
    <w:p w14:paraId="696CEAFB">
      <w:pPr>
        <w:wordWrap/>
        <w:spacing w:line="360" w:lineRule="auto"/>
        <w:jc w:val="center"/>
        <w:textAlignment w:val="auto"/>
        <w:outlineLvl w:val="2"/>
        <w:rPr>
          <w:rFonts w:ascii="仿宋" w:hAnsi="仿宋" w:eastAsia="仿宋" w:cs="仿宋"/>
          <w:color w:val="auto"/>
          <w:sz w:val="28"/>
          <w:szCs w:val="28"/>
        </w:rPr>
      </w:pPr>
      <w:bookmarkStart w:id="207" w:name="_Toc1737"/>
      <w:bookmarkStart w:id="208" w:name="_Toc13924"/>
      <w:bookmarkStart w:id="209" w:name="_Toc3327"/>
      <w:bookmarkStart w:id="210" w:name="_Toc21567"/>
      <w:bookmarkStart w:id="211" w:name="_Toc5279"/>
      <w:r>
        <w:rPr>
          <w:rFonts w:hint="eastAsia" w:ascii="仿宋" w:hAnsi="仿宋" w:eastAsia="仿宋" w:cs="仿宋"/>
          <w:color w:val="auto"/>
          <w:sz w:val="28"/>
          <w:szCs w:val="28"/>
        </w:rPr>
        <w:t>Ⅰ 员工权益保护</w:t>
      </w:r>
      <w:bookmarkEnd w:id="207"/>
      <w:bookmarkEnd w:id="208"/>
      <w:bookmarkEnd w:id="209"/>
      <w:bookmarkEnd w:id="210"/>
      <w:bookmarkEnd w:id="211"/>
    </w:p>
    <w:p w14:paraId="47908E5C">
      <w:pPr>
        <w:wordWrap/>
        <w:spacing w:line="360" w:lineRule="auto"/>
        <w:textAlignment w:val="auto"/>
        <w:rPr>
          <w:rFonts w:hint="eastAsia"/>
          <w:color w:val="auto"/>
          <w:sz w:val="24"/>
        </w:rPr>
      </w:pPr>
      <w:r>
        <w:rPr>
          <w:rFonts w:hint="eastAsia"/>
          <w:color w:val="auto"/>
          <w:sz w:val="24"/>
        </w:rPr>
        <w:t>6.2.1 采取措施保护员工权益，</w:t>
      </w:r>
      <w:r>
        <w:rPr>
          <w:rFonts w:hint="eastAsia"/>
          <w:color w:val="auto"/>
          <w:sz w:val="24"/>
          <w:lang w:eastAsia="zh-CN"/>
        </w:rPr>
        <w:t>应按下列</w:t>
      </w:r>
      <w:r>
        <w:rPr>
          <w:rFonts w:hint="eastAsia"/>
          <w:color w:val="auto"/>
          <w:sz w:val="24"/>
        </w:rPr>
        <w:t>内容分别评分：</w:t>
      </w:r>
    </w:p>
    <w:p w14:paraId="2A3E705D">
      <w:pPr>
        <w:wordWrap/>
        <w:spacing w:line="360" w:lineRule="auto"/>
        <w:ind w:firstLine="480" w:firstLineChars="200"/>
        <w:textAlignment w:val="auto"/>
        <w:rPr>
          <w:rFonts w:hint="eastAsia"/>
          <w:color w:val="auto"/>
          <w:sz w:val="24"/>
        </w:rPr>
      </w:pPr>
      <w:r>
        <w:rPr>
          <w:rFonts w:hint="eastAsia"/>
          <w:color w:val="auto"/>
          <w:sz w:val="24"/>
        </w:rPr>
        <w:t>1 提供多元化且平等的招聘就业机会；</w:t>
      </w:r>
    </w:p>
    <w:p w14:paraId="08778CC2">
      <w:pPr>
        <w:wordWrap/>
        <w:spacing w:line="360" w:lineRule="auto"/>
        <w:ind w:firstLine="480" w:firstLineChars="200"/>
        <w:textAlignment w:val="auto"/>
        <w:rPr>
          <w:rFonts w:hint="eastAsia"/>
          <w:color w:val="auto"/>
          <w:sz w:val="24"/>
        </w:rPr>
      </w:pPr>
      <w:r>
        <w:rPr>
          <w:rFonts w:hint="eastAsia"/>
          <w:color w:val="auto"/>
          <w:sz w:val="24"/>
        </w:rPr>
        <w:t>2 建立合理的休息、休假、加班及女职工特殊保护等管理制度；</w:t>
      </w:r>
    </w:p>
    <w:p w14:paraId="48F2AA6F">
      <w:pPr>
        <w:wordWrap/>
        <w:spacing w:line="360" w:lineRule="auto"/>
        <w:ind w:firstLine="480" w:firstLineChars="200"/>
        <w:textAlignment w:val="auto"/>
        <w:rPr>
          <w:rFonts w:hint="eastAsia"/>
          <w:color w:val="auto"/>
          <w:sz w:val="24"/>
        </w:rPr>
      </w:pPr>
      <w:r>
        <w:rPr>
          <w:rFonts w:hint="eastAsia"/>
          <w:color w:val="auto"/>
          <w:sz w:val="24"/>
        </w:rPr>
        <w:t xml:space="preserve">3 提供合理的薪资和合规的福利，并按时发放； </w:t>
      </w:r>
    </w:p>
    <w:p w14:paraId="1C58636B">
      <w:pPr>
        <w:wordWrap/>
        <w:spacing w:line="360" w:lineRule="auto"/>
        <w:ind w:firstLine="480" w:firstLineChars="200"/>
        <w:textAlignment w:val="auto"/>
        <w:rPr>
          <w:rFonts w:hint="eastAsia"/>
          <w:color w:val="auto"/>
          <w:sz w:val="24"/>
        </w:rPr>
      </w:pPr>
      <w:r>
        <w:rPr>
          <w:rFonts w:hint="eastAsia"/>
          <w:color w:val="auto"/>
          <w:sz w:val="24"/>
        </w:rPr>
        <w:t>4 建立顺畅的员工诉求反映和沟通渠道。</w:t>
      </w:r>
    </w:p>
    <w:p w14:paraId="0ACEF7EE">
      <w:pPr>
        <w:wordWrap/>
        <w:spacing w:line="360" w:lineRule="auto"/>
        <w:textAlignment w:val="auto"/>
        <w:rPr>
          <w:rFonts w:hint="eastAsia"/>
          <w:color w:val="auto"/>
          <w:sz w:val="24"/>
        </w:rPr>
      </w:pPr>
      <w:r>
        <w:rPr>
          <w:rFonts w:hint="eastAsia"/>
          <w:color w:val="auto"/>
          <w:sz w:val="24"/>
        </w:rPr>
        <w:t>6.2.2 促进员工职业发展，</w:t>
      </w:r>
      <w:r>
        <w:rPr>
          <w:rFonts w:hint="eastAsia"/>
          <w:color w:val="auto"/>
          <w:sz w:val="24"/>
          <w:lang w:eastAsia="zh-CN"/>
        </w:rPr>
        <w:t>应按下列</w:t>
      </w:r>
      <w:r>
        <w:rPr>
          <w:rFonts w:hint="eastAsia"/>
          <w:color w:val="auto"/>
          <w:sz w:val="24"/>
        </w:rPr>
        <w:t xml:space="preserve">内容分别评分： </w:t>
      </w:r>
    </w:p>
    <w:p w14:paraId="31BE9892">
      <w:pPr>
        <w:wordWrap/>
        <w:spacing w:line="360" w:lineRule="auto"/>
        <w:ind w:firstLine="480" w:firstLineChars="200"/>
        <w:textAlignment w:val="auto"/>
        <w:rPr>
          <w:rFonts w:hint="eastAsia"/>
          <w:color w:val="auto"/>
          <w:sz w:val="24"/>
        </w:rPr>
      </w:pPr>
      <w:r>
        <w:rPr>
          <w:rFonts w:hint="eastAsia"/>
          <w:color w:val="auto"/>
          <w:sz w:val="24"/>
        </w:rPr>
        <w:t>1 建立与国家职业资格制度相衔接、与终身职业技能培训制度相适应的职业发展规划，包括岗位培训和职业技能提升的员工培训计划</w:t>
      </w:r>
      <w:r>
        <w:rPr>
          <w:rFonts w:hint="eastAsia"/>
          <w:color w:val="auto"/>
          <w:sz w:val="24"/>
          <w:lang w:val="en-US" w:eastAsia="zh-CN"/>
        </w:rPr>
        <w:t>等</w:t>
      </w:r>
      <w:r>
        <w:rPr>
          <w:rFonts w:hint="eastAsia"/>
          <w:color w:val="auto"/>
          <w:sz w:val="24"/>
        </w:rPr>
        <w:t>，并进行实施；</w:t>
      </w:r>
    </w:p>
    <w:p w14:paraId="40987445">
      <w:pPr>
        <w:wordWrap/>
        <w:spacing w:line="360" w:lineRule="auto"/>
        <w:ind w:firstLine="480" w:firstLineChars="200"/>
        <w:textAlignment w:val="auto"/>
        <w:rPr>
          <w:rFonts w:hint="eastAsia"/>
          <w:color w:val="auto"/>
          <w:sz w:val="24"/>
        </w:rPr>
      </w:pPr>
      <w:r>
        <w:rPr>
          <w:rFonts w:hint="eastAsia"/>
          <w:color w:val="auto"/>
          <w:sz w:val="24"/>
        </w:rPr>
        <w:t>2 注重员工的多元化发展。</w:t>
      </w:r>
    </w:p>
    <w:p w14:paraId="5132C991">
      <w:pPr>
        <w:wordWrap/>
        <w:spacing w:line="360" w:lineRule="auto"/>
        <w:jc w:val="center"/>
        <w:textAlignment w:val="auto"/>
        <w:outlineLvl w:val="2"/>
        <w:rPr>
          <w:rFonts w:ascii="仿宋" w:hAnsi="仿宋" w:eastAsia="仿宋" w:cs="仿宋"/>
          <w:color w:val="auto"/>
          <w:sz w:val="28"/>
          <w:szCs w:val="28"/>
        </w:rPr>
      </w:pPr>
      <w:bookmarkStart w:id="212" w:name="_Toc3065"/>
      <w:bookmarkStart w:id="213" w:name="_Toc25929"/>
      <w:bookmarkStart w:id="214" w:name="_Toc15754"/>
      <w:bookmarkStart w:id="215" w:name="_Toc10141"/>
      <w:bookmarkStart w:id="216" w:name="_Toc24901"/>
      <w:r>
        <w:rPr>
          <w:rFonts w:hint="eastAsia" w:ascii="仿宋" w:hAnsi="仿宋" w:eastAsia="仿宋" w:cs="仿宋"/>
          <w:color w:val="auto"/>
          <w:sz w:val="28"/>
          <w:szCs w:val="28"/>
        </w:rPr>
        <w:t>Ⅱ 职业健康和安全</w:t>
      </w:r>
      <w:bookmarkEnd w:id="212"/>
      <w:bookmarkEnd w:id="213"/>
      <w:bookmarkEnd w:id="214"/>
      <w:bookmarkEnd w:id="215"/>
      <w:bookmarkEnd w:id="216"/>
    </w:p>
    <w:p w14:paraId="49E6768F">
      <w:pPr>
        <w:wordWrap/>
        <w:spacing w:line="360" w:lineRule="auto"/>
        <w:textAlignment w:val="auto"/>
        <w:rPr>
          <w:rFonts w:hint="eastAsia"/>
          <w:color w:val="auto"/>
          <w:sz w:val="24"/>
          <w:lang w:val="en-US" w:eastAsia="zh-CN"/>
        </w:rPr>
      </w:pPr>
      <w:r>
        <w:rPr>
          <w:rFonts w:hint="eastAsia"/>
          <w:color w:val="auto"/>
          <w:sz w:val="24"/>
          <w:lang w:val="en-US" w:eastAsia="zh-CN"/>
        </w:rPr>
        <w:t>6.2.3 采取有效措施，确保项目生产安全，应按下列内容分别评分：</w:t>
      </w:r>
    </w:p>
    <w:p w14:paraId="20CB5A00">
      <w:pPr>
        <w:wordWrap/>
        <w:spacing w:line="360" w:lineRule="auto"/>
        <w:ind w:firstLine="480" w:firstLineChars="200"/>
        <w:textAlignment w:val="auto"/>
        <w:rPr>
          <w:rFonts w:hint="eastAsia"/>
          <w:color w:val="auto"/>
          <w:sz w:val="24"/>
          <w:lang w:val="en-US" w:eastAsia="zh-CN"/>
        </w:rPr>
      </w:pPr>
      <w:r>
        <w:rPr>
          <w:rFonts w:hint="eastAsia"/>
          <w:color w:val="auto"/>
          <w:sz w:val="24"/>
          <w:lang w:val="en-US" w:eastAsia="zh-CN"/>
        </w:rPr>
        <w:t xml:space="preserve">1 </w:t>
      </w:r>
      <w:r>
        <w:rPr>
          <w:rFonts w:hint="eastAsia"/>
          <w:color w:val="auto"/>
          <w:sz w:val="24"/>
          <w:highlight w:val="none"/>
          <w:lang w:val="en-US" w:eastAsia="zh-CN"/>
        </w:rPr>
        <w:t>对重大危险源进行识别；</w:t>
      </w:r>
      <w:r>
        <w:rPr>
          <w:rFonts w:hint="eastAsia"/>
          <w:color w:val="auto"/>
          <w:sz w:val="24"/>
          <w:lang w:val="en-US" w:eastAsia="zh-CN"/>
        </w:rPr>
        <w:t>采用智能化技术，对安全风险进行有效的监控和预警；</w:t>
      </w:r>
    </w:p>
    <w:p w14:paraId="780255E0">
      <w:pPr>
        <w:widowControl/>
        <w:wordWrap/>
        <w:adjustRightInd/>
        <w:snapToGrid/>
        <w:spacing w:line="360" w:lineRule="auto"/>
        <w:ind w:firstLine="480" w:firstLineChars="200"/>
        <w:jc w:val="left"/>
        <w:textAlignment w:val="auto"/>
        <w:outlineLvl w:val="9"/>
        <w:rPr>
          <w:rFonts w:hint="eastAsia" w:ascii="Calibri" w:hAnsi="Calibri" w:eastAsia="宋体" w:cs="黑体"/>
          <w:strike w:val="0"/>
          <w:color w:val="auto"/>
          <w:sz w:val="24"/>
          <w:lang w:val="en-US" w:eastAsia="zh-CN"/>
        </w:rPr>
      </w:pPr>
      <w:r>
        <w:rPr>
          <w:rFonts w:hint="eastAsia" w:ascii="Calibri" w:hAnsi="Calibri" w:eastAsia="宋体" w:cs="黑体"/>
          <w:strike w:val="0"/>
          <w:color w:val="auto"/>
          <w:sz w:val="24"/>
          <w:lang w:val="en-US" w:eastAsia="zh-CN"/>
        </w:rPr>
        <w:t>2 实施安全生产管理，规范生产</w:t>
      </w:r>
      <w:r>
        <w:rPr>
          <w:rFonts w:hint="eastAsia" w:cs="黑体"/>
          <w:strike w:val="0"/>
          <w:color w:val="auto"/>
          <w:sz w:val="24"/>
          <w:lang w:val="en-US" w:eastAsia="zh-CN"/>
        </w:rPr>
        <w:t>、</w:t>
      </w:r>
      <w:r>
        <w:rPr>
          <w:rFonts w:hint="eastAsia" w:ascii="Calibri" w:hAnsi="Calibri" w:eastAsia="宋体" w:cs="黑体"/>
          <w:strike w:val="0"/>
          <w:color w:val="auto"/>
          <w:sz w:val="24"/>
          <w:lang w:val="en-US" w:eastAsia="zh-CN"/>
        </w:rPr>
        <w:t>劳动安全与卫生防范措施；</w:t>
      </w:r>
    </w:p>
    <w:p w14:paraId="24CF16F6">
      <w:pPr>
        <w:wordWrap/>
        <w:spacing w:line="360" w:lineRule="auto"/>
        <w:ind w:firstLine="480" w:firstLineChars="200"/>
        <w:textAlignment w:val="auto"/>
        <w:rPr>
          <w:rFonts w:hint="eastAsia"/>
          <w:color w:val="auto"/>
          <w:sz w:val="24"/>
          <w:lang w:val="en-US" w:eastAsia="zh-CN"/>
        </w:rPr>
      </w:pPr>
      <w:r>
        <w:rPr>
          <w:rFonts w:hint="eastAsia"/>
          <w:color w:val="auto"/>
          <w:sz w:val="24"/>
          <w:lang w:val="en-US" w:eastAsia="zh-CN"/>
        </w:rPr>
        <w:t>3 采取措施提高作业环境的安全性，避免电气危害、火灾和爆炸、管线爆裂、化学品危害等；</w:t>
      </w:r>
    </w:p>
    <w:p w14:paraId="43104070">
      <w:pPr>
        <w:wordWrap/>
        <w:spacing w:line="360" w:lineRule="auto"/>
        <w:ind w:firstLine="480" w:firstLineChars="200"/>
        <w:textAlignment w:val="auto"/>
        <w:rPr>
          <w:rFonts w:hint="eastAsia"/>
          <w:color w:val="auto"/>
          <w:sz w:val="24"/>
          <w:lang w:val="en-US" w:eastAsia="zh-CN"/>
        </w:rPr>
      </w:pPr>
      <w:r>
        <w:rPr>
          <w:rFonts w:hint="eastAsia"/>
          <w:color w:val="auto"/>
          <w:sz w:val="24"/>
          <w:lang w:val="en-US" w:eastAsia="zh-CN"/>
        </w:rPr>
        <w:t>4 针对特殊环境条件下生产作业，有防止高温、高湿、高盐、沙尘暴等恶劣气候条件及野生动物伤害的措施和应急预案；</w:t>
      </w:r>
    </w:p>
    <w:p w14:paraId="64E20FBC">
      <w:pPr>
        <w:wordWrap/>
        <w:spacing w:line="360" w:lineRule="auto"/>
        <w:ind w:firstLine="480" w:firstLineChars="200"/>
        <w:textAlignment w:val="auto"/>
        <w:rPr>
          <w:rFonts w:hint="eastAsia"/>
          <w:color w:val="auto"/>
          <w:sz w:val="24"/>
          <w:lang w:val="en-US" w:eastAsia="zh-CN"/>
        </w:rPr>
      </w:pPr>
      <w:r>
        <w:rPr>
          <w:rFonts w:hint="eastAsia"/>
          <w:color w:val="auto"/>
          <w:sz w:val="24"/>
          <w:lang w:val="en-US" w:eastAsia="zh-CN"/>
        </w:rPr>
        <w:t xml:space="preserve">5 </w:t>
      </w:r>
      <w:r>
        <w:rPr>
          <w:rFonts w:hint="eastAsia"/>
          <w:color w:val="auto"/>
          <w:sz w:val="24"/>
          <w:highlight w:val="none"/>
          <w:lang w:val="en-US" w:eastAsia="zh-CN"/>
        </w:rPr>
        <w:t>安全费用投入资金落实到位。</w:t>
      </w:r>
    </w:p>
    <w:p w14:paraId="1BCC016E">
      <w:pPr>
        <w:wordWrap/>
        <w:spacing w:line="360" w:lineRule="auto"/>
        <w:textAlignment w:val="auto"/>
        <w:rPr>
          <w:rFonts w:hint="eastAsia"/>
          <w:color w:val="auto"/>
          <w:sz w:val="24"/>
          <w:highlight w:val="none"/>
          <w:lang w:val="en-US" w:eastAsia="zh-CN"/>
        </w:rPr>
      </w:pPr>
      <w:r>
        <w:rPr>
          <w:rFonts w:hint="eastAsia"/>
          <w:color w:val="auto"/>
          <w:sz w:val="24"/>
          <w:highlight w:val="none"/>
          <w:lang w:val="en-US" w:eastAsia="zh-CN"/>
        </w:rPr>
        <w:t>6.2.4 应定期开展安全培训和安全演练，培训覆盖率100%。</w:t>
      </w:r>
    </w:p>
    <w:p w14:paraId="3CA18B62">
      <w:pPr>
        <w:wordWrap/>
        <w:spacing w:line="360" w:lineRule="auto"/>
        <w:textAlignment w:val="auto"/>
        <w:rPr>
          <w:rFonts w:hint="eastAsia"/>
          <w:color w:val="auto"/>
          <w:sz w:val="24"/>
          <w:lang w:val="en-US" w:eastAsia="zh-CN"/>
        </w:rPr>
      </w:pPr>
      <w:r>
        <w:rPr>
          <w:rFonts w:hint="eastAsia"/>
          <w:color w:val="auto"/>
          <w:sz w:val="24"/>
          <w:lang w:val="en-US" w:eastAsia="zh-CN"/>
        </w:rPr>
        <w:t>6.2.5 关心员工身心健康，应按下列内容分别评分：</w:t>
      </w:r>
    </w:p>
    <w:p w14:paraId="568F5930">
      <w:pPr>
        <w:wordWrap/>
        <w:spacing w:line="360" w:lineRule="auto"/>
        <w:ind w:firstLine="480" w:firstLineChars="200"/>
        <w:textAlignment w:val="auto"/>
        <w:rPr>
          <w:rFonts w:hint="eastAsia"/>
          <w:color w:val="auto"/>
          <w:sz w:val="24"/>
          <w:lang w:val="en-US" w:eastAsia="zh-CN"/>
        </w:rPr>
      </w:pPr>
      <w:r>
        <w:rPr>
          <w:rFonts w:hint="eastAsia"/>
          <w:color w:val="auto"/>
          <w:sz w:val="24"/>
          <w:lang w:val="en-US" w:eastAsia="zh-CN"/>
        </w:rPr>
        <w:t xml:space="preserve">1 定期安排员工体检，年度体检覆盖率不低于90%，其中从事有职业病危害作业的特殊工种人员年度体验覆盖率100%； </w:t>
      </w:r>
    </w:p>
    <w:p w14:paraId="416BE6BA">
      <w:pPr>
        <w:wordWrap/>
        <w:spacing w:line="360" w:lineRule="auto"/>
        <w:ind w:firstLine="480" w:firstLineChars="200"/>
        <w:textAlignment w:val="auto"/>
        <w:rPr>
          <w:rFonts w:hint="eastAsia"/>
          <w:color w:val="auto"/>
          <w:sz w:val="24"/>
          <w:lang w:val="en-US" w:eastAsia="zh-CN"/>
        </w:rPr>
      </w:pPr>
      <w:r>
        <w:rPr>
          <w:rFonts w:hint="eastAsia"/>
          <w:color w:val="auto"/>
          <w:sz w:val="24"/>
          <w:lang w:val="en-US" w:eastAsia="zh-CN"/>
        </w:rPr>
        <w:t xml:space="preserve">2 具有控制工作环境的噪声、粉尘等污染的措施，减少职业病发生； </w:t>
      </w:r>
    </w:p>
    <w:p w14:paraId="379BD106">
      <w:pPr>
        <w:wordWrap/>
        <w:spacing w:line="360" w:lineRule="auto"/>
        <w:ind w:firstLine="480" w:firstLineChars="200"/>
        <w:textAlignment w:val="auto"/>
        <w:rPr>
          <w:rFonts w:hint="eastAsia"/>
          <w:color w:val="auto"/>
          <w:sz w:val="24"/>
          <w:lang w:val="en-US" w:eastAsia="zh-CN"/>
        </w:rPr>
      </w:pPr>
      <w:r>
        <w:rPr>
          <w:rFonts w:hint="eastAsia"/>
          <w:color w:val="auto"/>
          <w:sz w:val="24"/>
          <w:lang w:val="en-US" w:eastAsia="zh-CN"/>
        </w:rPr>
        <w:t>3 建立心理健康援助渠道，有专业医生为员工提供心理健康培训和咨询。</w:t>
      </w:r>
    </w:p>
    <w:p w14:paraId="17EB2AF0">
      <w:pPr>
        <w:wordWrap/>
        <w:spacing w:line="360" w:lineRule="auto"/>
        <w:jc w:val="center"/>
        <w:textAlignment w:val="auto"/>
        <w:outlineLvl w:val="2"/>
        <w:rPr>
          <w:color w:val="auto"/>
        </w:rPr>
      </w:pPr>
      <w:bookmarkStart w:id="217" w:name="_Toc12355"/>
      <w:bookmarkStart w:id="218" w:name="_Toc10633"/>
      <w:bookmarkStart w:id="219" w:name="_Toc7345"/>
      <w:bookmarkStart w:id="220" w:name="_Toc9204"/>
      <w:bookmarkStart w:id="221" w:name="_Toc4137"/>
      <w:r>
        <w:rPr>
          <w:rFonts w:hint="eastAsia" w:ascii="仿宋" w:hAnsi="仿宋" w:eastAsia="仿宋" w:cs="仿宋"/>
          <w:color w:val="auto"/>
          <w:sz w:val="28"/>
          <w:szCs w:val="28"/>
        </w:rPr>
        <w:t>Ⅲ 质量管理</w:t>
      </w:r>
      <w:bookmarkEnd w:id="217"/>
      <w:bookmarkEnd w:id="218"/>
      <w:bookmarkEnd w:id="219"/>
      <w:bookmarkEnd w:id="220"/>
      <w:bookmarkEnd w:id="221"/>
    </w:p>
    <w:p w14:paraId="07B1E1D5">
      <w:pPr>
        <w:wordWrap/>
        <w:spacing w:line="360" w:lineRule="auto"/>
        <w:textAlignment w:val="auto"/>
        <w:rPr>
          <w:rFonts w:hint="default"/>
          <w:color w:val="auto"/>
          <w:sz w:val="24"/>
          <w:highlight w:val="none"/>
          <w:lang w:val="en-US" w:eastAsia="zh-CN"/>
        </w:rPr>
      </w:pPr>
      <w:r>
        <w:rPr>
          <w:rFonts w:hint="default"/>
          <w:color w:val="auto"/>
          <w:sz w:val="24"/>
          <w:lang w:val="en-US" w:eastAsia="zh-CN"/>
        </w:rPr>
        <w:t>6.2.</w:t>
      </w:r>
      <w:r>
        <w:rPr>
          <w:rFonts w:hint="eastAsia"/>
          <w:color w:val="auto"/>
          <w:sz w:val="24"/>
          <w:lang w:val="en-US" w:eastAsia="zh-CN"/>
        </w:rPr>
        <w:t>6</w:t>
      </w:r>
      <w:r>
        <w:rPr>
          <w:rFonts w:hint="default"/>
          <w:color w:val="auto"/>
          <w:sz w:val="24"/>
          <w:lang w:val="en-US" w:eastAsia="zh-CN"/>
        </w:rPr>
        <w:t xml:space="preserve"> </w:t>
      </w:r>
      <w:r>
        <w:rPr>
          <w:rFonts w:hint="eastAsia"/>
          <w:color w:val="auto"/>
          <w:sz w:val="24"/>
          <w:lang w:val="en-US" w:eastAsia="zh-CN"/>
        </w:rPr>
        <w:t>施工建造阶段，应建立</w:t>
      </w:r>
      <w:r>
        <w:rPr>
          <w:rFonts w:hint="default"/>
          <w:color w:val="auto"/>
          <w:sz w:val="24"/>
          <w:lang w:val="en-US" w:eastAsia="zh-CN"/>
        </w:rPr>
        <w:t>项目质量管理的技术标准和管理标准，</w:t>
      </w:r>
      <w:r>
        <w:rPr>
          <w:rFonts w:hint="eastAsia"/>
          <w:color w:val="auto"/>
          <w:sz w:val="24"/>
          <w:lang w:val="en-US" w:eastAsia="zh-CN"/>
        </w:rPr>
        <w:t>配套</w:t>
      </w:r>
      <w:r>
        <w:rPr>
          <w:rFonts w:hint="eastAsia" w:ascii="宋体" w:hAnsi="宋体" w:eastAsia="宋体" w:cs="宋体"/>
          <w:color w:val="000000"/>
          <w:sz w:val="24"/>
          <w:lang w:eastAsia="zh-CN"/>
        </w:rPr>
        <w:t>相应的施工技术标准、施工质量控制和检验制度</w:t>
      </w:r>
      <w:r>
        <w:rPr>
          <w:rFonts w:hint="default"/>
          <w:color w:val="auto"/>
          <w:sz w:val="24"/>
          <w:lang w:val="en-US" w:eastAsia="zh-CN"/>
        </w:rPr>
        <w:t>，</w:t>
      </w:r>
      <w:r>
        <w:rPr>
          <w:rFonts w:hint="eastAsia"/>
          <w:color w:val="auto"/>
          <w:sz w:val="24"/>
          <w:lang w:val="en-US" w:eastAsia="zh-CN"/>
        </w:rPr>
        <w:t>以及</w:t>
      </w:r>
      <w:r>
        <w:rPr>
          <w:rFonts w:hint="eastAsia" w:ascii="宋体" w:hAnsi="宋体" w:eastAsia="宋体" w:cs="宋体"/>
          <w:color w:val="000000"/>
          <w:sz w:val="24"/>
          <w:highlight w:val="none"/>
          <w:lang w:eastAsia="zh-CN"/>
        </w:rPr>
        <w:t>施工人员和设备安全保障和环境保护措施</w:t>
      </w:r>
      <w:r>
        <w:rPr>
          <w:rFonts w:hint="eastAsia" w:ascii="宋体" w:hAnsi="宋体" w:cs="宋体"/>
          <w:color w:val="000000"/>
          <w:sz w:val="24"/>
          <w:highlight w:val="none"/>
          <w:lang w:eastAsia="zh-CN"/>
        </w:rPr>
        <w:t>。</w:t>
      </w:r>
    </w:p>
    <w:p w14:paraId="1DD55FB6">
      <w:pPr>
        <w:wordWrap/>
        <w:spacing w:line="360" w:lineRule="auto"/>
        <w:ind w:firstLine="0" w:firstLineChars="0"/>
        <w:textAlignment w:val="auto"/>
        <w:rPr>
          <w:rFonts w:hint="default"/>
          <w:color w:val="auto"/>
          <w:sz w:val="24"/>
          <w:lang w:val="en-US" w:eastAsia="zh-CN"/>
        </w:rPr>
      </w:pPr>
      <w:r>
        <w:rPr>
          <w:rFonts w:hint="default"/>
          <w:color w:val="auto"/>
          <w:sz w:val="24"/>
          <w:lang w:val="en-US" w:eastAsia="zh-CN"/>
        </w:rPr>
        <w:t>6.2.</w:t>
      </w:r>
      <w:r>
        <w:rPr>
          <w:rFonts w:hint="eastAsia"/>
          <w:color w:val="auto"/>
          <w:sz w:val="24"/>
          <w:lang w:val="en-US" w:eastAsia="zh-CN"/>
        </w:rPr>
        <w:t>7</w:t>
      </w:r>
      <w:r>
        <w:rPr>
          <w:rFonts w:hint="default"/>
          <w:color w:val="auto"/>
          <w:sz w:val="24"/>
          <w:lang w:val="en-US" w:eastAsia="zh-CN"/>
        </w:rPr>
        <w:t xml:space="preserve"> 施工建造阶段，提高</w:t>
      </w:r>
      <w:r>
        <w:rPr>
          <w:rFonts w:hint="eastAsia"/>
          <w:color w:val="auto"/>
          <w:sz w:val="24"/>
          <w:lang w:val="en-US" w:eastAsia="zh-CN"/>
        </w:rPr>
        <w:t>质量</w:t>
      </w:r>
      <w:r>
        <w:rPr>
          <w:rFonts w:hint="default"/>
          <w:color w:val="auto"/>
          <w:sz w:val="24"/>
          <w:lang w:val="en-US" w:eastAsia="zh-CN"/>
        </w:rPr>
        <w:t>动态监管力度，</w:t>
      </w:r>
      <w:r>
        <w:rPr>
          <w:rFonts w:hint="eastAsia"/>
          <w:color w:val="auto"/>
          <w:sz w:val="24"/>
          <w:lang w:val="en-US" w:eastAsia="zh-CN"/>
        </w:rPr>
        <w:t>应按下列内容</w:t>
      </w:r>
      <w:r>
        <w:rPr>
          <w:rFonts w:hint="default"/>
          <w:color w:val="auto"/>
          <w:sz w:val="24"/>
          <w:lang w:val="en-US" w:eastAsia="zh-CN"/>
        </w:rPr>
        <w:t>分别评分：</w:t>
      </w:r>
    </w:p>
    <w:p w14:paraId="39C694B1">
      <w:pPr>
        <w:wordWrap/>
        <w:spacing w:line="360" w:lineRule="auto"/>
        <w:ind w:firstLine="480" w:firstLineChars="200"/>
        <w:textAlignment w:val="auto"/>
        <w:rPr>
          <w:rFonts w:hint="default"/>
          <w:color w:val="auto"/>
          <w:sz w:val="24"/>
          <w:lang w:val="en-US" w:eastAsia="zh-CN"/>
        </w:rPr>
      </w:pPr>
      <w:r>
        <w:rPr>
          <w:rFonts w:hint="default"/>
          <w:color w:val="auto"/>
          <w:sz w:val="24"/>
          <w:lang w:val="en-US" w:eastAsia="zh-CN"/>
        </w:rPr>
        <w:t>1 通过巡视和检查及时发现质量问题，做好问题识别与记录；</w:t>
      </w:r>
    </w:p>
    <w:p w14:paraId="4D591A35">
      <w:pPr>
        <w:wordWrap/>
        <w:spacing w:line="360" w:lineRule="auto"/>
        <w:ind w:firstLine="480" w:firstLineChars="200"/>
        <w:textAlignment w:val="auto"/>
        <w:rPr>
          <w:rFonts w:hint="default"/>
          <w:color w:val="auto"/>
          <w:sz w:val="24"/>
          <w:lang w:val="en-US" w:eastAsia="zh-CN"/>
        </w:rPr>
      </w:pPr>
      <w:r>
        <w:rPr>
          <w:rFonts w:hint="default"/>
          <w:color w:val="auto"/>
          <w:sz w:val="24"/>
          <w:lang w:val="en-US" w:eastAsia="zh-CN"/>
        </w:rPr>
        <w:t>2 制定可行的处理方案，开展整改实施工作；</w:t>
      </w:r>
    </w:p>
    <w:p w14:paraId="37C0D57D">
      <w:pPr>
        <w:wordWrap/>
        <w:spacing w:line="360" w:lineRule="auto"/>
        <w:ind w:firstLine="480" w:firstLineChars="200"/>
        <w:textAlignment w:val="auto"/>
        <w:rPr>
          <w:rFonts w:hint="default"/>
          <w:color w:val="auto"/>
          <w:sz w:val="24"/>
          <w:lang w:val="en-US" w:eastAsia="zh-CN"/>
        </w:rPr>
      </w:pPr>
      <w:r>
        <w:rPr>
          <w:rFonts w:hint="default"/>
          <w:color w:val="auto"/>
          <w:sz w:val="24"/>
          <w:lang w:val="en-US" w:eastAsia="zh-CN"/>
        </w:rPr>
        <w:t>3</w:t>
      </w:r>
      <w:r>
        <w:rPr>
          <w:rFonts w:hint="eastAsia"/>
          <w:color w:val="auto"/>
          <w:sz w:val="24"/>
          <w:lang w:val="en-US" w:eastAsia="zh-CN"/>
        </w:rPr>
        <w:t xml:space="preserve"> </w:t>
      </w:r>
      <w:r>
        <w:rPr>
          <w:rFonts w:hint="default"/>
          <w:color w:val="auto"/>
          <w:sz w:val="24"/>
          <w:lang w:val="en-US" w:eastAsia="zh-CN"/>
        </w:rPr>
        <w:t>对项目质量改进情况进行检验。</w:t>
      </w:r>
    </w:p>
    <w:p w14:paraId="650D1D9D">
      <w:pPr>
        <w:wordWrap/>
        <w:spacing w:line="360" w:lineRule="auto"/>
        <w:textAlignment w:val="auto"/>
        <w:rPr>
          <w:rFonts w:hint="default"/>
          <w:color w:val="auto"/>
          <w:sz w:val="24"/>
          <w:lang w:val="en-US" w:eastAsia="zh-CN"/>
        </w:rPr>
      </w:pPr>
      <w:r>
        <w:rPr>
          <w:rFonts w:hint="default"/>
          <w:color w:val="auto"/>
          <w:sz w:val="24"/>
          <w:lang w:val="en-US" w:eastAsia="zh-CN"/>
        </w:rPr>
        <w:t>6.2.</w:t>
      </w:r>
      <w:r>
        <w:rPr>
          <w:rFonts w:hint="eastAsia"/>
          <w:color w:val="auto"/>
          <w:sz w:val="24"/>
          <w:lang w:val="en-US" w:eastAsia="zh-CN"/>
        </w:rPr>
        <w:t>8</w:t>
      </w:r>
      <w:r>
        <w:rPr>
          <w:rFonts w:hint="default"/>
          <w:color w:val="auto"/>
          <w:sz w:val="24"/>
          <w:lang w:val="en-US" w:eastAsia="zh-CN"/>
        </w:rPr>
        <w:t xml:space="preserve"> 运行阶段，妥善处理质量问题，</w:t>
      </w:r>
      <w:r>
        <w:rPr>
          <w:rFonts w:hint="eastAsia"/>
          <w:color w:val="auto"/>
          <w:sz w:val="24"/>
          <w:lang w:val="en-US" w:eastAsia="zh-CN"/>
        </w:rPr>
        <w:t>应按下列</w:t>
      </w:r>
      <w:r>
        <w:rPr>
          <w:rFonts w:hint="default"/>
          <w:color w:val="auto"/>
          <w:sz w:val="24"/>
          <w:lang w:val="en-US" w:eastAsia="zh-CN"/>
        </w:rPr>
        <w:t>内容分别评分：</w:t>
      </w:r>
    </w:p>
    <w:p w14:paraId="53ECB311">
      <w:pPr>
        <w:wordWrap/>
        <w:spacing w:line="360" w:lineRule="auto"/>
        <w:ind w:firstLine="480" w:firstLineChars="200"/>
        <w:textAlignment w:val="auto"/>
        <w:rPr>
          <w:rFonts w:hint="default"/>
          <w:color w:val="auto"/>
          <w:sz w:val="24"/>
          <w:lang w:val="en-US" w:eastAsia="zh-CN"/>
        </w:rPr>
      </w:pPr>
      <w:r>
        <w:rPr>
          <w:rFonts w:hint="default"/>
          <w:color w:val="auto"/>
          <w:sz w:val="24"/>
          <w:lang w:val="en-US" w:eastAsia="zh-CN"/>
        </w:rPr>
        <w:t xml:space="preserve">1 建立智能监控系统，进行实时监控、问题预警； </w:t>
      </w:r>
    </w:p>
    <w:p w14:paraId="2644284D">
      <w:pPr>
        <w:wordWrap/>
        <w:spacing w:line="360" w:lineRule="auto"/>
        <w:ind w:firstLine="480" w:firstLineChars="200"/>
        <w:textAlignment w:val="auto"/>
        <w:rPr>
          <w:rFonts w:hint="default"/>
          <w:color w:val="auto"/>
          <w:sz w:val="24"/>
          <w:lang w:val="en-US" w:eastAsia="zh-CN"/>
        </w:rPr>
      </w:pPr>
      <w:r>
        <w:rPr>
          <w:rFonts w:hint="default"/>
          <w:color w:val="auto"/>
          <w:sz w:val="24"/>
          <w:lang w:val="en-US" w:eastAsia="zh-CN"/>
        </w:rPr>
        <w:t>2 逐项列出需要改进的质量问题，提出解决方案</w:t>
      </w:r>
      <w:r>
        <w:rPr>
          <w:rFonts w:hint="default"/>
          <w:color w:val="auto"/>
          <w:sz w:val="24"/>
          <w:highlight w:val="none"/>
          <w:lang w:val="en-US" w:eastAsia="zh-CN"/>
        </w:rPr>
        <w:t>；</w:t>
      </w:r>
    </w:p>
    <w:p w14:paraId="0A50CAA2">
      <w:pPr>
        <w:wordWrap/>
        <w:spacing w:line="360" w:lineRule="auto"/>
        <w:ind w:firstLine="480" w:firstLineChars="200"/>
        <w:textAlignment w:val="auto"/>
        <w:rPr>
          <w:rFonts w:hint="default"/>
          <w:color w:val="auto"/>
          <w:sz w:val="24"/>
          <w:lang w:val="en-US" w:eastAsia="zh-CN"/>
        </w:rPr>
      </w:pPr>
      <w:r>
        <w:rPr>
          <w:rFonts w:hint="default"/>
          <w:color w:val="auto"/>
          <w:sz w:val="24"/>
          <w:lang w:val="en-US" w:eastAsia="zh-CN"/>
        </w:rPr>
        <w:t>3 对质量问题实施改进，并对质量改进的结果进行评价分析，判断改进结果与质量标准的符合性；</w:t>
      </w:r>
    </w:p>
    <w:p w14:paraId="28E270D8">
      <w:pPr>
        <w:wordWrap/>
        <w:spacing w:line="360" w:lineRule="auto"/>
        <w:ind w:firstLine="480" w:firstLineChars="200"/>
        <w:textAlignment w:val="auto"/>
        <w:rPr>
          <w:rFonts w:hint="default"/>
          <w:color w:val="auto"/>
          <w:sz w:val="24"/>
          <w:highlight w:val="green"/>
          <w:lang w:val="en-US" w:eastAsia="zh-CN"/>
        </w:rPr>
      </w:pPr>
      <w:r>
        <w:rPr>
          <w:rFonts w:hint="default"/>
          <w:color w:val="auto"/>
          <w:sz w:val="24"/>
          <w:lang w:val="en-US" w:eastAsia="zh-CN"/>
        </w:rPr>
        <w:t>4 考虑公共健康和安全，定期对项目进行维护</w:t>
      </w:r>
      <w:r>
        <w:rPr>
          <w:rFonts w:hint="eastAsia"/>
          <w:color w:val="auto"/>
          <w:sz w:val="24"/>
          <w:lang w:val="en-US" w:eastAsia="zh-CN"/>
        </w:rPr>
        <w:t>。</w:t>
      </w:r>
    </w:p>
    <w:p w14:paraId="0BB9709C">
      <w:pPr>
        <w:wordWrap/>
        <w:spacing w:line="360" w:lineRule="auto"/>
        <w:ind w:firstLine="560" w:firstLineChars="200"/>
        <w:jc w:val="center"/>
        <w:textAlignment w:val="auto"/>
        <w:outlineLvl w:val="9"/>
        <w:rPr>
          <w:rFonts w:ascii="仿宋" w:hAnsi="仿宋" w:eastAsia="仿宋" w:cs="仿宋"/>
          <w:color w:val="auto"/>
          <w:sz w:val="28"/>
          <w:szCs w:val="28"/>
        </w:rPr>
      </w:pPr>
      <w:bookmarkStart w:id="222" w:name="_Toc13591"/>
      <w:bookmarkStart w:id="223" w:name="_Toc22089"/>
      <w:bookmarkStart w:id="224" w:name="_Toc24601"/>
      <w:r>
        <w:rPr>
          <w:rFonts w:hint="eastAsia" w:ascii="仿宋" w:hAnsi="仿宋" w:eastAsia="仿宋" w:cs="仿宋"/>
          <w:color w:val="auto"/>
          <w:sz w:val="28"/>
          <w:szCs w:val="28"/>
        </w:rPr>
        <w:t>Ⅳ 供应链管理</w:t>
      </w:r>
      <w:bookmarkEnd w:id="222"/>
      <w:bookmarkEnd w:id="223"/>
      <w:bookmarkEnd w:id="224"/>
    </w:p>
    <w:p w14:paraId="608B3FAC">
      <w:pPr>
        <w:wordWrap/>
        <w:spacing w:line="360" w:lineRule="auto"/>
        <w:textAlignment w:val="auto"/>
        <w:rPr>
          <w:rFonts w:hint="eastAsia"/>
          <w:color w:val="auto"/>
          <w:sz w:val="24"/>
        </w:rPr>
      </w:pPr>
      <w:r>
        <w:rPr>
          <w:rFonts w:hint="eastAsia"/>
          <w:color w:val="auto"/>
          <w:sz w:val="24"/>
        </w:rPr>
        <w:t>6.2.</w:t>
      </w:r>
      <w:r>
        <w:rPr>
          <w:rFonts w:hint="eastAsia"/>
          <w:color w:val="auto"/>
          <w:sz w:val="24"/>
          <w:lang w:val="en-US" w:eastAsia="zh-CN"/>
        </w:rPr>
        <w:t>9</w:t>
      </w:r>
      <w:r>
        <w:rPr>
          <w:rFonts w:hint="eastAsia"/>
          <w:color w:val="auto"/>
          <w:sz w:val="24"/>
        </w:rPr>
        <w:t xml:space="preserve"> 开展供应链管理，加强与供应商合作，</w:t>
      </w:r>
      <w:r>
        <w:rPr>
          <w:rFonts w:hint="eastAsia"/>
          <w:color w:val="auto"/>
          <w:sz w:val="24"/>
          <w:lang w:eastAsia="zh-CN"/>
        </w:rPr>
        <w:t>应按下列</w:t>
      </w:r>
      <w:r>
        <w:rPr>
          <w:rFonts w:hint="eastAsia"/>
          <w:color w:val="auto"/>
          <w:sz w:val="24"/>
        </w:rPr>
        <w:t>内容分别评分：</w:t>
      </w:r>
    </w:p>
    <w:p w14:paraId="4705063B">
      <w:pPr>
        <w:wordWrap/>
        <w:spacing w:line="360" w:lineRule="auto"/>
        <w:ind w:firstLine="480" w:firstLineChars="200"/>
        <w:textAlignment w:val="auto"/>
        <w:rPr>
          <w:rFonts w:hint="eastAsia" w:eastAsia="宋体"/>
          <w:color w:val="auto"/>
          <w:sz w:val="24"/>
          <w:lang w:eastAsia="zh-CN"/>
        </w:rPr>
      </w:pPr>
      <w:r>
        <w:rPr>
          <w:rFonts w:hint="eastAsia"/>
          <w:color w:val="auto"/>
          <w:sz w:val="24"/>
        </w:rPr>
        <w:t xml:space="preserve">1 </w:t>
      </w:r>
      <w:r>
        <w:rPr>
          <w:rFonts w:hint="eastAsia"/>
          <w:color w:val="auto"/>
          <w:sz w:val="24"/>
          <w:lang w:val="en-US" w:eastAsia="zh-CN"/>
        </w:rPr>
        <w:t>规划</w:t>
      </w:r>
      <w:r>
        <w:rPr>
          <w:rFonts w:hint="eastAsia"/>
          <w:color w:val="auto"/>
          <w:sz w:val="24"/>
        </w:rPr>
        <w:t>设计阶段，充分考虑健康、安全、环保、循环低碳，对产品和服务进行优化筛选；规划供应链管理方式及流程</w:t>
      </w:r>
      <w:r>
        <w:rPr>
          <w:rFonts w:hint="eastAsia"/>
          <w:color w:val="auto"/>
          <w:sz w:val="24"/>
          <w:lang w:eastAsia="zh-CN"/>
        </w:rPr>
        <w:t>；</w:t>
      </w:r>
    </w:p>
    <w:p w14:paraId="270836ED">
      <w:pPr>
        <w:wordWrap/>
        <w:spacing w:line="360" w:lineRule="auto"/>
        <w:ind w:firstLine="480" w:firstLineChars="200"/>
        <w:textAlignment w:val="auto"/>
        <w:rPr>
          <w:rFonts w:hint="eastAsia"/>
          <w:color w:val="auto"/>
          <w:sz w:val="24"/>
        </w:rPr>
      </w:pPr>
      <w:r>
        <w:rPr>
          <w:rFonts w:hint="eastAsia"/>
          <w:color w:val="auto"/>
          <w:sz w:val="24"/>
        </w:rPr>
        <w:t>2 施工建造和运行阶段，实行公开采购，履行对供应商承诺；加强供应链环节风险管理，制定供应中断防范及解决方案；与项目所在地的供应商建立长期战略伙伴关系，并优先选择其中具有社会责任的合格供应商；创新分包合作方式，实现利益共享与风险共担；在绿色低碳技术、产品和服务的采购活动中，采用绿色供应链金融服务。</w:t>
      </w:r>
    </w:p>
    <w:p w14:paraId="6E7A4D13">
      <w:pPr>
        <w:wordWrap/>
        <w:spacing w:line="360" w:lineRule="auto"/>
        <w:jc w:val="center"/>
        <w:textAlignment w:val="auto"/>
        <w:outlineLvl w:val="2"/>
        <w:rPr>
          <w:rFonts w:ascii="仿宋" w:hAnsi="仿宋" w:eastAsia="仿宋" w:cs="仿宋"/>
          <w:color w:val="auto"/>
          <w:sz w:val="28"/>
          <w:szCs w:val="28"/>
        </w:rPr>
      </w:pPr>
      <w:bookmarkStart w:id="225" w:name="_Toc25965"/>
      <w:bookmarkStart w:id="226" w:name="_Toc4822"/>
      <w:bookmarkStart w:id="227" w:name="_Toc28447"/>
      <w:bookmarkStart w:id="228" w:name="_Toc21390"/>
      <w:bookmarkStart w:id="229" w:name="_Toc16500"/>
      <w:r>
        <w:rPr>
          <w:rFonts w:hint="eastAsia" w:ascii="仿宋" w:hAnsi="仿宋" w:eastAsia="仿宋" w:cs="仿宋"/>
          <w:color w:val="auto"/>
          <w:sz w:val="28"/>
          <w:szCs w:val="28"/>
        </w:rPr>
        <w:t>Ⅴ 社区保护和参与</w:t>
      </w:r>
      <w:bookmarkEnd w:id="225"/>
      <w:bookmarkEnd w:id="226"/>
      <w:bookmarkEnd w:id="227"/>
      <w:bookmarkEnd w:id="228"/>
      <w:bookmarkEnd w:id="229"/>
    </w:p>
    <w:p w14:paraId="68293B42">
      <w:pPr>
        <w:wordWrap/>
        <w:spacing w:line="360" w:lineRule="auto"/>
        <w:textAlignment w:val="auto"/>
        <w:rPr>
          <w:rFonts w:hint="eastAsia"/>
          <w:color w:val="auto"/>
          <w:sz w:val="24"/>
        </w:rPr>
      </w:pPr>
      <w:r>
        <w:rPr>
          <w:rFonts w:hint="eastAsia"/>
          <w:color w:val="auto"/>
          <w:sz w:val="24"/>
        </w:rPr>
        <w:t>6.2</w:t>
      </w:r>
      <w:r>
        <w:rPr>
          <w:rFonts w:hint="eastAsia"/>
          <w:color w:val="auto"/>
          <w:sz w:val="24"/>
          <w:lang w:val="en-US" w:eastAsia="zh-CN"/>
        </w:rPr>
        <w:t>.10</w:t>
      </w:r>
      <w:r>
        <w:rPr>
          <w:rFonts w:hint="eastAsia"/>
          <w:color w:val="auto"/>
          <w:sz w:val="24"/>
        </w:rPr>
        <w:t xml:space="preserve"> 规划设计阶段，充分考虑项目对当地居民需求的满足程度，</w:t>
      </w:r>
      <w:r>
        <w:rPr>
          <w:rFonts w:hint="eastAsia"/>
          <w:color w:val="auto"/>
          <w:sz w:val="24"/>
          <w:lang w:eastAsia="zh-CN"/>
        </w:rPr>
        <w:t>应按下列</w:t>
      </w:r>
      <w:r>
        <w:rPr>
          <w:rFonts w:hint="eastAsia"/>
          <w:color w:val="auto"/>
          <w:sz w:val="24"/>
        </w:rPr>
        <w:t>内容分别评分：</w:t>
      </w:r>
    </w:p>
    <w:p w14:paraId="21F45977">
      <w:pPr>
        <w:wordWrap/>
        <w:spacing w:line="360" w:lineRule="auto"/>
        <w:ind w:firstLine="480" w:firstLineChars="200"/>
        <w:textAlignment w:val="auto"/>
        <w:rPr>
          <w:rFonts w:hint="eastAsia"/>
          <w:color w:val="auto"/>
          <w:sz w:val="24"/>
        </w:rPr>
      </w:pPr>
      <w:r>
        <w:rPr>
          <w:rFonts w:hint="eastAsia"/>
          <w:color w:val="auto"/>
          <w:sz w:val="24"/>
        </w:rPr>
        <w:t>1 有效保护当地居民的居住环境，避免项目对居民居住地或生活习惯造成重大</w:t>
      </w:r>
      <w:r>
        <w:rPr>
          <w:rFonts w:hint="eastAsia"/>
          <w:color w:val="auto"/>
          <w:sz w:val="24"/>
          <w:lang w:val="en-US" w:eastAsia="zh-CN"/>
        </w:rPr>
        <w:t>影响</w:t>
      </w:r>
      <w:r>
        <w:rPr>
          <w:rFonts w:hint="eastAsia"/>
          <w:color w:val="auto"/>
          <w:sz w:val="24"/>
        </w:rPr>
        <w:t>；</w:t>
      </w:r>
    </w:p>
    <w:p w14:paraId="314B4358">
      <w:pPr>
        <w:wordWrap/>
        <w:spacing w:line="360" w:lineRule="auto"/>
        <w:ind w:firstLine="480" w:firstLineChars="200"/>
        <w:textAlignment w:val="auto"/>
        <w:rPr>
          <w:rFonts w:hint="eastAsia"/>
          <w:color w:val="auto"/>
          <w:sz w:val="24"/>
        </w:rPr>
      </w:pPr>
      <w:r>
        <w:rPr>
          <w:rFonts w:hint="eastAsia"/>
          <w:color w:val="auto"/>
          <w:sz w:val="24"/>
        </w:rPr>
        <w:t>2 积极鼓励公众参与，开展公众调查，对居民提出的意见进行有效处理与改进。</w:t>
      </w:r>
    </w:p>
    <w:p w14:paraId="7AA76CF0">
      <w:pPr>
        <w:wordWrap/>
        <w:spacing w:line="360" w:lineRule="auto"/>
        <w:textAlignment w:val="auto"/>
        <w:rPr>
          <w:rFonts w:hint="eastAsia"/>
          <w:color w:val="auto"/>
          <w:sz w:val="24"/>
        </w:rPr>
      </w:pPr>
      <w:r>
        <w:rPr>
          <w:rFonts w:hint="eastAsia"/>
          <w:color w:val="auto"/>
          <w:sz w:val="24"/>
        </w:rPr>
        <w:t>6.2.</w:t>
      </w:r>
      <w:r>
        <w:rPr>
          <w:rFonts w:hint="eastAsia"/>
          <w:color w:val="auto"/>
          <w:sz w:val="24"/>
          <w:lang w:val="en-US" w:eastAsia="zh-CN"/>
        </w:rPr>
        <w:t>11</w:t>
      </w:r>
      <w:r>
        <w:rPr>
          <w:rFonts w:hint="eastAsia"/>
          <w:color w:val="auto"/>
          <w:sz w:val="24"/>
        </w:rPr>
        <w:t xml:space="preserve"> 施工建造和运行阶段，加强与社区的联系，促进项目与所在地区社区居民和谐共处，</w:t>
      </w:r>
      <w:r>
        <w:rPr>
          <w:rFonts w:hint="eastAsia"/>
          <w:color w:val="auto"/>
          <w:sz w:val="24"/>
          <w:lang w:eastAsia="zh-CN"/>
        </w:rPr>
        <w:t>应按下列</w:t>
      </w:r>
      <w:r>
        <w:rPr>
          <w:rFonts w:hint="eastAsia"/>
          <w:color w:val="auto"/>
          <w:sz w:val="24"/>
        </w:rPr>
        <w:t>内容分别评分：</w:t>
      </w:r>
    </w:p>
    <w:p w14:paraId="6CAC3303">
      <w:pPr>
        <w:wordWrap/>
        <w:spacing w:line="360" w:lineRule="auto"/>
        <w:ind w:firstLine="480" w:firstLineChars="200"/>
        <w:textAlignment w:val="auto"/>
        <w:rPr>
          <w:rFonts w:hint="eastAsia"/>
          <w:color w:val="auto"/>
          <w:sz w:val="24"/>
        </w:rPr>
      </w:pPr>
      <w:r>
        <w:rPr>
          <w:rFonts w:hint="eastAsia"/>
          <w:color w:val="auto"/>
          <w:sz w:val="24"/>
        </w:rPr>
        <w:t>1 积极主动参与当地的社会公共和福利事业，及</w:t>
      </w:r>
      <w:r>
        <w:rPr>
          <w:rFonts w:hint="eastAsia"/>
          <w:color w:val="auto"/>
          <w:sz w:val="24"/>
          <w:lang w:eastAsia="zh-CN"/>
        </w:rPr>
        <w:t>当地</w:t>
      </w:r>
      <w:r>
        <w:rPr>
          <w:rFonts w:hint="eastAsia"/>
          <w:color w:val="auto"/>
          <w:sz w:val="24"/>
        </w:rPr>
        <w:t>公益性活动；</w:t>
      </w:r>
    </w:p>
    <w:p w14:paraId="03CEA954">
      <w:pPr>
        <w:wordWrap/>
        <w:spacing w:line="360" w:lineRule="auto"/>
        <w:ind w:firstLine="480" w:firstLineChars="200"/>
        <w:textAlignment w:val="auto"/>
        <w:rPr>
          <w:rFonts w:hint="eastAsia"/>
          <w:color w:val="auto"/>
          <w:sz w:val="24"/>
        </w:rPr>
      </w:pPr>
      <w:r>
        <w:rPr>
          <w:rFonts w:hint="eastAsia"/>
          <w:color w:val="auto"/>
          <w:sz w:val="24"/>
        </w:rPr>
        <w:t>2 为社区居民创造就业机会，</w:t>
      </w:r>
      <w:r>
        <w:rPr>
          <w:rFonts w:hint="eastAsia"/>
          <w:color w:val="auto"/>
          <w:sz w:val="24"/>
          <w:lang w:val="en-US" w:eastAsia="zh-CN"/>
        </w:rPr>
        <w:t>或</w:t>
      </w:r>
      <w:r>
        <w:rPr>
          <w:rFonts w:hint="eastAsia"/>
          <w:color w:val="auto"/>
          <w:sz w:val="24"/>
        </w:rPr>
        <w:t>提供适当的职业培训机会；</w:t>
      </w:r>
    </w:p>
    <w:p w14:paraId="303D9A41">
      <w:pPr>
        <w:wordWrap/>
        <w:spacing w:line="360" w:lineRule="auto"/>
        <w:ind w:firstLine="480" w:firstLineChars="200"/>
        <w:textAlignment w:val="auto"/>
        <w:rPr>
          <w:rFonts w:hint="eastAsia"/>
          <w:color w:val="auto"/>
          <w:sz w:val="24"/>
        </w:rPr>
      </w:pPr>
      <w:r>
        <w:rPr>
          <w:rFonts w:hint="eastAsia"/>
          <w:color w:val="auto"/>
          <w:sz w:val="24"/>
        </w:rPr>
        <w:t>3 不损坏文化遗产或自然景观，或采取措施对造成的损害进行有效补救；</w:t>
      </w:r>
    </w:p>
    <w:p w14:paraId="7D0C1B10">
      <w:pPr>
        <w:wordWrap/>
        <w:spacing w:line="360" w:lineRule="auto"/>
        <w:ind w:firstLine="480" w:firstLineChars="200"/>
        <w:textAlignment w:val="auto"/>
        <w:rPr>
          <w:rFonts w:hint="eastAsia"/>
          <w:color w:val="auto"/>
          <w:sz w:val="24"/>
        </w:rPr>
      </w:pPr>
      <w:r>
        <w:rPr>
          <w:rFonts w:hint="eastAsia"/>
          <w:color w:val="auto"/>
          <w:sz w:val="24"/>
        </w:rPr>
        <w:t xml:space="preserve">4 </w:t>
      </w:r>
      <w:r>
        <w:rPr>
          <w:rFonts w:hint="eastAsia"/>
          <w:color w:val="auto"/>
          <w:sz w:val="24"/>
          <w:lang w:val="en-US" w:eastAsia="zh-CN"/>
        </w:rPr>
        <w:t>建立沟通渠道，</w:t>
      </w:r>
      <w:r>
        <w:rPr>
          <w:rFonts w:hint="eastAsia"/>
          <w:color w:val="auto"/>
          <w:sz w:val="24"/>
        </w:rPr>
        <w:t>展开满意度调查，</w:t>
      </w:r>
      <w:r>
        <w:rPr>
          <w:rFonts w:hint="eastAsia"/>
          <w:color w:val="auto"/>
          <w:sz w:val="24"/>
          <w:lang w:val="en-US" w:eastAsia="zh-CN"/>
        </w:rPr>
        <w:t>掌握</w:t>
      </w:r>
      <w:r>
        <w:rPr>
          <w:rFonts w:hint="eastAsia"/>
          <w:color w:val="auto"/>
          <w:sz w:val="24"/>
        </w:rPr>
        <w:t>项目建设、竣工交付、运营移交、运行使用等方面的问题，并对问题进行有效处理与改进；</w:t>
      </w:r>
    </w:p>
    <w:p w14:paraId="4E9CEF1C">
      <w:pPr>
        <w:wordWrap/>
        <w:spacing w:line="360" w:lineRule="auto"/>
        <w:ind w:firstLine="480" w:firstLineChars="200"/>
        <w:textAlignment w:val="auto"/>
        <w:rPr>
          <w:rFonts w:hint="eastAsia"/>
          <w:color w:val="auto"/>
          <w:sz w:val="24"/>
        </w:rPr>
      </w:pPr>
      <w:r>
        <w:rPr>
          <w:rFonts w:hint="eastAsia"/>
          <w:color w:val="auto"/>
          <w:sz w:val="24"/>
        </w:rPr>
        <w:t>5 采取任何可能影响社区居民的措施</w:t>
      </w:r>
      <w:r>
        <w:rPr>
          <w:rFonts w:hint="eastAsia"/>
          <w:color w:val="auto"/>
          <w:sz w:val="24"/>
          <w:lang w:val="en-US" w:eastAsia="zh-CN"/>
        </w:rPr>
        <w:t>时</w:t>
      </w:r>
      <w:r>
        <w:rPr>
          <w:rFonts w:hint="eastAsia"/>
          <w:color w:val="auto"/>
          <w:sz w:val="24"/>
        </w:rPr>
        <w:t>，进行事前披露，并征求社区居民意见。</w:t>
      </w:r>
    </w:p>
    <w:p w14:paraId="5F971ADB">
      <w:pPr>
        <w:wordWrap/>
        <w:spacing w:line="360" w:lineRule="auto"/>
        <w:jc w:val="center"/>
        <w:textAlignment w:val="auto"/>
        <w:outlineLvl w:val="2"/>
        <w:rPr>
          <w:rFonts w:ascii="仿宋" w:hAnsi="仿宋" w:eastAsia="仿宋" w:cs="仿宋"/>
          <w:color w:val="auto"/>
          <w:sz w:val="28"/>
          <w:szCs w:val="28"/>
        </w:rPr>
      </w:pPr>
      <w:bookmarkStart w:id="230" w:name="_Toc32142"/>
      <w:bookmarkStart w:id="231" w:name="_Toc1918"/>
      <w:bookmarkStart w:id="232" w:name="_Toc19883"/>
      <w:bookmarkStart w:id="233" w:name="_Toc12551"/>
      <w:bookmarkStart w:id="234" w:name="_Toc24403"/>
      <w:r>
        <w:rPr>
          <w:rFonts w:hint="eastAsia" w:ascii="仿宋" w:hAnsi="仿宋" w:eastAsia="仿宋" w:cs="仿宋"/>
          <w:color w:val="auto"/>
          <w:sz w:val="28"/>
          <w:szCs w:val="28"/>
        </w:rPr>
        <w:t xml:space="preserve">Ⅵ </w:t>
      </w:r>
      <w:r>
        <w:rPr>
          <w:rFonts w:hint="eastAsia" w:ascii="仿宋" w:hAnsi="仿宋" w:eastAsia="仿宋" w:cs="仿宋"/>
          <w:color w:val="auto"/>
          <w:sz w:val="28"/>
          <w:szCs w:val="28"/>
          <w:lang w:val="en-US" w:eastAsia="zh-CN"/>
        </w:rPr>
        <w:t>财务与</w:t>
      </w:r>
      <w:r>
        <w:rPr>
          <w:rFonts w:hint="eastAsia" w:ascii="仿宋" w:hAnsi="仿宋" w:eastAsia="仿宋" w:cs="仿宋"/>
          <w:color w:val="auto"/>
          <w:sz w:val="28"/>
          <w:szCs w:val="28"/>
        </w:rPr>
        <w:t>经济</w:t>
      </w:r>
      <w:bookmarkEnd w:id="230"/>
      <w:bookmarkEnd w:id="231"/>
      <w:bookmarkEnd w:id="232"/>
      <w:bookmarkEnd w:id="233"/>
      <w:bookmarkEnd w:id="234"/>
    </w:p>
    <w:p w14:paraId="79D1F5BD">
      <w:pPr>
        <w:wordWrap/>
        <w:spacing w:line="360" w:lineRule="auto"/>
        <w:ind w:firstLine="0" w:firstLineChars="0"/>
        <w:textAlignment w:val="auto"/>
        <w:rPr>
          <w:rFonts w:hint="eastAsia"/>
          <w:color w:val="auto"/>
          <w:sz w:val="24"/>
          <w:highlight w:val="none"/>
          <w:lang w:val="en-US" w:eastAsia="zh-CN"/>
        </w:rPr>
      </w:pPr>
      <w:r>
        <w:rPr>
          <w:rFonts w:hint="eastAsia"/>
          <w:color w:val="auto"/>
          <w:sz w:val="24"/>
          <w:highlight w:val="none"/>
        </w:rPr>
        <w:t>6.2.1</w:t>
      </w:r>
      <w:r>
        <w:rPr>
          <w:rFonts w:hint="eastAsia"/>
          <w:color w:val="auto"/>
          <w:sz w:val="24"/>
          <w:highlight w:val="none"/>
          <w:lang w:val="en-US" w:eastAsia="zh-CN"/>
        </w:rPr>
        <w:t>2</w:t>
      </w:r>
      <w:r>
        <w:rPr>
          <w:rFonts w:hint="eastAsia"/>
          <w:color w:val="auto"/>
          <w:sz w:val="24"/>
          <w:highlight w:val="none"/>
        </w:rPr>
        <w:t xml:space="preserve"> 规划设计阶段，</w:t>
      </w:r>
      <w:r>
        <w:rPr>
          <w:rFonts w:hint="eastAsia"/>
          <w:color w:val="auto"/>
          <w:sz w:val="24"/>
          <w:highlight w:val="none"/>
          <w:lang w:val="en-US" w:eastAsia="zh-CN"/>
        </w:rPr>
        <w:t>应</w:t>
      </w:r>
      <w:r>
        <w:rPr>
          <w:rFonts w:hint="eastAsia"/>
          <w:color w:val="auto"/>
          <w:sz w:val="24"/>
          <w:highlight w:val="none"/>
        </w:rPr>
        <w:t>综合考虑项目所在地经济环境及市场需求状况，通过项目战略定位与实施，达到促进周边经济发展的目的。</w:t>
      </w:r>
    </w:p>
    <w:p w14:paraId="4C64C27A">
      <w:pPr>
        <w:wordWrap/>
        <w:spacing w:line="360" w:lineRule="auto"/>
        <w:ind w:firstLine="0" w:firstLineChars="0"/>
        <w:textAlignment w:val="auto"/>
        <w:rPr>
          <w:rFonts w:hint="eastAsia"/>
          <w:color w:val="auto"/>
          <w:sz w:val="24"/>
          <w:highlight w:val="none"/>
        </w:rPr>
      </w:pPr>
      <w:r>
        <w:rPr>
          <w:rFonts w:hint="eastAsia"/>
          <w:color w:val="auto"/>
          <w:sz w:val="24"/>
          <w:highlight w:val="none"/>
          <w:lang w:val="en-US" w:eastAsia="zh-CN"/>
        </w:rPr>
        <w:t>6.2.13 施工建造阶段，应在确保质量安全的前提下，有效降低建造成本。</w:t>
      </w:r>
    </w:p>
    <w:p w14:paraId="2D9D4EA7">
      <w:pPr>
        <w:wordWrap/>
        <w:spacing w:line="360" w:lineRule="auto"/>
        <w:ind w:firstLine="0" w:firstLineChars="0"/>
        <w:textAlignment w:val="auto"/>
        <w:rPr>
          <w:rFonts w:hint="eastAsia"/>
          <w:color w:val="auto"/>
          <w:sz w:val="24"/>
          <w:highlight w:val="none"/>
        </w:rPr>
      </w:pPr>
      <w:r>
        <w:rPr>
          <w:rFonts w:hint="eastAsia"/>
          <w:color w:val="auto"/>
          <w:sz w:val="24"/>
          <w:highlight w:val="none"/>
        </w:rPr>
        <w:t>6.2.1</w:t>
      </w:r>
      <w:r>
        <w:rPr>
          <w:rFonts w:hint="eastAsia"/>
          <w:color w:val="auto"/>
          <w:sz w:val="24"/>
          <w:highlight w:val="none"/>
          <w:lang w:val="en-US" w:eastAsia="zh-CN"/>
        </w:rPr>
        <w:t>4</w:t>
      </w:r>
      <w:r>
        <w:rPr>
          <w:rFonts w:hint="eastAsia"/>
          <w:color w:val="auto"/>
          <w:sz w:val="24"/>
          <w:highlight w:val="none"/>
        </w:rPr>
        <w:t xml:space="preserve"> 运行阶段，确保企业财务稳健及项目投资回报率满足预期，保障企业资产、资金安全，</w:t>
      </w:r>
      <w:r>
        <w:rPr>
          <w:rFonts w:hint="eastAsia"/>
          <w:color w:val="auto"/>
          <w:sz w:val="24"/>
          <w:highlight w:val="none"/>
          <w:lang w:eastAsia="zh-CN"/>
        </w:rPr>
        <w:t>应按下列</w:t>
      </w:r>
      <w:r>
        <w:rPr>
          <w:rFonts w:hint="eastAsia"/>
          <w:color w:val="auto"/>
          <w:sz w:val="24"/>
          <w:highlight w:val="none"/>
        </w:rPr>
        <w:t xml:space="preserve">内容分别评分： </w:t>
      </w:r>
    </w:p>
    <w:p w14:paraId="19D2F0F1">
      <w:pPr>
        <w:wordWrap/>
        <w:spacing w:line="360" w:lineRule="auto"/>
        <w:ind w:firstLine="480" w:firstLineChars="200"/>
        <w:textAlignment w:val="auto"/>
        <w:rPr>
          <w:rFonts w:hint="eastAsia"/>
          <w:color w:val="auto"/>
          <w:sz w:val="24"/>
          <w:highlight w:val="none"/>
        </w:rPr>
      </w:pPr>
      <w:r>
        <w:rPr>
          <w:rFonts w:hint="eastAsia"/>
          <w:color w:val="auto"/>
          <w:sz w:val="24"/>
          <w:highlight w:val="none"/>
        </w:rPr>
        <w:t xml:space="preserve">1 设计合理的运行模式，扩大营业收入； </w:t>
      </w:r>
    </w:p>
    <w:p w14:paraId="2B5FE98E">
      <w:pPr>
        <w:wordWrap/>
        <w:spacing w:line="360" w:lineRule="auto"/>
        <w:ind w:firstLine="480" w:firstLineChars="200"/>
        <w:textAlignment w:val="auto"/>
        <w:rPr>
          <w:rFonts w:hint="eastAsia"/>
          <w:color w:val="auto"/>
          <w:sz w:val="24"/>
          <w:highlight w:val="none"/>
        </w:rPr>
      </w:pPr>
      <w:r>
        <w:rPr>
          <w:rFonts w:hint="eastAsia"/>
          <w:color w:val="auto"/>
          <w:sz w:val="24"/>
          <w:highlight w:val="none"/>
        </w:rPr>
        <w:t xml:space="preserve">2 通过技术创新和科学管理与组织，节约成本，提高盈利水平； </w:t>
      </w:r>
    </w:p>
    <w:p w14:paraId="4F8E8711">
      <w:pPr>
        <w:wordWrap/>
        <w:spacing w:line="360" w:lineRule="auto"/>
        <w:ind w:firstLine="480" w:firstLineChars="200"/>
        <w:textAlignment w:val="auto"/>
        <w:rPr>
          <w:rFonts w:hint="eastAsia"/>
          <w:color w:val="auto"/>
          <w:sz w:val="24"/>
          <w:highlight w:val="none"/>
        </w:rPr>
      </w:pPr>
      <w:r>
        <w:rPr>
          <w:rFonts w:hint="eastAsia"/>
          <w:color w:val="auto"/>
          <w:sz w:val="24"/>
          <w:highlight w:val="none"/>
        </w:rPr>
        <w:t>3 公平对待所有投资者，积极进行信息公开披露。</w:t>
      </w:r>
    </w:p>
    <w:p w14:paraId="06DD43DB">
      <w:pPr>
        <w:wordWrap/>
        <w:spacing w:line="360" w:lineRule="auto"/>
        <w:ind w:firstLine="0" w:firstLineChars="0"/>
        <w:textAlignment w:val="auto"/>
        <w:rPr>
          <w:rFonts w:hint="eastAsia"/>
          <w:color w:val="auto"/>
          <w:sz w:val="24"/>
          <w:highlight w:val="none"/>
        </w:rPr>
      </w:pPr>
      <w:r>
        <w:rPr>
          <w:rFonts w:hint="eastAsia"/>
          <w:color w:val="auto"/>
          <w:sz w:val="24"/>
          <w:highlight w:val="none"/>
        </w:rPr>
        <w:t>6.2.1</w:t>
      </w:r>
      <w:r>
        <w:rPr>
          <w:rFonts w:hint="eastAsia"/>
          <w:color w:val="auto"/>
          <w:sz w:val="24"/>
          <w:highlight w:val="none"/>
          <w:lang w:val="en-US" w:eastAsia="zh-CN"/>
        </w:rPr>
        <w:t>5</w:t>
      </w:r>
      <w:r>
        <w:rPr>
          <w:rFonts w:hint="eastAsia"/>
          <w:color w:val="auto"/>
          <w:sz w:val="24"/>
          <w:highlight w:val="none"/>
        </w:rPr>
        <w:t xml:space="preserve"> 运</w:t>
      </w:r>
      <w:r>
        <w:rPr>
          <w:rFonts w:hint="eastAsia"/>
          <w:color w:val="auto"/>
          <w:sz w:val="24"/>
          <w:highlight w:val="none"/>
          <w:lang w:val="en-US" w:eastAsia="zh-CN"/>
        </w:rPr>
        <w:t>行</w:t>
      </w:r>
      <w:r>
        <w:rPr>
          <w:rFonts w:hint="eastAsia"/>
          <w:color w:val="auto"/>
          <w:sz w:val="24"/>
          <w:highlight w:val="none"/>
        </w:rPr>
        <w:t>阶段，项目融入当地产业一体化进程，拉动当地经济发展，</w:t>
      </w:r>
      <w:r>
        <w:rPr>
          <w:rFonts w:hint="eastAsia"/>
          <w:color w:val="auto"/>
          <w:sz w:val="24"/>
          <w:highlight w:val="none"/>
          <w:lang w:eastAsia="zh-CN"/>
        </w:rPr>
        <w:t>应按下列</w:t>
      </w:r>
      <w:r>
        <w:rPr>
          <w:rFonts w:hint="eastAsia"/>
          <w:color w:val="auto"/>
          <w:sz w:val="24"/>
          <w:highlight w:val="none"/>
        </w:rPr>
        <w:t>内容分别评分：</w:t>
      </w:r>
    </w:p>
    <w:p w14:paraId="4938AA75">
      <w:pPr>
        <w:wordWrap/>
        <w:spacing w:line="360" w:lineRule="auto"/>
        <w:ind w:firstLine="480" w:firstLineChars="200"/>
        <w:textAlignment w:val="auto"/>
        <w:rPr>
          <w:rFonts w:hint="eastAsia"/>
          <w:color w:val="auto"/>
          <w:sz w:val="24"/>
          <w:highlight w:val="none"/>
        </w:rPr>
      </w:pPr>
      <w:r>
        <w:rPr>
          <w:rFonts w:hint="eastAsia"/>
          <w:color w:val="auto"/>
          <w:sz w:val="24"/>
          <w:highlight w:val="none"/>
        </w:rPr>
        <w:t>1 提升项目在行业中的竞争地位，带动行业发展；</w:t>
      </w:r>
    </w:p>
    <w:p w14:paraId="02D60900">
      <w:pPr>
        <w:wordWrap/>
        <w:spacing w:line="360" w:lineRule="auto"/>
        <w:ind w:firstLine="480" w:firstLineChars="200"/>
        <w:textAlignment w:val="auto"/>
        <w:rPr>
          <w:rFonts w:hint="eastAsia"/>
          <w:color w:val="auto"/>
          <w:sz w:val="24"/>
          <w:highlight w:val="none"/>
        </w:rPr>
      </w:pPr>
      <w:r>
        <w:rPr>
          <w:rFonts w:hint="eastAsia"/>
          <w:color w:val="auto"/>
          <w:sz w:val="24"/>
          <w:highlight w:val="none"/>
        </w:rPr>
        <w:t>2 整合上下游产业，带动关联产业协同发展；</w:t>
      </w:r>
    </w:p>
    <w:p w14:paraId="3069F194">
      <w:pPr>
        <w:wordWrap/>
        <w:spacing w:line="360" w:lineRule="auto"/>
        <w:ind w:firstLine="480" w:firstLineChars="200"/>
        <w:textAlignment w:val="auto"/>
        <w:rPr>
          <w:rFonts w:hint="eastAsia"/>
          <w:color w:val="auto"/>
          <w:sz w:val="24"/>
          <w:highlight w:val="none"/>
        </w:rPr>
        <w:sectPr>
          <w:pgSz w:w="11906" w:h="16838"/>
          <w:pgMar w:top="1440" w:right="1800" w:bottom="1440" w:left="1800" w:header="851" w:footer="992" w:gutter="0"/>
          <w:pgNumType w:fmt="decimal"/>
          <w:cols w:space="720" w:num="1"/>
          <w:docGrid w:type="lines" w:linePitch="312" w:charSpace="0"/>
        </w:sectPr>
      </w:pPr>
      <w:r>
        <w:rPr>
          <w:rFonts w:hint="eastAsia"/>
          <w:color w:val="auto"/>
          <w:sz w:val="24"/>
          <w:highlight w:val="none"/>
        </w:rPr>
        <w:t>3 项目改善地区经济结构，促进地区经济增长。</w:t>
      </w:r>
    </w:p>
    <w:p w14:paraId="2932C6C8">
      <w:pPr>
        <w:wordWrap/>
        <w:spacing w:line="360" w:lineRule="auto"/>
        <w:jc w:val="center"/>
        <w:textAlignment w:val="auto"/>
        <w:outlineLvl w:val="0"/>
        <w:rPr>
          <w:rFonts w:ascii="宋体" w:hAnsi="宋体" w:eastAsia="宋体" w:cs="宋体"/>
          <w:b/>
          <w:bCs/>
          <w:color w:val="auto"/>
          <w:sz w:val="30"/>
          <w:szCs w:val="30"/>
        </w:rPr>
      </w:pPr>
      <w:bookmarkStart w:id="235" w:name="_Toc24798"/>
      <w:bookmarkStart w:id="236" w:name="_Toc24493"/>
      <w:bookmarkStart w:id="237" w:name="_Toc3744"/>
      <w:bookmarkStart w:id="238" w:name="_Toc17456"/>
      <w:bookmarkStart w:id="239" w:name="_Toc6538"/>
      <w:bookmarkStart w:id="240" w:name="_Toc16258"/>
      <w:bookmarkStart w:id="241" w:name="_Toc23977"/>
      <w:r>
        <w:rPr>
          <w:rFonts w:hint="eastAsia" w:ascii="宋体" w:hAnsi="宋体" w:eastAsia="宋体" w:cs="宋体"/>
          <w:b/>
          <w:bCs/>
          <w:color w:val="auto"/>
          <w:sz w:val="30"/>
          <w:szCs w:val="30"/>
        </w:rPr>
        <w:t>7</w:t>
      </w:r>
      <w:r>
        <w:rPr>
          <w:rFonts w:ascii="宋体" w:hAnsi="宋体" w:eastAsia="宋体" w:cs="宋体"/>
          <w:b/>
          <w:bCs/>
          <w:color w:val="auto"/>
          <w:sz w:val="30"/>
          <w:szCs w:val="30"/>
        </w:rPr>
        <w:t xml:space="preserve"> </w:t>
      </w:r>
      <w:r>
        <w:rPr>
          <w:rFonts w:hint="eastAsia" w:ascii="宋体" w:hAnsi="宋体" w:eastAsia="宋体" w:cs="宋体"/>
          <w:b/>
          <w:bCs/>
          <w:color w:val="auto"/>
          <w:sz w:val="30"/>
          <w:szCs w:val="30"/>
        </w:rPr>
        <w:t>治理可持续</w:t>
      </w:r>
      <w:bookmarkEnd w:id="235"/>
      <w:bookmarkEnd w:id="236"/>
      <w:bookmarkEnd w:id="237"/>
      <w:bookmarkEnd w:id="238"/>
      <w:bookmarkEnd w:id="239"/>
      <w:bookmarkEnd w:id="240"/>
      <w:bookmarkEnd w:id="241"/>
    </w:p>
    <w:p w14:paraId="6FB05025">
      <w:pPr>
        <w:wordWrap/>
        <w:spacing w:line="360" w:lineRule="auto"/>
        <w:jc w:val="center"/>
        <w:textAlignment w:val="auto"/>
        <w:outlineLvl w:val="1"/>
        <w:rPr>
          <w:rFonts w:ascii="黑体" w:hAnsi="黑体" w:eastAsia="黑体" w:cs="黑体"/>
          <w:b/>
          <w:bCs/>
          <w:color w:val="auto"/>
          <w:sz w:val="28"/>
          <w:szCs w:val="28"/>
        </w:rPr>
      </w:pPr>
      <w:bookmarkStart w:id="242" w:name="_Toc20515"/>
      <w:bookmarkStart w:id="243" w:name="_Toc16677"/>
      <w:bookmarkStart w:id="244" w:name="_Toc22490"/>
      <w:bookmarkStart w:id="245" w:name="_Toc27032"/>
      <w:bookmarkStart w:id="246" w:name="_Toc5911"/>
      <w:bookmarkStart w:id="247" w:name="_Toc24666"/>
      <w:bookmarkStart w:id="248" w:name="_Toc16985"/>
      <w:r>
        <w:rPr>
          <w:rFonts w:hint="eastAsia" w:ascii="黑体" w:hAnsi="黑体" w:eastAsia="黑体" w:cs="黑体"/>
          <w:b/>
          <w:bCs/>
          <w:color w:val="auto"/>
          <w:sz w:val="28"/>
          <w:szCs w:val="28"/>
        </w:rPr>
        <w:t>7.1 控制项</w:t>
      </w:r>
      <w:bookmarkEnd w:id="242"/>
      <w:bookmarkEnd w:id="243"/>
      <w:bookmarkEnd w:id="244"/>
      <w:bookmarkEnd w:id="245"/>
      <w:bookmarkEnd w:id="246"/>
      <w:bookmarkEnd w:id="247"/>
      <w:bookmarkEnd w:id="248"/>
    </w:p>
    <w:p w14:paraId="548DE3B5">
      <w:pPr>
        <w:wordWrap/>
        <w:spacing w:line="360" w:lineRule="auto"/>
        <w:textAlignment w:val="auto"/>
        <w:rPr>
          <w:rFonts w:hint="eastAsia"/>
          <w:color w:val="auto"/>
          <w:sz w:val="24"/>
        </w:rPr>
      </w:pPr>
      <w:r>
        <w:rPr>
          <w:rFonts w:hint="eastAsia"/>
          <w:color w:val="auto"/>
          <w:sz w:val="24"/>
        </w:rPr>
        <w:t>7.1.1 企业应树立可持续发展理念，建立项目可持续治理体系和管理考核体系。</w:t>
      </w:r>
    </w:p>
    <w:p w14:paraId="776F3045">
      <w:pPr>
        <w:wordWrap/>
        <w:spacing w:line="360" w:lineRule="auto"/>
        <w:textAlignment w:val="auto"/>
        <w:rPr>
          <w:rFonts w:hint="eastAsia"/>
          <w:color w:val="auto"/>
          <w:sz w:val="24"/>
        </w:rPr>
      </w:pPr>
      <w:r>
        <w:rPr>
          <w:rFonts w:hint="eastAsia"/>
          <w:color w:val="auto"/>
          <w:sz w:val="24"/>
        </w:rPr>
        <w:t>7.1.2 应建立项目的创新管理体系，开展技术创新与技术应用，不断形成具有自主知识产权的技术成果。</w:t>
      </w:r>
    </w:p>
    <w:p w14:paraId="739D6CC5">
      <w:pPr>
        <w:wordWrap/>
        <w:spacing w:line="360" w:lineRule="auto"/>
        <w:ind w:firstLine="0" w:firstLineChars="0"/>
        <w:textAlignment w:val="auto"/>
        <w:rPr>
          <w:rFonts w:hint="default"/>
          <w:color w:val="auto"/>
          <w:sz w:val="24"/>
          <w:lang w:val="en-US" w:eastAsia="zh-CN"/>
        </w:rPr>
      </w:pPr>
      <w:r>
        <w:rPr>
          <w:rFonts w:hint="eastAsia"/>
          <w:color w:val="auto"/>
          <w:sz w:val="24"/>
        </w:rPr>
        <w:t xml:space="preserve">7.1.3 </w:t>
      </w:r>
      <w:r>
        <w:rPr>
          <w:rFonts w:hint="eastAsia" w:ascii="宋体" w:hAnsi="宋体" w:eastAsia="宋体" w:cs="宋体"/>
          <w:color w:val="auto"/>
          <w:sz w:val="24"/>
          <w:highlight w:val="none"/>
          <w:lang w:val="en-US" w:eastAsia="zh-CN"/>
        </w:rPr>
        <w:t>企业应重视项目基础资料收集整理，补齐缺失的既有资料。</w:t>
      </w:r>
    </w:p>
    <w:p w14:paraId="06AA5B83">
      <w:pPr>
        <w:wordWrap/>
        <w:spacing w:line="360" w:lineRule="auto"/>
        <w:textAlignment w:val="auto"/>
        <w:rPr>
          <w:rFonts w:hint="eastAsia"/>
          <w:color w:val="auto"/>
          <w:sz w:val="24"/>
        </w:rPr>
      </w:pPr>
      <w:r>
        <w:rPr>
          <w:rFonts w:hint="eastAsia"/>
          <w:color w:val="auto"/>
          <w:sz w:val="24"/>
        </w:rPr>
        <w:t>7.1.4</w:t>
      </w:r>
      <w:r>
        <w:rPr>
          <w:rFonts w:hint="eastAsia"/>
          <w:color w:val="auto"/>
          <w:sz w:val="24"/>
          <w:lang w:val="en-US" w:eastAsia="zh-CN"/>
        </w:rPr>
        <w:t xml:space="preserve"> </w:t>
      </w:r>
      <w:r>
        <w:rPr>
          <w:rFonts w:hint="eastAsia"/>
          <w:color w:val="auto"/>
          <w:sz w:val="24"/>
        </w:rPr>
        <w:t>应建立项目的信息技术应用管理办法。</w:t>
      </w:r>
    </w:p>
    <w:p w14:paraId="3265096F">
      <w:pPr>
        <w:wordWrap/>
        <w:spacing w:line="360" w:lineRule="auto"/>
        <w:textAlignment w:val="auto"/>
        <w:rPr>
          <w:rFonts w:hint="eastAsia"/>
          <w:color w:val="auto"/>
          <w:sz w:val="24"/>
        </w:rPr>
      </w:pPr>
      <w:r>
        <w:rPr>
          <w:rFonts w:hint="eastAsia"/>
          <w:color w:val="auto"/>
          <w:sz w:val="24"/>
        </w:rPr>
        <w:t>7.1.5 应建立</w:t>
      </w:r>
      <w:r>
        <w:rPr>
          <w:rFonts w:hint="eastAsia"/>
          <w:color w:val="auto"/>
          <w:sz w:val="24"/>
          <w:lang w:val="en-US" w:eastAsia="zh-CN"/>
        </w:rPr>
        <w:t>项目的</w:t>
      </w:r>
      <w:r>
        <w:rPr>
          <w:rFonts w:hint="eastAsia"/>
          <w:color w:val="auto"/>
          <w:sz w:val="24"/>
        </w:rPr>
        <w:t>不可抗力应急管理机制。</w:t>
      </w:r>
    </w:p>
    <w:p w14:paraId="071FAA5C">
      <w:pPr>
        <w:wordWrap/>
        <w:spacing w:line="360" w:lineRule="auto"/>
        <w:ind w:firstLine="0" w:firstLineChars="0"/>
        <w:textAlignment w:val="auto"/>
        <w:rPr>
          <w:rFonts w:hint="eastAsia"/>
          <w:color w:val="auto"/>
          <w:sz w:val="24"/>
          <w:lang w:eastAsia="zh-CN"/>
        </w:rPr>
      </w:pPr>
      <w:r>
        <w:rPr>
          <w:rFonts w:hint="eastAsia"/>
          <w:color w:val="auto"/>
          <w:sz w:val="24"/>
        </w:rPr>
        <w:t>7.1.</w:t>
      </w:r>
      <w:r>
        <w:rPr>
          <w:rFonts w:hint="eastAsia"/>
          <w:color w:val="auto"/>
          <w:sz w:val="24"/>
          <w:lang w:val="en-US" w:eastAsia="zh-CN"/>
        </w:rPr>
        <w:t>6</w:t>
      </w:r>
      <w:r>
        <w:rPr>
          <w:rFonts w:hint="eastAsia"/>
          <w:color w:val="auto"/>
          <w:sz w:val="24"/>
        </w:rPr>
        <w:t xml:space="preserve"> </w:t>
      </w:r>
      <w:r>
        <w:rPr>
          <w:rFonts w:hint="eastAsia"/>
          <w:color w:val="auto"/>
          <w:sz w:val="24"/>
          <w:lang w:val="en-US" w:eastAsia="zh-CN"/>
        </w:rPr>
        <w:t>企业</w:t>
      </w:r>
      <w:r>
        <w:rPr>
          <w:rFonts w:hint="eastAsia"/>
          <w:color w:val="auto"/>
          <w:sz w:val="24"/>
        </w:rPr>
        <w:t>应建立</w:t>
      </w:r>
      <w:r>
        <w:rPr>
          <w:rFonts w:hint="eastAsia"/>
          <w:color w:val="auto"/>
          <w:sz w:val="24"/>
          <w:lang w:val="en-US" w:eastAsia="zh-CN"/>
        </w:rPr>
        <w:t>项目的</w:t>
      </w:r>
      <w:r>
        <w:rPr>
          <w:rFonts w:hint="eastAsia"/>
          <w:color w:val="auto"/>
          <w:sz w:val="24"/>
        </w:rPr>
        <w:t>可持续治理信息披露制度，</w:t>
      </w:r>
      <w:r>
        <w:rPr>
          <w:rFonts w:hint="eastAsia"/>
          <w:color w:val="auto"/>
          <w:sz w:val="24"/>
          <w:lang w:val="en-US" w:eastAsia="zh-CN"/>
        </w:rPr>
        <w:t>信息披露真实、准确、完整、及时，无虚假记载、误导性陈述和重大遗漏，</w:t>
      </w:r>
      <w:r>
        <w:rPr>
          <w:rFonts w:hint="eastAsia"/>
          <w:color w:val="auto"/>
          <w:sz w:val="24"/>
        </w:rPr>
        <w:t>并根据</w:t>
      </w:r>
      <w:r>
        <w:rPr>
          <w:rFonts w:hint="eastAsia"/>
          <w:color w:val="auto"/>
          <w:sz w:val="24"/>
          <w:lang w:val="en-US" w:eastAsia="zh-CN"/>
        </w:rPr>
        <w:t>本标准</w:t>
      </w:r>
      <w:r>
        <w:rPr>
          <w:rFonts w:hint="eastAsia"/>
          <w:color w:val="auto"/>
          <w:sz w:val="24"/>
        </w:rPr>
        <w:t>附录D</w:t>
      </w:r>
      <w:r>
        <w:rPr>
          <w:rFonts w:hint="eastAsia"/>
          <w:color w:val="auto"/>
          <w:sz w:val="24"/>
          <w:lang w:val="en-US" w:eastAsia="zh-CN"/>
        </w:rPr>
        <w:t>的</w:t>
      </w:r>
      <w:r>
        <w:rPr>
          <w:rFonts w:hint="eastAsia"/>
          <w:color w:val="auto"/>
          <w:sz w:val="24"/>
        </w:rPr>
        <w:t>要求，定期披露项目的ESG报告</w:t>
      </w:r>
      <w:r>
        <w:rPr>
          <w:rFonts w:hint="eastAsia"/>
          <w:color w:val="auto"/>
          <w:sz w:val="24"/>
          <w:lang w:eastAsia="zh-CN"/>
        </w:rPr>
        <w:t>。</w:t>
      </w:r>
    </w:p>
    <w:p w14:paraId="79A194D5">
      <w:pPr>
        <w:wordWrap/>
        <w:spacing w:line="360" w:lineRule="auto"/>
        <w:jc w:val="center"/>
        <w:textAlignment w:val="auto"/>
        <w:outlineLvl w:val="1"/>
        <w:rPr>
          <w:rFonts w:ascii="黑体" w:hAnsi="黑体" w:eastAsia="黑体" w:cs="黑体"/>
          <w:b/>
          <w:bCs/>
          <w:color w:val="auto"/>
          <w:sz w:val="28"/>
          <w:szCs w:val="28"/>
        </w:rPr>
      </w:pPr>
      <w:bookmarkStart w:id="249" w:name="_Toc28571"/>
      <w:bookmarkStart w:id="250" w:name="_Toc31669"/>
      <w:bookmarkStart w:id="251" w:name="_Toc7172"/>
      <w:bookmarkStart w:id="252" w:name="_Toc29668"/>
      <w:bookmarkStart w:id="253" w:name="_Toc15390"/>
      <w:bookmarkStart w:id="254" w:name="_Toc8135"/>
      <w:bookmarkStart w:id="255" w:name="_Toc8209"/>
      <w:r>
        <w:rPr>
          <w:rFonts w:hint="eastAsia" w:ascii="黑体" w:hAnsi="黑体" w:eastAsia="黑体" w:cs="黑体"/>
          <w:b/>
          <w:bCs/>
          <w:color w:val="auto"/>
          <w:sz w:val="28"/>
          <w:szCs w:val="28"/>
        </w:rPr>
        <w:t>7.2 评分项</w:t>
      </w:r>
      <w:bookmarkEnd w:id="249"/>
      <w:bookmarkEnd w:id="250"/>
      <w:bookmarkEnd w:id="251"/>
      <w:bookmarkEnd w:id="252"/>
      <w:bookmarkEnd w:id="253"/>
      <w:bookmarkEnd w:id="254"/>
      <w:bookmarkEnd w:id="255"/>
    </w:p>
    <w:p w14:paraId="6B5BFAFC">
      <w:pPr>
        <w:wordWrap/>
        <w:spacing w:line="360" w:lineRule="auto"/>
        <w:jc w:val="center"/>
        <w:textAlignment w:val="auto"/>
        <w:outlineLvl w:val="2"/>
        <w:rPr>
          <w:rFonts w:ascii="仿宋" w:hAnsi="仿宋" w:eastAsia="仿宋" w:cs="仿宋"/>
          <w:color w:val="auto"/>
          <w:sz w:val="28"/>
          <w:szCs w:val="28"/>
        </w:rPr>
      </w:pPr>
      <w:bookmarkStart w:id="256" w:name="_Toc12882"/>
      <w:bookmarkStart w:id="257" w:name="_Toc10758"/>
      <w:bookmarkStart w:id="258" w:name="_Toc25397"/>
      <w:bookmarkStart w:id="259" w:name="_Toc21826"/>
      <w:bookmarkStart w:id="260" w:name="_Toc9429"/>
      <w:r>
        <w:rPr>
          <w:rFonts w:hint="eastAsia" w:ascii="仿宋" w:hAnsi="仿宋" w:eastAsia="仿宋" w:cs="仿宋"/>
          <w:color w:val="auto"/>
          <w:sz w:val="28"/>
          <w:szCs w:val="28"/>
        </w:rPr>
        <w:t>Ⅰ 管理体系</w:t>
      </w:r>
      <w:bookmarkEnd w:id="256"/>
      <w:bookmarkEnd w:id="257"/>
      <w:bookmarkEnd w:id="258"/>
      <w:bookmarkEnd w:id="259"/>
      <w:bookmarkEnd w:id="260"/>
    </w:p>
    <w:p w14:paraId="09E8D9F5">
      <w:pPr>
        <w:wordWrap/>
        <w:spacing w:line="360" w:lineRule="auto"/>
        <w:textAlignment w:val="auto"/>
        <w:rPr>
          <w:rFonts w:hint="eastAsia"/>
          <w:color w:val="auto"/>
          <w:sz w:val="24"/>
          <w:lang w:val="en-US" w:eastAsia="zh-CN"/>
        </w:rPr>
      </w:pPr>
      <w:r>
        <w:rPr>
          <w:rFonts w:hint="eastAsia"/>
          <w:color w:val="auto"/>
          <w:sz w:val="24"/>
          <w:lang w:val="en-US" w:eastAsia="zh-CN"/>
        </w:rPr>
        <w:t>7.2.1 项目施工建造和运行阶段，建立完善的项目可持续治理体系，具有完善配套制度及流程，应按下列内容分别评分：</w:t>
      </w:r>
    </w:p>
    <w:p w14:paraId="5CCAA3C4">
      <w:pPr>
        <w:wordWrap/>
        <w:spacing w:line="360" w:lineRule="auto"/>
        <w:ind w:firstLine="480" w:firstLineChars="200"/>
        <w:textAlignment w:val="auto"/>
        <w:rPr>
          <w:rFonts w:hint="eastAsia"/>
          <w:color w:val="auto"/>
          <w:sz w:val="24"/>
          <w:lang w:val="en-US" w:eastAsia="zh-CN"/>
        </w:rPr>
      </w:pPr>
      <w:r>
        <w:rPr>
          <w:rFonts w:hint="eastAsia"/>
          <w:color w:val="auto"/>
          <w:sz w:val="24"/>
          <w:lang w:val="en-US" w:eastAsia="zh-CN"/>
        </w:rPr>
        <w:t xml:space="preserve">1 建立机构完整、权责明确、制度完善、流程清晰的项目可持续治理体系； </w:t>
      </w:r>
    </w:p>
    <w:p w14:paraId="45FD4A59">
      <w:pPr>
        <w:wordWrap/>
        <w:spacing w:line="360" w:lineRule="auto"/>
        <w:ind w:firstLine="480" w:firstLineChars="200"/>
        <w:textAlignment w:val="auto"/>
        <w:rPr>
          <w:rFonts w:hint="eastAsia"/>
          <w:color w:val="auto"/>
          <w:sz w:val="24"/>
          <w:lang w:val="en-US" w:eastAsia="zh-CN"/>
        </w:rPr>
      </w:pPr>
      <w:r>
        <w:rPr>
          <w:rFonts w:hint="eastAsia"/>
          <w:color w:val="auto"/>
          <w:sz w:val="24"/>
          <w:lang w:val="en-US" w:eastAsia="zh-CN"/>
        </w:rPr>
        <w:t xml:space="preserve">2 人员配备合理，且保证一位高层管理团队成员负责可持续性和韧性事务； </w:t>
      </w:r>
    </w:p>
    <w:p w14:paraId="598D3CAC">
      <w:pPr>
        <w:wordWrap/>
        <w:spacing w:line="360" w:lineRule="auto"/>
        <w:ind w:firstLine="480" w:firstLineChars="200"/>
        <w:textAlignment w:val="auto"/>
        <w:rPr>
          <w:color w:val="auto"/>
        </w:rPr>
      </w:pPr>
      <w:r>
        <w:rPr>
          <w:rFonts w:hint="eastAsia"/>
          <w:color w:val="auto"/>
          <w:sz w:val="24"/>
          <w:lang w:val="en-US" w:eastAsia="zh-CN"/>
        </w:rPr>
        <w:t>3 在项目治理体系中，包含利益相关方共同参与。</w:t>
      </w:r>
    </w:p>
    <w:p w14:paraId="391298F7">
      <w:pPr>
        <w:wordWrap/>
        <w:spacing w:line="360" w:lineRule="auto"/>
        <w:textAlignment w:val="auto"/>
        <w:rPr>
          <w:rFonts w:hint="eastAsia"/>
          <w:color w:val="auto"/>
          <w:sz w:val="24"/>
          <w:lang w:val="en-US" w:eastAsia="zh-CN"/>
        </w:rPr>
      </w:pPr>
      <w:r>
        <w:rPr>
          <w:rFonts w:hint="eastAsia"/>
          <w:color w:val="auto"/>
          <w:sz w:val="24"/>
          <w:lang w:val="en-US" w:eastAsia="zh-CN"/>
        </w:rPr>
        <w:t xml:space="preserve">7.2.2 建立项目可持续考核体系，并定期进行考核，应按下列内容分别评分： </w:t>
      </w:r>
    </w:p>
    <w:p w14:paraId="382FF6E8">
      <w:pPr>
        <w:wordWrap/>
        <w:spacing w:line="360" w:lineRule="auto"/>
        <w:ind w:firstLine="480" w:firstLineChars="200"/>
        <w:textAlignment w:val="auto"/>
        <w:rPr>
          <w:rFonts w:hint="eastAsia"/>
          <w:color w:val="auto"/>
          <w:sz w:val="24"/>
          <w:lang w:val="en-US" w:eastAsia="zh-CN"/>
        </w:rPr>
      </w:pPr>
      <w:r>
        <w:rPr>
          <w:rFonts w:hint="eastAsia"/>
          <w:color w:val="auto"/>
          <w:sz w:val="24"/>
          <w:lang w:val="en-US" w:eastAsia="zh-CN"/>
        </w:rPr>
        <w:t xml:space="preserve">1 建立目标完成情况的监督机制和定期考核管理办法，设定考核标准； </w:t>
      </w:r>
    </w:p>
    <w:p w14:paraId="446C6644">
      <w:pPr>
        <w:wordWrap/>
        <w:spacing w:line="360" w:lineRule="auto"/>
        <w:ind w:firstLine="480" w:firstLineChars="200"/>
        <w:textAlignment w:val="auto"/>
        <w:rPr>
          <w:rFonts w:hint="eastAsia"/>
          <w:color w:val="auto"/>
          <w:sz w:val="24"/>
          <w:lang w:val="en-US" w:eastAsia="zh-CN"/>
        </w:rPr>
      </w:pPr>
      <w:r>
        <w:rPr>
          <w:rFonts w:hint="eastAsia"/>
          <w:color w:val="auto"/>
          <w:sz w:val="24"/>
          <w:lang w:val="en-US" w:eastAsia="zh-CN"/>
        </w:rPr>
        <w:t>2 按照项目考核办法和标准要求，定期进行考核，并对考核结果予以反馈与修正。</w:t>
      </w:r>
    </w:p>
    <w:p w14:paraId="179ACAB5">
      <w:pPr>
        <w:wordWrap/>
        <w:spacing w:line="360" w:lineRule="auto"/>
        <w:jc w:val="center"/>
        <w:textAlignment w:val="auto"/>
        <w:outlineLvl w:val="2"/>
        <w:rPr>
          <w:rFonts w:hint="eastAsia" w:ascii="仿宋" w:hAnsi="仿宋" w:eastAsia="宋体" w:cs="仿宋"/>
          <w:color w:val="auto"/>
          <w:sz w:val="28"/>
          <w:szCs w:val="28"/>
          <w:lang w:eastAsia="zh-CN"/>
        </w:rPr>
      </w:pPr>
      <w:bookmarkStart w:id="261" w:name="_Toc12504"/>
      <w:bookmarkStart w:id="262" w:name="_Toc25781"/>
      <w:r>
        <w:rPr>
          <w:rFonts w:hint="eastAsia" w:ascii="仿宋" w:hAnsi="仿宋" w:eastAsia="仿宋" w:cs="仿宋"/>
          <w:color w:val="auto"/>
          <w:sz w:val="28"/>
          <w:szCs w:val="28"/>
        </w:rPr>
        <w:t>Ⅱ 风险和应急管理</w:t>
      </w:r>
      <w:bookmarkEnd w:id="261"/>
      <w:bookmarkEnd w:id="262"/>
    </w:p>
    <w:p w14:paraId="61A96D3B">
      <w:pPr>
        <w:wordWrap/>
        <w:spacing w:line="360" w:lineRule="auto"/>
        <w:textAlignment w:val="auto"/>
        <w:rPr>
          <w:rFonts w:hint="eastAsia"/>
          <w:color w:val="auto"/>
          <w:sz w:val="24"/>
        </w:rPr>
      </w:pPr>
      <w:r>
        <w:rPr>
          <w:rFonts w:hint="eastAsia"/>
          <w:color w:val="auto"/>
          <w:sz w:val="24"/>
        </w:rPr>
        <w:t>7.2.</w:t>
      </w:r>
      <w:r>
        <w:rPr>
          <w:rFonts w:hint="eastAsia"/>
          <w:color w:val="auto"/>
          <w:sz w:val="24"/>
          <w:lang w:val="en-US" w:eastAsia="zh-CN"/>
        </w:rPr>
        <w:t>3</w:t>
      </w:r>
      <w:r>
        <w:rPr>
          <w:rFonts w:hint="eastAsia"/>
          <w:color w:val="auto"/>
          <w:sz w:val="24"/>
          <w:highlight w:val="none"/>
        </w:rPr>
        <w:t xml:space="preserve"> </w:t>
      </w:r>
      <w:r>
        <w:rPr>
          <w:rFonts w:hint="eastAsia" w:ascii="宋体" w:hAnsi="宋体" w:eastAsia="宋体" w:cs="宋体"/>
          <w:color w:val="auto"/>
          <w:sz w:val="24"/>
          <w:highlight w:val="none"/>
          <w:lang w:val="en-US" w:eastAsia="zh-CN"/>
        </w:rPr>
        <w:t>加强应急管理，保证事故处理的效率</w:t>
      </w:r>
      <w:r>
        <w:rPr>
          <w:rFonts w:hint="eastAsia"/>
          <w:color w:val="auto"/>
          <w:sz w:val="24"/>
          <w:highlight w:val="none"/>
          <w:lang w:eastAsia="zh-CN"/>
        </w:rPr>
        <w:t>，应按下列</w:t>
      </w:r>
      <w:r>
        <w:rPr>
          <w:rFonts w:hint="eastAsia"/>
          <w:color w:val="auto"/>
          <w:sz w:val="24"/>
        </w:rPr>
        <w:t>内容分别评分：</w:t>
      </w:r>
    </w:p>
    <w:p w14:paraId="16AD65E1">
      <w:pPr>
        <w:wordWrap/>
        <w:spacing w:line="360" w:lineRule="auto"/>
        <w:ind w:firstLine="480"/>
        <w:textAlignment w:val="auto"/>
        <w:rPr>
          <w:rFonts w:hint="eastAsia" w:eastAsia="宋体"/>
          <w:color w:val="auto"/>
          <w:sz w:val="24"/>
          <w:lang w:eastAsia="zh-CN"/>
        </w:rPr>
      </w:pPr>
      <w:r>
        <w:rPr>
          <w:rFonts w:hint="eastAsia"/>
          <w:color w:val="auto"/>
          <w:sz w:val="24"/>
        </w:rPr>
        <w:t>1 建立项目应急管理预案与保障机制，确保及时应对突发事件</w:t>
      </w:r>
      <w:r>
        <w:rPr>
          <w:rFonts w:hint="eastAsia"/>
          <w:color w:val="auto"/>
          <w:sz w:val="24"/>
          <w:lang w:eastAsia="zh-CN"/>
        </w:rPr>
        <w:t>；</w:t>
      </w:r>
    </w:p>
    <w:p w14:paraId="67273F0A">
      <w:pPr>
        <w:wordWrap/>
        <w:spacing w:line="360" w:lineRule="auto"/>
        <w:ind w:firstLine="480"/>
        <w:textAlignment w:val="auto"/>
        <w:rPr>
          <w:rFonts w:hint="eastAsia"/>
          <w:color w:val="auto"/>
          <w:sz w:val="24"/>
        </w:rPr>
      </w:pPr>
      <w:r>
        <w:rPr>
          <w:rFonts w:hint="eastAsia"/>
          <w:color w:val="auto"/>
          <w:sz w:val="24"/>
        </w:rPr>
        <w:t>2 应急预案中关注生态灾难（如地震、 洪水、灾害、极端天气等）应急管理和对人为造成事故的应急管理。</w:t>
      </w:r>
    </w:p>
    <w:p w14:paraId="6485F0EA">
      <w:pPr>
        <w:wordWrap/>
        <w:spacing w:line="360" w:lineRule="auto"/>
        <w:textAlignment w:val="auto"/>
        <w:rPr>
          <w:rFonts w:hint="eastAsia"/>
          <w:color w:val="auto"/>
          <w:sz w:val="24"/>
        </w:rPr>
      </w:pPr>
      <w:r>
        <w:rPr>
          <w:rFonts w:hint="eastAsia"/>
          <w:color w:val="auto"/>
          <w:sz w:val="24"/>
        </w:rPr>
        <w:t>7.2.</w:t>
      </w:r>
      <w:r>
        <w:rPr>
          <w:rFonts w:hint="eastAsia"/>
          <w:color w:val="auto"/>
          <w:sz w:val="24"/>
          <w:lang w:val="en-US" w:eastAsia="zh-CN"/>
        </w:rPr>
        <w:t>4</w:t>
      </w:r>
      <w:r>
        <w:rPr>
          <w:rFonts w:hint="eastAsia"/>
          <w:color w:val="auto"/>
          <w:sz w:val="24"/>
        </w:rPr>
        <w:t xml:space="preserve"> 应急措施、演练、设备完整，</w:t>
      </w:r>
      <w:r>
        <w:rPr>
          <w:rFonts w:hint="eastAsia"/>
          <w:color w:val="auto"/>
          <w:sz w:val="24"/>
          <w:lang w:eastAsia="zh-CN"/>
        </w:rPr>
        <w:t>应按下列</w:t>
      </w:r>
      <w:r>
        <w:rPr>
          <w:rFonts w:hint="eastAsia"/>
          <w:color w:val="auto"/>
          <w:sz w:val="24"/>
        </w:rPr>
        <w:t xml:space="preserve">内容分别评分并累计 </w:t>
      </w:r>
    </w:p>
    <w:p w14:paraId="3626D075">
      <w:pPr>
        <w:wordWrap/>
        <w:spacing w:line="360" w:lineRule="auto"/>
        <w:ind w:firstLine="480"/>
        <w:textAlignment w:val="auto"/>
        <w:rPr>
          <w:rFonts w:hint="eastAsia"/>
          <w:color w:val="auto"/>
          <w:sz w:val="24"/>
        </w:rPr>
      </w:pPr>
      <w:r>
        <w:rPr>
          <w:rFonts w:hint="eastAsia"/>
          <w:color w:val="auto"/>
          <w:sz w:val="24"/>
        </w:rPr>
        <w:t>1 应用数字技术，实现对应急管理情况的实时监测和预警；</w:t>
      </w:r>
    </w:p>
    <w:p w14:paraId="59EE86EA">
      <w:pPr>
        <w:wordWrap/>
        <w:spacing w:line="360" w:lineRule="auto"/>
        <w:ind w:firstLine="480"/>
        <w:textAlignment w:val="auto"/>
        <w:rPr>
          <w:rFonts w:hint="eastAsia"/>
          <w:color w:val="auto"/>
          <w:sz w:val="24"/>
        </w:rPr>
      </w:pPr>
      <w:r>
        <w:rPr>
          <w:rFonts w:hint="eastAsia"/>
          <w:color w:val="auto"/>
          <w:sz w:val="24"/>
        </w:rPr>
        <w:t>2 提供必需的应急响应设备，定期检查和维护，确保其功能正常；</w:t>
      </w:r>
    </w:p>
    <w:p w14:paraId="26DC5D96">
      <w:pPr>
        <w:wordWrap/>
        <w:spacing w:line="360" w:lineRule="auto"/>
        <w:ind w:firstLine="480"/>
        <w:textAlignment w:val="auto"/>
        <w:rPr>
          <w:rFonts w:hint="eastAsia"/>
          <w:color w:val="auto"/>
          <w:sz w:val="24"/>
        </w:rPr>
      </w:pPr>
      <w:r>
        <w:rPr>
          <w:rFonts w:hint="eastAsia"/>
          <w:color w:val="auto"/>
          <w:sz w:val="24"/>
        </w:rPr>
        <w:t xml:space="preserve">3 对项目现场员工进行疏散和紧急情况管理的培训，提供明确的疏散计划和紧急措施指示，并定期进行演习。 </w:t>
      </w:r>
    </w:p>
    <w:p w14:paraId="5006B196">
      <w:pPr>
        <w:wordWrap/>
        <w:spacing w:line="360" w:lineRule="auto"/>
        <w:ind w:firstLine="0"/>
        <w:textAlignment w:val="auto"/>
        <w:rPr>
          <w:rFonts w:hint="default"/>
          <w:color w:val="auto"/>
          <w:sz w:val="24"/>
          <w:lang w:val="en-US"/>
        </w:rPr>
      </w:pPr>
      <w:r>
        <w:rPr>
          <w:rFonts w:hint="eastAsia"/>
          <w:color w:val="auto"/>
          <w:sz w:val="24"/>
        </w:rPr>
        <w:t>7.2.</w:t>
      </w:r>
      <w:r>
        <w:rPr>
          <w:rFonts w:hint="eastAsia"/>
          <w:color w:val="auto"/>
          <w:sz w:val="24"/>
          <w:lang w:val="en-US" w:eastAsia="zh-CN"/>
        </w:rPr>
        <w:t>5 运行阶段，当供热管道、燃气管道、供排水管道等出现泄漏、管身断裂、保温结构破坏等损坏时，</w:t>
      </w:r>
      <w:r>
        <w:rPr>
          <w:rFonts w:hint="eastAsia" w:ascii="宋体" w:hAnsi="宋体" w:eastAsia="宋体" w:cs="宋体"/>
          <w:color w:val="auto"/>
          <w:sz w:val="24"/>
          <w:lang w:val="en-US" w:eastAsia="zh-CN"/>
        </w:rPr>
        <w:t>企业应采取有效措施，</w:t>
      </w:r>
      <w:r>
        <w:rPr>
          <w:rFonts w:hint="eastAsia"/>
          <w:color w:val="auto"/>
          <w:sz w:val="24"/>
          <w:lang w:val="en-US" w:eastAsia="zh-CN"/>
        </w:rPr>
        <w:t>应及时查找事故原因，进行应急处置和修复。</w:t>
      </w:r>
    </w:p>
    <w:p w14:paraId="5321BF0F">
      <w:pPr>
        <w:wordWrap/>
        <w:spacing w:line="360" w:lineRule="auto"/>
        <w:jc w:val="center"/>
        <w:textAlignment w:val="auto"/>
        <w:outlineLvl w:val="2"/>
        <w:rPr>
          <w:rFonts w:ascii="仿宋" w:hAnsi="仿宋" w:eastAsia="仿宋" w:cs="仿宋"/>
          <w:color w:val="auto"/>
          <w:sz w:val="28"/>
          <w:szCs w:val="28"/>
        </w:rPr>
      </w:pPr>
      <w:bookmarkStart w:id="263" w:name="_Toc8190"/>
      <w:bookmarkStart w:id="264" w:name="_Toc6530"/>
      <w:r>
        <w:rPr>
          <w:rFonts w:hint="eastAsia" w:ascii="仿宋" w:hAnsi="仿宋" w:eastAsia="仿宋" w:cs="仿宋"/>
          <w:color w:val="auto"/>
          <w:sz w:val="28"/>
          <w:szCs w:val="28"/>
        </w:rPr>
        <w:t>Ⅲ 创新体系</w:t>
      </w:r>
      <w:bookmarkEnd w:id="263"/>
      <w:bookmarkEnd w:id="264"/>
    </w:p>
    <w:p w14:paraId="4F0E924F">
      <w:pPr>
        <w:wordWrap/>
        <w:spacing w:line="360" w:lineRule="auto"/>
        <w:textAlignment w:val="auto"/>
        <w:rPr>
          <w:rFonts w:hint="eastAsia"/>
          <w:color w:val="auto"/>
          <w:sz w:val="24"/>
          <w:lang w:val="en-US" w:eastAsia="zh-CN"/>
        </w:rPr>
      </w:pPr>
      <w:r>
        <w:rPr>
          <w:rFonts w:hint="eastAsia"/>
          <w:color w:val="auto"/>
          <w:sz w:val="24"/>
          <w:lang w:val="en-US" w:eastAsia="zh-CN"/>
        </w:rPr>
        <w:t>7.2.6 结合工程特点组织开展新技术应用与创新活动，应按下列内容分别评分：</w:t>
      </w:r>
    </w:p>
    <w:p w14:paraId="0A0FBC09">
      <w:pPr>
        <w:wordWrap/>
        <w:spacing w:line="360" w:lineRule="auto"/>
        <w:ind w:firstLine="480" w:firstLineChars="200"/>
        <w:textAlignment w:val="auto"/>
        <w:rPr>
          <w:rFonts w:hint="eastAsia"/>
          <w:color w:val="auto"/>
          <w:sz w:val="24"/>
          <w:lang w:val="en-US" w:eastAsia="zh-CN"/>
        </w:rPr>
      </w:pPr>
      <w:r>
        <w:rPr>
          <w:rFonts w:hint="eastAsia"/>
          <w:color w:val="auto"/>
          <w:sz w:val="24"/>
          <w:lang w:val="en-US" w:eastAsia="zh-CN"/>
        </w:rPr>
        <w:t xml:space="preserve">1 建立完善的创新管理机制； </w:t>
      </w:r>
    </w:p>
    <w:p w14:paraId="7D511566">
      <w:pPr>
        <w:wordWrap/>
        <w:spacing w:line="360" w:lineRule="auto"/>
        <w:ind w:firstLine="480" w:firstLineChars="200"/>
        <w:textAlignment w:val="auto"/>
        <w:rPr>
          <w:rFonts w:hint="eastAsia"/>
          <w:color w:val="auto"/>
          <w:sz w:val="24"/>
          <w:lang w:val="en-US" w:eastAsia="zh-CN"/>
        </w:rPr>
      </w:pPr>
      <w:r>
        <w:rPr>
          <w:rFonts w:hint="eastAsia"/>
          <w:color w:val="auto"/>
          <w:sz w:val="24"/>
          <w:lang w:val="en-US" w:eastAsia="zh-CN"/>
        </w:rPr>
        <w:t>2 结合工程特点，立项开展绿色低碳技术的研究和推广应用；</w:t>
      </w:r>
    </w:p>
    <w:p w14:paraId="2318C54E">
      <w:pPr>
        <w:wordWrap/>
        <w:spacing w:line="360" w:lineRule="auto"/>
        <w:ind w:firstLine="480" w:firstLineChars="200"/>
        <w:textAlignment w:val="auto"/>
        <w:rPr>
          <w:rFonts w:hint="eastAsia"/>
          <w:color w:val="auto"/>
          <w:sz w:val="24"/>
          <w:lang w:val="en-US" w:eastAsia="zh-CN"/>
        </w:rPr>
      </w:pPr>
      <w:r>
        <w:rPr>
          <w:rFonts w:hint="eastAsia"/>
          <w:color w:val="auto"/>
          <w:sz w:val="24"/>
          <w:lang w:val="en-US" w:eastAsia="zh-CN"/>
        </w:rPr>
        <w:t>3 对创新技术形成评价报告。</w:t>
      </w:r>
    </w:p>
    <w:p w14:paraId="486D195B">
      <w:pPr>
        <w:wordWrap/>
        <w:spacing w:line="360" w:lineRule="auto"/>
        <w:textAlignment w:val="auto"/>
        <w:rPr>
          <w:rFonts w:hint="eastAsia"/>
          <w:color w:val="auto"/>
          <w:sz w:val="24"/>
          <w:lang w:val="en-US" w:eastAsia="zh-CN"/>
        </w:rPr>
      </w:pPr>
      <w:r>
        <w:rPr>
          <w:rFonts w:hint="eastAsia"/>
          <w:color w:val="auto"/>
          <w:sz w:val="24"/>
          <w:lang w:val="en-US" w:eastAsia="zh-CN"/>
        </w:rPr>
        <w:t>7.2.7 在项目全周期中应用数字化、信息化技术、智能化技术，应按下列内容分别评分：</w:t>
      </w:r>
    </w:p>
    <w:p w14:paraId="113E0046">
      <w:pPr>
        <w:wordWrap/>
        <w:spacing w:line="360" w:lineRule="auto"/>
        <w:ind w:firstLine="480" w:firstLineChars="200"/>
        <w:textAlignment w:val="auto"/>
        <w:rPr>
          <w:rFonts w:hint="eastAsia"/>
          <w:color w:val="auto"/>
          <w:sz w:val="24"/>
          <w:lang w:val="en-US" w:eastAsia="zh-CN"/>
        </w:rPr>
      </w:pPr>
      <w:r>
        <w:rPr>
          <w:rFonts w:hint="eastAsia"/>
          <w:color w:val="auto"/>
          <w:sz w:val="24"/>
          <w:lang w:val="en-US" w:eastAsia="zh-CN"/>
        </w:rPr>
        <w:t>1 规划设计阶段，构建统一数字化平台，实现项目业务数据共享与协同；应用人工智能等技术展开需求分析、需求与技术供给精准匹配、参数优化、设计辅助等工作；</w:t>
      </w:r>
    </w:p>
    <w:p w14:paraId="1392878F">
      <w:pPr>
        <w:wordWrap/>
        <w:spacing w:line="360" w:lineRule="auto"/>
        <w:ind w:firstLine="480" w:firstLineChars="200"/>
        <w:textAlignment w:val="auto"/>
        <w:rPr>
          <w:rFonts w:hint="eastAsia"/>
          <w:color w:val="auto"/>
          <w:sz w:val="24"/>
          <w:lang w:val="en-US" w:eastAsia="zh-CN"/>
        </w:rPr>
      </w:pPr>
      <w:r>
        <w:rPr>
          <w:rFonts w:hint="eastAsia"/>
          <w:color w:val="auto"/>
          <w:sz w:val="24"/>
          <w:lang w:val="en-US" w:eastAsia="zh-CN"/>
        </w:rPr>
        <w:t>2 施工建造阶段，应根据项目需求，采用智慧工地管理系统，实现信息互通共享、工作协同、智能决策分析、风险预控；</w:t>
      </w:r>
    </w:p>
    <w:p w14:paraId="515308A5">
      <w:pPr>
        <w:wordWrap/>
        <w:spacing w:line="360" w:lineRule="auto"/>
        <w:ind w:firstLine="480" w:firstLineChars="200"/>
        <w:textAlignment w:val="auto"/>
        <w:rPr>
          <w:rFonts w:hint="eastAsia"/>
          <w:color w:val="auto"/>
          <w:sz w:val="24"/>
          <w:lang w:val="en-US" w:eastAsia="zh-CN"/>
        </w:rPr>
      </w:pPr>
      <w:r>
        <w:rPr>
          <w:rFonts w:hint="eastAsia"/>
          <w:color w:val="auto"/>
          <w:sz w:val="24"/>
          <w:lang w:val="en-US" w:eastAsia="zh-CN"/>
        </w:rPr>
        <w:t>3 运行阶段，应用智能化技术预测设备运行维护需求、优化能源综合利用等。</w:t>
      </w:r>
    </w:p>
    <w:p w14:paraId="74FA3456">
      <w:pPr>
        <w:wordWrap/>
        <w:spacing w:line="360" w:lineRule="auto"/>
        <w:jc w:val="center"/>
        <w:textAlignment w:val="auto"/>
        <w:outlineLvl w:val="2"/>
        <w:rPr>
          <w:rFonts w:hint="default" w:ascii="仿宋" w:hAnsi="仿宋" w:eastAsia="微软雅黑" w:cs="仿宋"/>
          <w:color w:val="auto"/>
          <w:sz w:val="28"/>
          <w:szCs w:val="28"/>
          <w:lang w:val="en-US" w:eastAsia="zh-CN"/>
        </w:rPr>
      </w:pPr>
      <w:bookmarkStart w:id="265" w:name="_Toc28859"/>
      <w:bookmarkStart w:id="266" w:name="_Toc23538"/>
      <w:r>
        <w:rPr>
          <w:rFonts w:hint="eastAsia" w:ascii="微软雅黑" w:hAnsi="微软雅黑" w:eastAsia="微软雅黑" w:cs="微软雅黑"/>
          <w:color w:val="auto"/>
          <w:sz w:val="28"/>
          <w:szCs w:val="28"/>
        </w:rPr>
        <w:t>Ⅳ</w:t>
      </w:r>
      <w:r>
        <w:rPr>
          <w:rFonts w:hint="eastAsia" w:ascii="微软雅黑" w:hAnsi="微软雅黑" w:eastAsia="微软雅黑" w:cs="微软雅黑"/>
          <w:color w:val="auto"/>
          <w:sz w:val="28"/>
          <w:szCs w:val="28"/>
          <w:lang w:val="en-US" w:eastAsia="zh-CN"/>
        </w:rPr>
        <w:t xml:space="preserve"> </w:t>
      </w:r>
      <w:r>
        <w:rPr>
          <w:rFonts w:hint="eastAsia" w:ascii="仿宋" w:hAnsi="仿宋" w:eastAsia="仿宋" w:cs="仿宋"/>
          <w:color w:val="auto"/>
          <w:sz w:val="28"/>
          <w:szCs w:val="28"/>
          <w:lang w:val="en-US" w:eastAsia="zh-CN"/>
        </w:rPr>
        <w:t>信息披露</w:t>
      </w:r>
      <w:bookmarkEnd w:id="265"/>
      <w:bookmarkEnd w:id="266"/>
    </w:p>
    <w:p w14:paraId="6DB563D3">
      <w:pPr>
        <w:wordWrap/>
        <w:spacing w:line="360" w:lineRule="auto"/>
        <w:ind w:firstLine="0" w:firstLineChars="0"/>
        <w:textAlignment w:val="auto"/>
        <w:rPr>
          <w:rFonts w:hint="default"/>
          <w:color w:val="auto"/>
          <w:sz w:val="24"/>
          <w:lang w:val="en-US" w:eastAsia="zh-CN"/>
        </w:rPr>
      </w:pPr>
      <w:r>
        <w:rPr>
          <w:rFonts w:hint="default"/>
          <w:color w:val="auto"/>
          <w:sz w:val="24"/>
          <w:lang w:val="en-US" w:eastAsia="zh-CN"/>
        </w:rPr>
        <w:t>7.2.</w:t>
      </w:r>
      <w:r>
        <w:rPr>
          <w:rFonts w:hint="eastAsia"/>
          <w:color w:val="auto"/>
          <w:sz w:val="24"/>
          <w:lang w:val="en-US" w:eastAsia="zh-CN"/>
        </w:rPr>
        <w:t>8</w:t>
      </w:r>
      <w:r>
        <w:rPr>
          <w:rFonts w:hint="default"/>
          <w:color w:val="auto"/>
          <w:sz w:val="24"/>
          <w:lang w:val="en-US" w:eastAsia="zh-CN"/>
        </w:rPr>
        <w:t xml:space="preserve"> 定期对相关信息进行披露，全面提升项目透明度，</w:t>
      </w:r>
      <w:r>
        <w:rPr>
          <w:rFonts w:hint="eastAsia"/>
          <w:color w:val="auto"/>
          <w:sz w:val="24"/>
          <w:lang w:val="en-US" w:eastAsia="zh-CN"/>
        </w:rPr>
        <w:t>应按下列</w:t>
      </w:r>
      <w:r>
        <w:rPr>
          <w:rFonts w:hint="default"/>
          <w:color w:val="auto"/>
          <w:sz w:val="24"/>
          <w:lang w:val="en-US" w:eastAsia="zh-CN"/>
        </w:rPr>
        <w:t>内容分别评分：</w:t>
      </w:r>
    </w:p>
    <w:p w14:paraId="4087D45B">
      <w:pPr>
        <w:wordWrap/>
        <w:spacing w:line="360" w:lineRule="auto"/>
        <w:ind w:firstLine="480" w:firstLineChars="200"/>
        <w:textAlignment w:val="auto"/>
        <w:rPr>
          <w:rFonts w:hint="default"/>
          <w:color w:val="auto"/>
          <w:sz w:val="24"/>
          <w:lang w:val="en-US" w:eastAsia="zh-CN"/>
        </w:rPr>
      </w:pPr>
      <w:r>
        <w:rPr>
          <w:rFonts w:hint="default"/>
          <w:color w:val="auto"/>
          <w:sz w:val="24"/>
          <w:lang w:val="en-US" w:eastAsia="zh-CN"/>
        </w:rPr>
        <w:t xml:space="preserve">1 对可持续治理体系的重大变化、污染事故、碳排放量等信息及时予以披露，并向主管部门进行报备； </w:t>
      </w:r>
    </w:p>
    <w:p w14:paraId="52D29A53">
      <w:pPr>
        <w:wordWrap/>
        <w:spacing w:line="360" w:lineRule="auto"/>
        <w:ind w:firstLine="480" w:firstLineChars="200"/>
        <w:textAlignment w:val="auto"/>
        <w:rPr>
          <w:rFonts w:hint="default"/>
          <w:color w:val="auto"/>
          <w:sz w:val="24"/>
          <w:lang w:val="en-US" w:eastAsia="zh-CN"/>
        </w:rPr>
      </w:pPr>
      <w:r>
        <w:rPr>
          <w:rFonts w:hint="default"/>
          <w:color w:val="auto"/>
          <w:sz w:val="24"/>
          <w:lang w:val="en-US" w:eastAsia="zh-CN"/>
        </w:rPr>
        <w:t>2 具有项目信息披露/查询系统，其入口对公众开放</w:t>
      </w:r>
      <w:r>
        <w:rPr>
          <w:rFonts w:hint="eastAsia"/>
          <w:color w:val="auto"/>
          <w:sz w:val="24"/>
          <w:lang w:val="en-US" w:eastAsia="zh-CN"/>
        </w:rPr>
        <w:t>。</w:t>
      </w:r>
    </w:p>
    <w:p w14:paraId="5A20E01B">
      <w:pPr>
        <w:wordWrap/>
        <w:spacing w:line="360" w:lineRule="auto"/>
        <w:ind w:firstLine="480" w:firstLineChars="200"/>
        <w:textAlignment w:val="auto"/>
        <w:rPr>
          <w:rFonts w:hint="default"/>
          <w:color w:val="auto"/>
          <w:sz w:val="24"/>
          <w:lang w:val="en-US" w:eastAsia="zh-CN"/>
        </w:rPr>
        <w:sectPr>
          <w:pgSz w:w="11906" w:h="16838"/>
          <w:pgMar w:top="1440" w:right="1800" w:bottom="1440" w:left="1800" w:header="851" w:footer="992" w:gutter="0"/>
          <w:pgNumType w:fmt="decimal"/>
          <w:cols w:space="720" w:num="1"/>
          <w:docGrid w:type="lines" w:linePitch="312" w:charSpace="0"/>
        </w:sectPr>
      </w:pPr>
      <w:r>
        <w:rPr>
          <w:rFonts w:hint="default"/>
          <w:color w:val="auto"/>
          <w:sz w:val="24"/>
          <w:lang w:val="en-US" w:eastAsia="zh-CN"/>
        </w:rPr>
        <w:t xml:space="preserve"> </w:t>
      </w:r>
    </w:p>
    <w:p w14:paraId="433036E4">
      <w:pPr>
        <w:wordWrap/>
        <w:snapToGrid w:val="0"/>
        <w:spacing w:line="360" w:lineRule="auto"/>
        <w:jc w:val="center"/>
        <w:textAlignment w:val="auto"/>
        <w:outlineLvl w:val="0"/>
        <w:rPr>
          <w:rFonts w:hint="default" w:ascii="宋体" w:hAnsi="宋体" w:eastAsia="宋体" w:cs="宋体"/>
          <w:b/>
          <w:bCs/>
          <w:color w:val="auto"/>
          <w:sz w:val="30"/>
          <w:szCs w:val="30"/>
          <w:lang w:val="en-US" w:eastAsia="zh-CN"/>
        </w:rPr>
      </w:pPr>
      <w:bookmarkStart w:id="267" w:name="_Toc22071"/>
      <w:bookmarkStart w:id="268" w:name="_Toc4498"/>
      <w:bookmarkStart w:id="269" w:name="_Toc2154"/>
      <w:bookmarkStart w:id="270" w:name="_Toc13209"/>
      <w:bookmarkStart w:id="271" w:name="_Toc10292"/>
      <w:bookmarkStart w:id="272" w:name="_Toc4941"/>
      <w:bookmarkStart w:id="273" w:name="_Toc28906"/>
      <w:r>
        <w:rPr>
          <w:rFonts w:hint="eastAsia" w:ascii="宋体" w:hAnsi="宋体" w:eastAsia="宋体" w:cs="宋体"/>
          <w:b/>
          <w:bCs/>
          <w:color w:val="auto"/>
          <w:sz w:val="30"/>
          <w:szCs w:val="30"/>
          <w:lang w:val="en-US" w:eastAsia="zh-CN"/>
        </w:rPr>
        <w:t>附录A 生态价值变化评估报告</w:t>
      </w:r>
      <w:bookmarkEnd w:id="267"/>
      <w:bookmarkEnd w:id="268"/>
      <w:bookmarkEnd w:id="269"/>
      <w:bookmarkEnd w:id="270"/>
      <w:bookmarkEnd w:id="271"/>
      <w:bookmarkEnd w:id="272"/>
      <w:bookmarkEnd w:id="273"/>
    </w:p>
    <w:p w14:paraId="6BEFAE40">
      <w:pPr>
        <w:wordWrap/>
        <w:adjustRightInd w:val="0"/>
        <w:snapToGrid w:val="0"/>
        <w:spacing w:line="360" w:lineRule="auto"/>
        <w:ind w:firstLine="0" w:firstLineChars="0"/>
        <w:textAlignment w:val="auto"/>
        <w:rPr>
          <w:rFonts w:hint="default" w:ascii="宋体" w:hAnsi="宋体" w:eastAsia="宋体" w:cs="宋体"/>
          <w:color w:val="auto"/>
          <w:sz w:val="24"/>
          <w:lang w:val="en-US" w:eastAsia="zh-CN"/>
        </w:rPr>
      </w:pPr>
      <w:bookmarkStart w:id="274" w:name="_Toc12577"/>
      <w:bookmarkStart w:id="275" w:name="_Toc23033"/>
      <w:r>
        <w:rPr>
          <w:rFonts w:hint="eastAsia" w:ascii="宋体" w:hAnsi="宋体" w:eastAsia="宋体" w:cs="宋体"/>
          <w:color w:val="auto"/>
          <w:sz w:val="24"/>
        </w:rPr>
        <w:t xml:space="preserve">A.0.1 </w:t>
      </w:r>
      <w:r>
        <w:rPr>
          <w:rFonts w:hint="eastAsia" w:ascii="宋体" w:hAnsi="宋体" w:eastAsia="宋体" w:cs="宋体"/>
          <w:color w:val="auto"/>
          <w:sz w:val="24"/>
          <w:lang w:val="en-US" w:eastAsia="zh-CN"/>
        </w:rPr>
        <w:t>应对项目</w:t>
      </w:r>
      <w:r>
        <w:rPr>
          <w:rFonts w:hint="eastAsia" w:ascii="宋体" w:hAnsi="宋体" w:cs="宋体"/>
          <w:color w:val="auto"/>
          <w:sz w:val="24"/>
        </w:rPr>
        <w:t>能源、水资源、材料资源、土地资源消耗利用</w:t>
      </w:r>
      <w:r>
        <w:rPr>
          <w:rFonts w:hint="eastAsia" w:ascii="宋体" w:hAnsi="宋体" w:cs="宋体"/>
          <w:color w:val="auto"/>
          <w:sz w:val="24"/>
          <w:lang w:val="en-US" w:eastAsia="zh-CN"/>
        </w:rPr>
        <w:t>合法性进行说明。</w:t>
      </w:r>
    </w:p>
    <w:p w14:paraId="3956E456">
      <w:pPr>
        <w:wordWrap/>
        <w:adjustRightInd w:val="0"/>
        <w:snapToGrid w:val="0"/>
        <w:spacing w:line="360" w:lineRule="auto"/>
        <w:ind w:firstLine="0" w:firstLineChars="0"/>
        <w:textAlignment w:val="auto"/>
        <w:rPr>
          <w:rFonts w:hint="eastAsia" w:ascii="宋体" w:hAnsi="宋体" w:eastAsia="宋体" w:cs="宋体"/>
          <w:color w:val="auto"/>
          <w:sz w:val="24"/>
          <w:lang w:eastAsia="zh-CN"/>
        </w:rPr>
      </w:pPr>
      <w:r>
        <w:rPr>
          <w:rFonts w:hint="eastAsia" w:ascii="宋体" w:hAnsi="宋体" w:eastAsia="宋体" w:cs="宋体"/>
          <w:color w:val="auto"/>
          <w:sz w:val="24"/>
        </w:rPr>
        <w:t>A.0.</w:t>
      </w:r>
      <w:r>
        <w:rPr>
          <w:rFonts w:hint="eastAsia" w:ascii="宋体" w:hAnsi="宋体" w:eastAsia="宋体" w:cs="宋体"/>
          <w:color w:val="auto"/>
          <w:sz w:val="24"/>
          <w:lang w:val="en-US" w:eastAsia="zh-CN"/>
        </w:rPr>
        <w:t>2</w:t>
      </w:r>
      <w:r>
        <w:rPr>
          <w:rFonts w:hint="eastAsia" w:ascii="宋体" w:hAnsi="宋体" w:eastAsia="宋体" w:cs="宋体"/>
          <w:color w:val="auto"/>
          <w:sz w:val="24"/>
        </w:rPr>
        <w:t xml:space="preserve"> </w:t>
      </w:r>
      <w:r>
        <w:rPr>
          <w:rFonts w:hint="eastAsia" w:ascii="宋体" w:hAnsi="宋体" w:eastAsia="宋体" w:cs="宋体"/>
          <w:color w:val="auto"/>
          <w:sz w:val="24"/>
          <w:lang w:val="en-US" w:eastAsia="zh-CN"/>
        </w:rPr>
        <w:t>应对项目</w:t>
      </w:r>
      <w:r>
        <w:rPr>
          <w:rFonts w:hint="eastAsia" w:ascii="宋体" w:hAnsi="宋体" w:cs="宋体"/>
          <w:color w:val="auto"/>
          <w:sz w:val="24"/>
        </w:rPr>
        <w:t>环境保护、资源节约与利用措施的程度</w:t>
      </w:r>
      <w:r>
        <w:rPr>
          <w:rFonts w:hint="eastAsia" w:ascii="宋体" w:hAnsi="宋体" w:cs="宋体"/>
          <w:color w:val="auto"/>
          <w:sz w:val="24"/>
          <w:lang w:val="en-US" w:eastAsia="zh-CN"/>
        </w:rPr>
        <w:t>进行说明</w:t>
      </w:r>
      <w:r>
        <w:rPr>
          <w:rFonts w:hint="eastAsia" w:ascii="宋体" w:hAnsi="宋体" w:cs="宋体"/>
          <w:color w:val="auto"/>
          <w:sz w:val="24"/>
          <w:lang w:eastAsia="zh-CN"/>
        </w:rPr>
        <w:t>。</w:t>
      </w:r>
    </w:p>
    <w:p w14:paraId="2F78BC27">
      <w:pPr>
        <w:wordWrap/>
        <w:adjustRightInd w:val="0"/>
        <w:snapToGrid w:val="0"/>
        <w:spacing w:line="360" w:lineRule="auto"/>
        <w:ind w:firstLine="0" w:firstLineChars="0"/>
        <w:textAlignment w:val="auto"/>
        <w:rPr>
          <w:rFonts w:ascii="宋体" w:hAnsi="宋体" w:cs="宋体"/>
          <w:color w:val="auto"/>
          <w:sz w:val="24"/>
        </w:rPr>
      </w:pPr>
      <w:r>
        <w:rPr>
          <w:rFonts w:hint="eastAsia" w:ascii="宋体" w:hAnsi="宋体" w:eastAsia="宋体" w:cs="宋体"/>
          <w:color w:val="auto"/>
          <w:sz w:val="24"/>
        </w:rPr>
        <w:t>A.0.</w:t>
      </w:r>
      <w:r>
        <w:rPr>
          <w:rFonts w:hint="eastAsia" w:ascii="宋体" w:hAnsi="宋体" w:eastAsia="宋体" w:cs="宋体"/>
          <w:color w:val="auto"/>
          <w:sz w:val="24"/>
          <w:lang w:val="en-US" w:eastAsia="zh-CN"/>
        </w:rPr>
        <w:t>3</w:t>
      </w:r>
      <w:r>
        <w:rPr>
          <w:rFonts w:hint="eastAsia" w:ascii="宋体" w:hAnsi="宋体" w:eastAsia="宋体" w:cs="宋体"/>
          <w:color w:val="auto"/>
          <w:sz w:val="24"/>
        </w:rPr>
        <w:t xml:space="preserve"> </w:t>
      </w:r>
      <w:r>
        <w:rPr>
          <w:rFonts w:hint="eastAsia" w:ascii="宋体" w:hAnsi="宋体" w:eastAsia="宋体" w:cs="宋体"/>
          <w:color w:val="auto"/>
          <w:sz w:val="24"/>
          <w:lang w:val="en-US" w:eastAsia="zh-CN"/>
        </w:rPr>
        <w:t>应对</w:t>
      </w:r>
      <w:r>
        <w:rPr>
          <w:rFonts w:hint="eastAsia" w:ascii="宋体" w:hAnsi="宋体" w:cs="宋体"/>
          <w:color w:val="auto"/>
          <w:sz w:val="24"/>
        </w:rPr>
        <w:t>项目建成前后土壤</w:t>
      </w:r>
      <w:r>
        <w:rPr>
          <w:rFonts w:hint="eastAsia" w:ascii="宋体" w:hAnsi="宋体" w:cs="宋体"/>
          <w:color w:val="auto"/>
          <w:sz w:val="24"/>
          <w:lang w:val="en-US" w:eastAsia="zh-CN"/>
        </w:rPr>
        <w:t>质量情况进行说明</w:t>
      </w:r>
      <w:r>
        <w:rPr>
          <w:rFonts w:hint="eastAsia" w:ascii="宋体" w:hAnsi="宋体" w:cs="宋体"/>
          <w:color w:val="auto"/>
          <w:sz w:val="24"/>
        </w:rPr>
        <w:t>。</w:t>
      </w:r>
    </w:p>
    <w:p w14:paraId="2DDD6747">
      <w:pPr>
        <w:wordWrap/>
        <w:adjustRightInd w:val="0"/>
        <w:snapToGrid w:val="0"/>
        <w:spacing w:line="360" w:lineRule="auto"/>
        <w:ind w:firstLine="0" w:firstLineChars="0"/>
        <w:textAlignment w:val="auto"/>
        <w:rPr>
          <w:rFonts w:hint="default" w:ascii="宋体" w:hAnsi="宋体" w:eastAsia="宋体" w:cs="宋体"/>
          <w:color w:val="auto"/>
          <w:sz w:val="24"/>
          <w:lang w:val="en-US" w:eastAsia="zh-CN"/>
        </w:rPr>
      </w:pPr>
      <w:r>
        <w:rPr>
          <w:rFonts w:hint="eastAsia" w:ascii="宋体" w:hAnsi="宋体" w:eastAsia="宋体" w:cs="宋体"/>
          <w:color w:val="auto"/>
          <w:sz w:val="24"/>
        </w:rPr>
        <w:t>A.0.</w:t>
      </w:r>
      <w:r>
        <w:rPr>
          <w:rFonts w:hint="eastAsia" w:ascii="宋体" w:hAnsi="宋体" w:eastAsia="宋体" w:cs="宋体"/>
          <w:color w:val="auto"/>
          <w:sz w:val="24"/>
          <w:lang w:val="en-US" w:eastAsia="zh-CN"/>
        </w:rPr>
        <w:t>4</w:t>
      </w:r>
      <w:r>
        <w:rPr>
          <w:rFonts w:hint="eastAsia" w:ascii="宋体" w:hAnsi="宋体" w:eastAsia="宋体" w:cs="宋体"/>
          <w:color w:val="auto"/>
          <w:sz w:val="24"/>
        </w:rPr>
        <w:t xml:space="preserve"> </w:t>
      </w:r>
      <w:r>
        <w:rPr>
          <w:rFonts w:hint="eastAsia" w:ascii="宋体" w:hAnsi="宋体" w:eastAsia="宋体" w:cs="宋体"/>
          <w:color w:val="auto"/>
          <w:sz w:val="24"/>
          <w:lang w:val="en-US" w:eastAsia="zh-CN"/>
        </w:rPr>
        <w:t>应对项目产生的</w:t>
      </w:r>
      <w:r>
        <w:rPr>
          <w:rFonts w:hint="eastAsia" w:ascii="宋体" w:hAnsi="宋体" w:cs="宋体"/>
          <w:color w:val="auto"/>
          <w:sz w:val="24"/>
        </w:rPr>
        <w:t>绿地固碳增汇效益</w:t>
      </w:r>
      <w:r>
        <w:rPr>
          <w:rFonts w:hint="eastAsia" w:ascii="宋体" w:hAnsi="宋体" w:cs="宋体"/>
          <w:color w:val="auto"/>
          <w:sz w:val="24"/>
          <w:lang w:val="en-US" w:eastAsia="zh-CN"/>
        </w:rPr>
        <w:t>进行说明。</w:t>
      </w:r>
    </w:p>
    <w:p w14:paraId="306D57B5">
      <w:pPr>
        <w:wordWrap/>
        <w:adjustRightInd w:val="0"/>
        <w:snapToGrid w:val="0"/>
        <w:spacing w:line="360" w:lineRule="auto"/>
        <w:ind w:firstLine="0" w:firstLineChars="0"/>
        <w:textAlignment w:val="auto"/>
        <w:rPr>
          <w:rFonts w:hint="default" w:ascii="宋体" w:hAnsi="宋体" w:eastAsia="宋体" w:cs="宋体"/>
          <w:color w:val="auto"/>
          <w:kern w:val="0"/>
          <w:sz w:val="24"/>
          <w:lang w:val="en-US" w:eastAsia="zh-CN"/>
        </w:rPr>
      </w:pPr>
      <w:r>
        <w:rPr>
          <w:rFonts w:hint="eastAsia" w:ascii="宋体" w:hAnsi="宋体" w:eastAsia="宋体" w:cs="宋体"/>
          <w:color w:val="auto"/>
          <w:sz w:val="24"/>
        </w:rPr>
        <w:t>A.0.</w:t>
      </w:r>
      <w:r>
        <w:rPr>
          <w:rFonts w:hint="eastAsia" w:ascii="宋体" w:hAnsi="宋体" w:eastAsia="宋体" w:cs="宋体"/>
          <w:color w:val="auto"/>
          <w:sz w:val="24"/>
          <w:lang w:val="en-US" w:eastAsia="zh-CN"/>
        </w:rPr>
        <w:t>5 应对项目产生的</w:t>
      </w:r>
      <w:r>
        <w:rPr>
          <w:rFonts w:hint="eastAsia" w:ascii="宋体" w:hAnsi="宋体" w:cs="宋体"/>
          <w:color w:val="auto"/>
          <w:kern w:val="0"/>
          <w:sz w:val="24"/>
        </w:rPr>
        <w:t>宗地绿化</w:t>
      </w:r>
      <w:r>
        <w:rPr>
          <w:rFonts w:hint="eastAsia" w:ascii="宋体" w:hAnsi="宋体" w:cs="宋体"/>
          <w:color w:val="auto"/>
          <w:kern w:val="0"/>
          <w:sz w:val="24"/>
          <w:lang w:val="en-US" w:eastAsia="zh-CN"/>
        </w:rPr>
        <w:t>效果进行说明。</w:t>
      </w:r>
    </w:p>
    <w:p w14:paraId="3B189644">
      <w:pPr>
        <w:pStyle w:val="28"/>
        <w:wordWrap/>
        <w:adjustRightInd w:val="0"/>
        <w:snapToGrid w:val="0"/>
        <w:spacing w:line="360" w:lineRule="auto"/>
        <w:ind w:firstLine="0" w:firstLineChars="0"/>
        <w:textAlignment w:val="auto"/>
        <w:rPr>
          <w:rFonts w:ascii="宋体" w:hAnsi="宋体" w:cs="宋体"/>
          <w:color w:val="auto"/>
          <w:sz w:val="24"/>
        </w:rPr>
      </w:pPr>
      <w:r>
        <w:rPr>
          <w:rFonts w:hint="eastAsia" w:ascii="宋体" w:hAnsi="宋体" w:eastAsia="宋体" w:cs="宋体"/>
          <w:color w:val="auto"/>
          <w:sz w:val="24"/>
        </w:rPr>
        <w:t>A.0.</w:t>
      </w:r>
      <w:r>
        <w:rPr>
          <w:rFonts w:hint="eastAsia" w:ascii="宋体" w:hAnsi="宋体" w:eastAsia="宋体" w:cs="宋体"/>
          <w:color w:val="auto"/>
          <w:sz w:val="24"/>
          <w:lang w:val="en-US" w:eastAsia="zh-CN"/>
        </w:rPr>
        <w:t>6 应对项目产生的</w:t>
      </w:r>
      <w:r>
        <w:rPr>
          <w:rFonts w:hint="eastAsia" w:ascii="宋体" w:hAnsi="宋体" w:cs="宋体"/>
          <w:color w:val="auto"/>
          <w:sz w:val="24"/>
        </w:rPr>
        <w:t>人工景观美学价值</w:t>
      </w:r>
      <w:r>
        <w:rPr>
          <w:rFonts w:hint="eastAsia" w:ascii="宋体" w:hAnsi="宋体" w:cs="宋体"/>
          <w:color w:val="auto"/>
          <w:sz w:val="24"/>
          <w:lang w:val="en-US" w:eastAsia="zh-CN"/>
        </w:rPr>
        <w:t>进行说明</w:t>
      </w:r>
      <w:r>
        <w:rPr>
          <w:rFonts w:hint="eastAsia" w:ascii="宋体" w:hAnsi="宋体" w:cs="宋体"/>
          <w:color w:val="auto"/>
          <w:sz w:val="24"/>
          <w:lang w:eastAsia="zh-CN"/>
        </w:rPr>
        <w:t>。</w:t>
      </w:r>
      <w:r>
        <w:rPr>
          <w:rFonts w:hint="eastAsia" w:ascii="宋体" w:hAnsi="宋体" w:cs="宋体"/>
          <w:color w:val="auto"/>
          <w:sz w:val="24"/>
        </w:rPr>
        <w:t xml:space="preserve"> </w:t>
      </w:r>
    </w:p>
    <w:p w14:paraId="0F897BE4">
      <w:pPr>
        <w:wordWrap/>
        <w:adjustRightInd w:val="0"/>
        <w:snapToGrid w:val="0"/>
        <w:spacing w:line="360" w:lineRule="auto"/>
        <w:ind w:firstLine="0" w:firstLineChars="0"/>
        <w:textAlignment w:val="auto"/>
        <w:rPr>
          <w:rFonts w:ascii="宋体" w:hAnsi="宋体" w:cs="宋体"/>
          <w:color w:val="auto"/>
          <w:sz w:val="24"/>
        </w:rPr>
      </w:pPr>
      <w:r>
        <w:rPr>
          <w:rFonts w:hint="eastAsia" w:ascii="宋体" w:hAnsi="宋体" w:eastAsia="宋体" w:cs="宋体"/>
          <w:color w:val="auto"/>
          <w:sz w:val="24"/>
        </w:rPr>
        <w:t>A.0.</w:t>
      </w:r>
      <w:r>
        <w:rPr>
          <w:rFonts w:hint="eastAsia" w:ascii="宋体" w:hAnsi="宋体" w:eastAsia="宋体" w:cs="宋体"/>
          <w:color w:val="auto"/>
          <w:sz w:val="24"/>
          <w:lang w:val="en-US" w:eastAsia="zh-CN"/>
        </w:rPr>
        <w:t>7 应对项目施工建造</w:t>
      </w:r>
      <w:r>
        <w:rPr>
          <w:rFonts w:hint="eastAsia" w:ascii="宋体" w:hAnsi="宋体" w:cs="宋体"/>
          <w:color w:val="auto"/>
          <w:sz w:val="24"/>
        </w:rPr>
        <w:t>过程固废资源和余料回收利用产生的经济价值</w:t>
      </w:r>
      <w:r>
        <w:rPr>
          <w:rFonts w:hint="eastAsia" w:ascii="宋体" w:hAnsi="宋体" w:cs="宋体"/>
          <w:color w:val="auto"/>
          <w:sz w:val="24"/>
          <w:lang w:val="en-US" w:eastAsia="zh-CN"/>
        </w:rPr>
        <w:t>进行说明</w:t>
      </w:r>
      <w:r>
        <w:rPr>
          <w:rFonts w:hint="eastAsia" w:ascii="宋体" w:hAnsi="宋体" w:cs="宋体"/>
          <w:color w:val="auto"/>
          <w:sz w:val="24"/>
          <w:lang w:eastAsia="zh-CN"/>
        </w:rPr>
        <w:t>。</w:t>
      </w:r>
      <w:r>
        <w:rPr>
          <w:rFonts w:hint="eastAsia" w:ascii="宋体" w:hAnsi="宋体" w:cs="宋体"/>
          <w:color w:val="auto"/>
          <w:sz w:val="24"/>
        </w:rPr>
        <w:t xml:space="preserve"> </w:t>
      </w:r>
    </w:p>
    <w:p w14:paraId="77016FB1">
      <w:pPr>
        <w:pStyle w:val="28"/>
        <w:wordWrap/>
        <w:adjustRightInd w:val="0"/>
        <w:snapToGrid w:val="0"/>
        <w:spacing w:line="360" w:lineRule="auto"/>
        <w:ind w:firstLine="0" w:firstLineChars="0"/>
        <w:textAlignment w:val="auto"/>
        <w:rPr>
          <w:rFonts w:hint="eastAsia" w:ascii="宋体" w:hAnsi="宋体" w:eastAsia="宋体" w:cs="宋体"/>
          <w:color w:val="auto"/>
          <w:sz w:val="24"/>
          <w:lang w:eastAsia="zh-CN"/>
        </w:rPr>
      </w:pPr>
      <w:r>
        <w:rPr>
          <w:rFonts w:hint="eastAsia" w:ascii="宋体" w:hAnsi="宋体" w:eastAsia="宋体" w:cs="宋体"/>
          <w:color w:val="auto"/>
          <w:sz w:val="24"/>
        </w:rPr>
        <w:t>A.0.</w:t>
      </w:r>
      <w:r>
        <w:rPr>
          <w:rFonts w:hint="eastAsia" w:ascii="宋体" w:hAnsi="宋体" w:eastAsia="宋体" w:cs="宋体"/>
          <w:color w:val="auto"/>
          <w:sz w:val="24"/>
          <w:lang w:val="en-US" w:eastAsia="zh-CN"/>
        </w:rPr>
        <w:t>8 应</w:t>
      </w:r>
      <w:r>
        <w:rPr>
          <w:rFonts w:hint="eastAsia" w:ascii="宋体" w:hAnsi="宋体" w:cs="宋体"/>
          <w:color w:val="auto"/>
          <w:sz w:val="24"/>
          <w:lang w:val="en-US" w:eastAsia="zh-CN"/>
        </w:rPr>
        <w:t>对</w:t>
      </w:r>
      <w:r>
        <w:rPr>
          <w:rFonts w:hint="eastAsia" w:ascii="宋体" w:hAnsi="宋体" w:eastAsia="宋体" w:cs="宋体"/>
          <w:color w:val="auto"/>
          <w:sz w:val="24"/>
          <w:lang w:val="en-US" w:eastAsia="zh-CN"/>
        </w:rPr>
        <w:t>项目施工建造</w:t>
      </w:r>
      <w:r>
        <w:rPr>
          <w:rFonts w:hint="eastAsia" w:ascii="宋体" w:hAnsi="宋体" w:cs="宋体"/>
          <w:color w:val="auto"/>
          <w:sz w:val="24"/>
        </w:rPr>
        <w:t>过程雨水、中水、坑塘水等非传统水源利用节约的水资源价值</w:t>
      </w:r>
      <w:r>
        <w:rPr>
          <w:rFonts w:hint="eastAsia" w:ascii="宋体" w:hAnsi="宋体" w:cs="宋体"/>
          <w:color w:val="auto"/>
          <w:sz w:val="24"/>
          <w:lang w:val="en-US" w:eastAsia="zh-CN"/>
        </w:rPr>
        <w:t>进行说明</w:t>
      </w:r>
      <w:r>
        <w:rPr>
          <w:rFonts w:hint="eastAsia" w:ascii="宋体" w:hAnsi="宋体" w:cs="宋体"/>
          <w:color w:val="auto"/>
          <w:sz w:val="24"/>
          <w:lang w:eastAsia="zh-CN"/>
        </w:rPr>
        <w:t>。</w:t>
      </w:r>
    </w:p>
    <w:p w14:paraId="52C95BCF">
      <w:pPr>
        <w:pStyle w:val="5"/>
        <w:wordWrap/>
        <w:adjustRightInd w:val="0"/>
        <w:snapToGrid w:val="0"/>
        <w:spacing w:line="360" w:lineRule="auto"/>
        <w:ind w:firstLine="0" w:firstLineChars="0"/>
        <w:textAlignment w:val="auto"/>
        <w:rPr>
          <w:rFonts w:hint="eastAsia" w:ascii="宋体" w:hAnsi="宋体" w:cs="宋体"/>
          <w:color w:val="auto"/>
          <w:szCs w:val="24"/>
        </w:rPr>
      </w:pPr>
      <w:r>
        <w:rPr>
          <w:rFonts w:hint="eastAsia" w:ascii="宋体" w:hAnsi="宋体" w:eastAsia="宋体" w:cs="宋体"/>
          <w:color w:val="auto"/>
          <w:sz w:val="24"/>
        </w:rPr>
        <w:t>A.0.</w:t>
      </w:r>
      <w:r>
        <w:rPr>
          <w:rFonts w:hint="eastAsia" w:ascii="宋体" w:hAnsi="宋体" w:eastAsia="宋体" w:cs="宋体"/>
          <w:color w:val="auto"/>
          <w:sz w:val="24"/>
          <w:lang w:val="en-US" w:eastAsia="zh-CN"/>
        </w:rPr>
        <w:t>9 应</w:t>
      </w:r>
      <w:r>
        <w:rPr>
          <w:rFonts w:hint="eastAsia" w:ascii="宋体" w:hAnsi="宋体" w:cs="宋体"/>
          <w:color w:val="auto"/>
          <w:sz w:val="24"/>
          <w:lang w:val="en-US" w:eastAsia="zh-CN"/>
        </w:rPr>
        <w:t>对</w:t>
      </w:r>
      <w:r>
        <w:rPr>
          <w:rFonts w:hint="eastAsia" w:ascii="宋体" w:hAnsi="宋体" w:eastAsia="宋体" w:cs="宋体"/>
          <w:color w:val="auto"/>
          <w:sz w:val="24"/>
          <w:lang w:val="en-US" w:eastAsia="zh-CN"/>
        </w:rPr>
        <w:t>项目施工建造</w:t>
      </w:r>
      <w:r>
        <w:rPr>
          <w:rFonts w:hint="eastAsia" w:ascii="宋体" w:hAnsi="宋体" w:cs="宋体"/>
          <w:color w:val="auto"/>
          <w:sz w:val="24"/>
        </w:rPr>
        <w:t>过程</w:t>
      </w:r>
      <w:r>
        <w:rPr>
          <w:rFonts w:hint="eastAsia" w:ascii="宋体" w:hAnsi="宋体" w:cs="宋体"/>
          <w:color w:val="auto"/>
          <w:szCs w:val="24"/>
          <w:lang w:val="en-US" w:eastAsia="zh-CN"/>
        </w:rPr>
        <w:t>中</w:t>
      </w:r>
      <w:r>
        <w:rPr>
          <w:rFonts w:hint="eastAsia" w:ascii="宋体" w:hAnsi="宋体" w:cs="宋体"/>
          <w:color w:val="auto"/>
          <w:szCs w:val="24"/>
        </w:rPr>
        <w:t>环境污染保护防治节约价值</w:t>
      </w:r>
      <w:r>
        <w:rPr>
          <w:rFonts w:hint="eastAsia" w:ascii="宋体" w:hAnsi="宋体" w:cs="宋体"/>
          <w:color w:val="auto"/>
          <w:sz w:val="24"/>
          <w:lang w:val="en-US" w:eastAsia="zh-CN"/>
        </w:rPr>
        <w:t>进行说明</w:t>
      </w:r>
      <w:r>
        <w:rPr>
          <w:rFonts w:hint="eastAsia" w:ascii="宋体" w:hAnsi="宋体" w:cs="宋体"/>
          <w:color w:val="auto"/>
          <w:szCs w:val="24"/>
        </w:rPr>
        <w:t>。</w:t>
      </w:r>
    </w:p>
    <w:p w14:paraId="6970246A">
      <w:pPr>
        <w:pStyle w:val="5"/>
        <w:wordWrap/>
        <w:adjustRightInd w:val="0"/>
        <w:snapToGrid w:val="0"/>
        <w:spacing w:line="360" w:lineRule="auto"/>
        <w:ind w:firstLine="0" w:firstLineChars="0"/>
        <w:textAlignment w:val="auto"/>
        <w:rPr>
          <w:rFonts w:hint="eastAsia" w:ascii="宋体" w:hAnsi="宋体" w:cs="宋体"/>
          <w:color w:val="auto"/>
          <w:szCs w:val="24"/>
          <w:highlight w:val="yellow"/>
        </w:rPr>
      </w:pPr>
    </w:p>
    <w:p w14:paraId="5F0904ED">
      <w:pPr>
        <w:pStyle w:val="5"/>
        <w:wordWrap/>
        <w:adjustRightInd w:val="0"/>
        <w:snapToGrid w:val="0"/>
        <w:spacing w:line="360" w:lineRule="auto"/>
        <w:ind w:firstLine="0" w:firstLineChars="0"/>
        <w:textAlignment w:val="auto"/>
        <w:rPr>
          <w:rFonts w:hint="eastAsia" w:ascii="宋体" w:hAnsi="宋体" w:cs="宋体"/>
          <w:color w:val="auto"/>
          <w:szCs w:val="24"/>
          <w:highlight w:val="yellow"/>
        </w:rPr>
        <w:sectPr>
          <w:pgSz w:w="11906" w:h="16838"/>
          <w:pgMar w:top="1440" w:right="1800" w:bottom="1440" w:left="1800" w:header="851" w:footer="992" w:gutter="0"/>
          <w:pgNumType w:fmt="decimal"/>
          <w:cols w:space="720" w:num="1"/>
          <w:docGrid w:type="lines" w:linePitch="312" w:charSpace="0"/>
        </w:sectPr>
      </w:pPr>
    </w:p>
    <w:p w14:paraId="026E5E99">
      <w:pPr>
        <w:wordWrap/>
        <w:spacing w:line="360" w:lineRule="auto"/>
        <w:jc w:val="center"/>
        <w:textAlignment w:val="auto"/>
        <w:outlineLvl w:val="0"/>
        <w:rPr>
          <w:rFonts w:hint="eastAsia" w:ascii="宋体" w:hAnsi="宋体" w:eastAsia="宋体" w:cs="宋体"/>
          <w:b/>
          <w:bCs/>
          <w:color w:val="auto"/>
          <w:sz w:val="30"/>
          <w:szCs w:val="30"/>
        </w:rPr>
      </w:pPr>
      <w:bookmarkStart w:id="276" w:name="_Toc10794"/>
      <w:bookmarkStart w:id="277" w:name="_Toc19952"/>
      <w:bookmarkStart w:id="278" w:name="_Toc31939"/>
      <w:bookmarkStart w:id="279" w:name="_Toc21867"/>
      <w:bookmarkStart w:id="280" w:name="_Toc27291"/>
      <w:r>
        <w:rPr>
          <w:rFonts w:hint="eastAsia" w:ascii="宋体" w:hAnsi="宋体" w:eastAsia="宋体" w:cs="宋体"/>
          <w:b/>
          <w:bCs/>
          <w:color w:val="auto"/>
          <w:sz w:val="30"/>
          <w:szCs w:val="30"/>
          <w:lang w:eastAsia="zh-CN"/>
        </w:rPr>
        <w:t>附录B</w:t>
      </w:r>
      <w:r>
        <w:rPr>
          <w:rFonts w:hint="eastAsia" w:ascii="宋体" w:hAnsi="宋体" w:eastAsia="宋体" w:cs="宋体"/>
          <w:b/>
          <w:bCs/>
          <w:color w:val="auto"/>
          <w:sz w:val="30"/>
          <w:szCs w:val="30"/>
        </w:rPr>
        <w:t xml:space="preserve"> </w:t>
      </w:r>
      <w:bookmarkEnd w:id="274"/>
      <w:bookmarkEnd w:id="275"/>
      <w:r>
        <w:rPr>
          <w:rFonts w:hint="eastAsia" w:ascii="宋体" w:hAnsi="宋体" w:cs="宋体"/>
          <w:b/>
          <w:bCs/>
          <w:color w:val="auto"/>
          <w:sz w:val="30"/>
          <w:szCs w:val="30"/>
          <w:lang w:val="en-US" w:eastAsia="zh-CN"/>
        </w:rPr>
        <w:t>八</w:t>
      </w:r>
      <w:r>
        <w:rPr>
          <w:rFonts w:hint="eastAsia" w:ascii="宋体" w:hAnsi="宋体" w:eastAsia="宋体" w:cs="宋体"/>
          <w:b/>
          <w:bCs/>
          <w:color w:val="auto"/>
          <w:sz w:val="30"/>
          <w:szCs w:val="30"/>
        </w:rPr>
        <w:t>类城市基础设施项目专项内容评价指标</w:t>
      </w:r>
      <w:bookmarkEnd w:id="276"/>
      <w:bookmarkEnd w:id="277"/>
      <w:bookmarkEnd w:id="278"/>
      <w:bookmarkEnd w:id="279"/>
      <w:bookmarkEnd w:id="280"/>
    </w:p>
    <w:p w14:paraId="146E0537">
      <w:pPr>
        <w:wordWrap/>
        <w:snapToGrid/>
        <w:spacing w:line="360" w:lineRule="auto"/>
        <w:ind w:firstLine="0"/>
        <w:jc w:val="center"/>
        <w:textAlignment w:val="auto"/>
        <w:outlineLvl w:val="1"/>
        <w:rPr>
          <w:rFonts w:hint="eastAsia" w:ascii="黑体" w:hAnsi="黑体" w:eastAsia="黑体" w:cs="黑体"/>
          <w:b/>
          <w:bCs/>
          <w:color w:val="auto"/>
          <w:sz w:val="28"/>
          <w:szCs w:val="28"/>
        </w:rPr>
      </w:pPr>
      <w:bookmarkStart w:id="281" w:name="_Toc8613"/>
      <w:bookmarkStart w:id="282" w:name="_Toc657"/>
      <w:bookmarkStart w:id="283" w:name="_Toc17241"/>
      <w:bookmarkStart w:id="284" w:name="_Toc27126"/>
      <w:bookmarkStart w:id="285" w:name="_Toc31200"/>
      <w:bookmarkStart w:id="286" w:name="_Toc30315"/>
      <w:bookmarkStart w:id="287" w:name="_Toc23162"/>
      <w:bookmarkStart w:id="288" w:name="_Toc8944"/>
      <w:bookmarkStart w:id="289" w:name="_Toc28545"/>
      <w:bookmarkStart w:id="290" w:name="_Toc27733"/>
      <w:bookmarkStart w:id="291" w:name="_Toc24919"/>
      <w:bookmarkStart w:id="292" w:name="_Toc22653"/>
      <w:bookmarkStart w:id="293" w:name="_Toc3307"/>
      <w:bookmarkStart w:id="294" w:name="_Toc3833"/>
      <w:r>
        <w:rPr>
          <w:rFonts w:hint="eastAsia" w:ascii="黑体" w:hAnsi="黑体" w:eastAsia="黑体" w:cs="黑体"/>
          <w:b/>
          <w:bCs/>
          <w:color w:val="auto"/>
          <w:sz w:val="28"/>
          <w:szCs w:val="28"/>
          <w:lang w:val="en-US" w:eastAsia="zh-CN"/>
        </w:rPr>
        <w:t xml:space="preserve">B.1 </w:t>
      </w:r>
      <w:r>
        <w:rPr>
          <w:rFonts w:hint="eastAsia" w:ascii="黑体" w:hAnsi="黑体" w:eastAsia="黑体" w:cs="黑体"/>
          <w:b/>
          <w:bCs/>
          <w:color w:val="auto"/>
          <w:sz w:val="28"/>
          <w:szCs w:val="28"/>
        </w:rPr>
        <w:t>城市地下空间开发项目</w:t>
      </w:r>
      <w:bookmarkEnd w:id="281"/>
      <w:bookmarkEnd w:id="282"/>
      <w:r>
        <w:rPr>
          <w:rFonts w:hint="eastAsia" w:ascii="黑体" w:hAnsi="黑体" w:eastAsia="黑体" w:cs="黑体"/>
          <w:b/>
          <w:bCs/>
          <w:color w:val="auto"/>
          <w:sz w:val="28"/>
          <w:szCs w:val="28"/>
        </w:rPr>
        <w:t>专项内容评价指标</w:t>
      </w:r>
      <w:bookmarkEnd w:id="283"/>
      <w:bookmarkEnd w:id="284"/>
      <w:bookmarkEnd w:id="285"/>
      <w:bookmarkEnd w:id="286"/>
      <w:bookmarkEnd w:id="287"/>
    </w:p>
    <w:bookmarkEnd w:id="288"/>
    <w:bookmarkEnd w:id="289"/>
    <w:p w14:paraId="1D9A2065">
      <w:pPr>
        <w:wordWrap/>
        <w:spacing w:line="360" w:lineRule="auto"/>
        <w:ind w:firstLine="0"/>
        <w:jc w:val="both"/>
        <w:textAlignment w:val="auto"/>
        <w:outlineLvl w:val="9"/>
        <w:rPr>
          <w:rFonts w:ascii="宋体" w:hAnsi="宋体" w:eastAsia="宋体" w:cs="宋体"/>
          <w:color w:val="auto"/>
          <w:sz w:val="24"/>
        </w:rPr>
      </w:pPr>
      <w:bookmarkStart w:id="295" w:name="_Toc10705"/>
      <w:bookmarkStart w:id="296" w:name="_Toc19906"/>
      <w:bookmarkStart w:id="297" w:name="_Toc25047"/>
      <w:bookmarkStart w:id="298" w:name="_Toc4347"/>
      <w:bookmarkStart w:id="299" w:name="_Toc3262"/>
      <w:bookmarkStart w:id="300" w:name="_Toc29479"/>
      <w:r>
        <w:rPr>
          <w:rFonts w:hint="eastAsia" w:ascii="宋体" w:hAnsi="宋体" w:cs="宋体"/>
          <w:color w:val="auto"/>
          <w:sz w:val="24"/>
          <w:lang w:val="en-US" w:eastAsia="zh-CN"/>
        </w:rPr>
        <w:t>B</w:t>
      </w:r>
      <w:r>
        <w:rPr>
          <w:rFonts w:hint="eastAsia" w:ascii="宋体" w:hAnsi="宋体" w:eastAsia="宋体" w:cs="宋体"/>
          <w:color w:val="auto"/>
          <w:sz w:val="24"/>
        </w:rPr>
        <w:t>.1.1 施工建造和运行阶段，</w:t>
      </w:r>
      <w:r>
        <w:rPr>
          <w:rFonts w:hint="eastAsia" w:ascii="宋体" w:hAnsi="宋体" w:cs="宋体"/>
          <w:color w:val="auto"/>
          <w:sz w:val="24"/>
          <w:lang w:val="en-US" w:eastAsia="zh-CN"/>
        </w:rPr>
        <w:t>应</w:t>
      </w:r>
      <w:r>
        <w:rPr>
          <w:rFonts w:hint="eastAsia" w:ascii="宋体" w:hAnsi="宋体" w:eastAsia="宋体" w:cs="宋体"/>
          <w:color w:val="auto"/>
          <w:sz w:val="24"/>
        </w:rPr>
        <w:t>根据地下空间基础设施类型对空气质量进行监测并关注重点特征污染因子，采取相应措施，使空气达到安全标准</w:t>
      </w:r>
      <w:r>
        <w:rPr>
          <w:rFonts w:hint="eastAsia" w:ascii="宋体" w:hAnsi="宋体" w:cs="宋体"/>
          <w:color w:val="auto"/>
          <w:sz w:val="24"/>
          <w:lang w:val="en-US" w:eastAsia="zh-CN"/>
        </w:rPr>
        <w:t>,并</w:t>
      </w:r>
      <w:r>
        <w:rPr>
          <w:rFonts w:hint="eastAsia"/>
          <w:color w:val="auto"/>
          <w:sz w:val="24"/>
          <w:lang w:val="en-US" w:eastAsia="zh-CN"/>
        </w:rPr>
        <w:t>应按下列内容分别评分</w:t>
      </w:r>
      <w:r>
        <w:rPr>
          <w:rFonts w:hint="eastAsia" w:ascii="宋体" w:hAnsi="宋体" w:eastAsia="宋体" w:cs="宋体"/>
          <w:color w:val="auto"/>
          <w:sz w:val="24"/>
        </w:rPr>
        <w:t>：</w:t>
      </w:r>
      <w:bookmarkEnd w:id="295"/>
      <w:bookmarkEnd w:id="296"/>
      <w:bookmarkEnd w:id="297"/>
      <w:bookmarkEnd w:id="298"/>
      <w:bookmarkEnd w:id="299"/>
      <w:bookmarkEnd w:id="300"/>
    </w:p>
    <w:p w14:paraId="1F2953F5">
      <w:pPr>
        <w:wordWrap/>
        <w:spacing w:line="360" w:lineRule="auto"/>
        <w:ind w:firstLine="480" w:firstLineChars="200"/>
        <w:jc w:val="left"/>
        <w:textAlignment w:val="auto"/>
        <w:outlineLvl w:val="9"/>
        <w:rPr>
          <w:rFonts w:ascii="宋体" w:hAnsi="宋体" w:eastAsia="宋体" w:cs="宋体"/>
          <w:color w:val="auto"/>
          <w:sz w:val="24"/>
          <w:highlight w:val="none"/>
        </w:rPr>
      </w:pPr>
      <w:bookmarkStart w:id="301" w:name="_Toc7160"/>
      <w:bookmarkStart w:id="302" w:name="_Toc23074"/>
      <w:bookmarkStart w:id="303" w:name="_Toc11533"/>
      <w:r>
        <w:rPr>
          <w:rFonts w:hint="eastAsia" w:ascii="宋体" w:hAnsi="宋体" w:eastAsia="宋体" w:cs="宋体"/>
          <w:color w:val="auto"/>
          <w:sz w:val="24"/>
        </w:rPr>
        <w:t>1 施工建造阶段，对室内环境重点进行化学性指标的监测</w:t>
      </w:r>
      <w:r>
        <w:rPr>
          <w:rFonts w:hint="eastAsia"/>
          <w:color w:val="auto"/>
          <w:sz w:val="24"/>
        </w:rPr>
        <w:t>，</w:t>
      </w:r>
      <w:r>
        <w:rPr>
          <w:rFonts w:hint="eastAsia"/>
          <w:color w:val="auto"/>
          <w:sz w:val="24"/>
          <w:highlight w:val="none"/>
          <w:lang w:val="en-US" w:eastAsia="zh-CN"/>
        </w:rPr>
        <w:t>符合现行国家标准</w:t>
      </w:r>
      <w:r>
        <w:rPr>
          <w:rFonts w:hint="eastAsia" w:ascii="宋体" w:hAnsi="宋体" w:eastAsia="宋体" w:cs="宋体"/>
          <w:color w:val="auto"/>
          <w:sz w:val="24"/>
          <w:highlight w:val="none"/>
        </w:rPr>
        <w:t>《室内空气质量标准》</w:t>
      </w:r>
      <w:r>
        <w:rPr>
          <w:rFonts w:ascii="宋体" w:hAnsi="宋体" w:eastAsia="宋体" w:cs="宋体"/>
          <w:color w:val="auto"/>
          <w:sz w:val="24"/>
          <w:highlight w:val="none"/>
        </w:rPr>
        <w:t>GB/T 18883</w:t>
      </w:r>
      <w:r>
        <w:rPr>
          <w:rFonts w:hint="eastAsia" w:ascii="宋体" w:hAnsi="宋体" w:cs="宋体"/>
          <w:color w:val="auto"/>
          <w:sz w:val="24"/>
          <w:highlight w:val="none"/>
          <w:lang w:val="en-US" w:eastAsia="zh-CN"/>
        </w:rPr>
        <w:t>的有关规定</w:t>
      </w:r>
      <w:r>
        <w:rPr>
          <w:rFonts w:hint="eastAsia" w:ascii="宋体" w:hAnsi="宋体" w:eastAsia="宋体" w:cs="宋体"/>
          <w:color w:val="auto"/>
          <w:sz w:val="24"/>
          <w:highlight w:val="none"/>
        </w:rPr>
        <w:t>。</w:t>
      </w:r>
      <w:bookmarkEnd w:id="301"/>
      <w:bookmarkEnd w:id="302"/>
      <w:bookmarkEnd w:id="303"/>
    </w:p>
    <w:p w14:paraId="2E9656AB">
      <w:pPr>
        <w:wordWrap/>
        <w:spacing w:line="360" w:lineRule="auto"/>
        <w:ind w:firstLine="480" w:firstLineChars="200"/>
        <w:jc w:val="left"/>
        <w:textAlignment w:val="auto"/>
        <w:outlineLvl w:val="9"/>
        <w:rPr>
          <w:rFonts w:ascii="宋体" w:hAnsi="宋体" w:eastAsia="宋体" w:cs="宋体"/>
          <w:color w:val="auto"/>
          <w:sz w:val="24"/>
          <w:highlight w:val="none"/>
        </w:rPr>
      </w:pPr>
      <w:bookmarkStart w:id="304" w:name="_Toc28893"/>
      <w:bookmarkStart w:id="305" w:name="_Toc29453"/>
      <w:bookmarkStart w:id="306" w:name="_Toc12911"/>
      <w:r>
        <w:rPr>
          <w:rFonts w:hint="eastAsia" w:ascii="宋体" w:hAnsi="宋体" w:eastAsia="宋体" w:cs="宋体"/>
          <w:color w:val="auto"/>
          <w:sz w:val="24"/>
          <w:highlight w:val="none"/>
        </w:rPr>
        <w:t>2 运行阶段</w:t>
      </w:r>
      <w:r>
        <w:rPr>
          <w:rFonts w:hint="eastAsia" w:ascii="宋体" w:hAnsi="宋体" w:cs="宋体"/>
          <w:color w:val="auto"/>
          <w:sz w:val="24"/>
          <w:highlight w:val="none"/>
          <w:lang w:val="en-US" w:eastAsia="zh-CN"/>
        </w:rPr>
        <w:t>按以下规则评价</w:t>
      </w:r>
      <w:r>
        <w:rPr>
          <w:rFonts w:hint="eastAsia" w:ascii="宋体" w:hAnsi="宋体" w:eastAsia="宋体" w:cs="宋体"/>
          <w:color w:val="auto"/>
          <w:sz w:val="24"/>
          <w:highlight w:val="none"/>
        </w:rPr>
        <w:t>：</w:t>
      </w:r>
      <w:bookmarkEnd w:id="304"/>
      <w:bookmarkEnd w:id="305"/>
      <w:bookmarkEnd w:id="306"/>
    </w:p>
    <w:p w14:paraId="63A8C3EC">
      <w:pPr>
        <w:wordWrap/>
        <w:spacing w:line="360" w:lineRule="auto"/>
        <w:ind w:firstLine="480" w:firstLineChars="200"/>
        <w:textAlignment w:val="auto"/>
        <w:rPr>
          <w:color w:val="auto"/>
          <w:sz w:val="24"/>
          <w:highlight w:val="none"/>
        </w:rPr>
      </w:pPr>
      <w:r>
        <w:rPr>
          <w:color w:val="auto"/>
          <w:sz w:val="24"/>
          <w:highlight w:val="none"/>
        </w:rPr>
        <w:t>1</w:t>
      </w:r>
      <w:r>
        <w:rPr>
          <w:rFonts w:hint="eastAsia"/>
          <w:color w:val="auto"/>
          <w:sz w:val="24"/>
          <w:highlight w:val="none"/>
        </w:rPr>
        <w:t>）地下轨道</w:t>
      </w:r>
      <w:r>
        <w:rPr>
          <w:rFonts w:hint="eastAsia"/>
          <w:color w:val="auto"/>
          <w:sz w:val="24"/>
          <w:highlight w:val="none"/>
          <w:lang w:val="en-US" w:eastAsia="zh-CN"/>
        </w:rPr>
        <w:t>工程应</w:t>
      </w:r>
      <w:r>
        <w:rPr>
          <w:rFonts w:hint="eastAsia"/>
          <w:color w:val="auto"/>
          <w:sz w:val="24"/>
          <w:highlight w:val="none"/>
        </w:rPr>
        <w:t>对车站等人群比较密集区域重点进行细菌总数、溶血性链球菌、新风量、二氧化碳、氨及氡浓度的监测，</w:t>
      </w:r>
      <w:r>
        <w:rPr>
          <w:rFonts w:hint="eastAsia"/>
          <w:color w:val="auto"/>
          <w:sz w:val="24"/>
          <w:highlight w:val="none"/>
          <w:lang w:val="en-US" w:eastAsia="zh-CN"/>
        </w:rPr>
        <w:t>检测结果应符合现行国家标准</w:t>
      </w:r>
      <w:r>
        <w:rPr>
          <w:rFonts w:hint="eastAsia" w:ascii="宋体" w:hAnsi="宋体" w:eastAsia="宋体" w:cs="宋体"/>
          <w:color w:val="auto"/>
          <w:sz w:val="24"/>
          <w:highlight w:val="none"/>
        </w:rPr>
        <w:t>《室内空气质量标准》</w:t>
      </w:r>
      <w:r>
        <w:rPr>
          <w:rFonts w:ascii="宋体" w:hAnsi="宋体" w:eastAsia="宋体" w:cs="宋体"/>
          <w:color w:val="auto"/>
          <w:sz w:val="24"/>
          <w:highlight w:val="none"/>
        </w:rPr>
        <w:t>GB/T 18883、《室内空气中溶血性链球菌卫生标准》GB/T 18203</w:t>
      </w:r>
      <w:r>
        <w:rPr>
          <w:rFonts w:hint="eastAsia" w:ascii="宋体" w:hAnsi="宋体" w:cs="宋体"/>
          <w:color w:val="auto"/>
          <w:sz w:val="24"/>
          <w:highlight w:val="none"/>
          <w:lang w:val="en-US" w:eastAsia="zh-CN"/>
        </w:rPr>
        <w:t>的有关规定</w:t>
      </w:r>
      <w:r>
        <w:rPr>
          <w:rFonts w:hint="eastAsia"/>
          <w:color w:val="auto"/>
          <w:sz w:val="24"/>
          <w:highlight w:val="none"/>
        </w:rPr>
        <w:t>；线路区间重点进行</w:t>
      </w:r>
      <w:r>
        <w:rPr>
          <w:color w:val="auto"/>
          <w:sz w:val="24"/>
          <w:highlight w:val="none"/>
        </w:rPr>
        <w:t>CO</w:t>
      </w:r>
      <w:r>
        <w:rPr>
          <w:rFonts w:hint="eastAsia"/>
          <w:color w:val="auto"/>
          <w:sz w:val="24"/>
          <w:highlight w:val="none"/>
        </w:rPr>
        <w:t>及</w:t>
      </w:r>
      <w:r>
        <w:rPr>
          <w:color w:val="auto"/>
          <w:sz w:val="24"/>
          <w:highlight w:val="none"/>
        </w:rPr>
        <w:t>PM10</w:t>
      </w:r>
      <w:r>
        <w:rPr>
          <w:rFonts w:hint="eastAsia"/>
          <w:color w:val="auto"/>
          <w:sz w:val="24"/>
          <w:highlight w:val="none"/>
        </w:rPr>
        <w:t>的监测，</w:t>
      </w:r>
      <w:r>
        <w:rPr>
          <w:rFonts w:hint="eastAsia"/>
          <w:color w:val="auto"/>
          <w:sz w:val="24"/>
          <w:highlight w:val="none"/>
          <w:lang w:val="en-US" w:eastAsia="zh-CN"/>
        </w:rPr>
        <w:t>检测结果应符合现行国家标准</w:t>
      </w:r>
      <w:r>
        <w:rPr>
          <w:rFonts w:hint="eastAsia" w:ascii="宋体" w:hAnsi="宋体" w:eastAsia="宋体" w:cs="宋体"/>
          <w:color w:val="auto"/>
          <w:sz w:val="24"/>
          <w:highlight w:val="none"/>
        </w:rPr>
        <w:t>《室内空气质量标准》</w:t>
      </w:r>
      <w:r>
        <w:rPr>
          <w:rFonts w:ascii="宋体" w:hAnsi="宋体" w:eastAsia="宋体" w:cs="宋体"/>
          <w:color w:val="auto"/>
          <w:sz w:val="24"/>
          <w:highlight w:val="none"/>
        </w:rPr>
        <w:t>GB/T 18883</w:t>
      </w:r>
      <w:r>
        <w:rPr>
          <w:rFonts w:hint="eastAsia" w:ascii="宋体" w:hAnsi="宋体" w:cs="宋体"/>
          <w:color w:val="auto"/>
          <w:sz w:val="24"/>
          <w:highlight w:val="none"/>
          <w:lang w:val="en-US" w:eastAsia="zh-CN"/>
        </w:rPr>
        <w:t>的有关规定</w:t>
      </w:r>
      <w:r>
        <w:rPr>
          <w:rFonts w:hint="eastAsia"/>
          <w:color w:val="auto"/>
          <w:sz w:val="24"/>
          <w:highlight w:val="none"/>
        </w:rPr>
        <w:t>。</w:t>
      </w:r>
    </w:p>
    <w:p w14:paraId="34B6B04B">
      <w:pPr>
        <w:wordWrap/>
        <w:spacing w:line="360" w:lineRule="auto"/>
        <w:ind w:firstLine="480" w:firstLineChars="200"/>
        <w:textAlignment w:val="auto"/>
        <w:rPr>
          <w:color w:val="auto"/>
          <w:sz w:val="24"/>
          <w:highlight w:val="none"/>
        </w:rPr>
      </w:pPr>
      <w:r>
        <w:rPr>
          <w:color w:val="auto"/>
          <w:sz w:val="24"/>
          <w:highlight w:val="none"/>
        </w:rPr>
        <w:t>2</w:t>
      </w:r>
      <w:r>
        <w:rPr>
          <w:rFonts w:hint="eastAsia"/>
          <w:color w:val="auto"/>
          <w:sz w:val="24"/>
          <w:highlight w:val="none"/>
        </w:rPr>
        <w:t>）地下商业服务设施及人防工程</w:t>
      </w:r>
      <w:r>
        <w:rPr>
          <w:rFonts w:hint="eastAsia"/>
          <w:color w:val="auto"/>
          <w:sz w:val="24"/>
          <w:highlight w:val="none"/>
          <w:lang w:val="en-US" w:eastAsia="zh-CN"/>
        </w:rPr>
        <w:t>应</w:t>
      </w:r>
      <w:r>
        <w:rPr>
          <w:rFonts w:hint="eastAsia"/>
          <w:color w:val="auto"/>
          <w:sz w:val="24"/>
          <w:highlight w:val="none"/>
        </w:rPr>
        <w:t>重点进行细菌总数、溶血性链球菌、新风量、二氧化碳、氨及氡浓度的监测，</w:t>
      </w:r>
      <w:r>
        <w:rPr>
          <w:rFonts w:hint="eastAsia"/>
          <w:color w:val="auto"/>
          <w:sz w:val="24"/>
          <w:highlight w:val="none"/>
          <w:lang w:val="en-US" w:eastAsia="zh-CN"/>
        </w:rPr>
        <w:t>检测结果应符合现行国家标准</w:t>
      </w:r>
      <w:r>
        <w:rPr>
          <w:rFonts w:hint="eastAsia" w:ascii="宋体" w:hAnsi="宋体" w:eastAsia="宋体" w:cs="宋体"/>
          <w:color w:val="auto"/>
          <w:sz w:val="24"/>
          <w:highlight w:val="none"/>
        </w:rPr>
        <w:t>《室内空气质量标准》</w:t>
      </w:r>
      <w:r>
        <w:rPr>
          <w:rFonts w:ascii="宋体" w:hAnsi="宋体" w:eastAsia="宋体" w:cs="宋体"/>
          <w:color w:val="auto"/>
          <w:sz w:val="24"/>
          <w:highlight w:val="none"/>
        </w:rPr>
        <w:t>GB/T 18883、《室内空气中溶血性链球菌卫生标准》GB/T 18203</w:t>
      </w:r>
      <w:r>
        <w:rPr>
          <w:rFonts w:hint="eastAsia" w:ascii="宋体" w:hAnsi="宋体" w:cs="宋体"/>
          <w:color w:val="auto"/>
          <w:sz w:val="24"/>
          <w:highlight w:val="none"/>
          <w:lang w:val="en-US" w:eastAsia="zh-CN"/>
        </w:rPr>
        <w:t>的有关规定</w:t>
      </w:r>
      <w:r>
        <w:rPr>
          <w:rFonts w:hint="eastAsia"/>
          <w:color w:val="auto"/>
          <w:sz w:val="24"/>
          <w:highlight w:val="none"/>
        </w:rPr>
        <w:t>。</w:t>
      </w:r>
    </w:p>
    <w:p w14:paraId="773B8260">
      <w:pPr>
        <w:wordWrap/>
        <w:spacing w:line="360" w:lineRule="auto"/>
        <w:ind w:firstLine="480" w:firstLineChars="200"/>
        <w:textAlignment w:val="auto"/>
        <w:rPr>
          <w:color w:val="auto"/>
          <w:sz w:val="24"/>
          <w:highlight w:val="none"/>
        </w:rPr>
      </w:pPr>
      <w:r>
        <w:rPr>
          <w:color w:val="auto"/>
          <w:sz w:val="24"/>
          <w:highlight w:val="none"/>
        </w:rPr>
        <w:t>3</w:t>
      </w:r>
      <w:r>
        <w:rPr>
          <w:rFonts w:hint="eastAsia"/>
          <w:color w:val="auto"/>
          <w:sz w:val="24"/>
          <w:highlight w:val="none"/>
        </w:rPr>
        <w:t>）地下车库</w:t>
      </w:r>
      <w:r>
        <w:rPr>
          <w:rFonts w:hint="eastAsia"/>
          <w:color w:val="auto"/>
          <w:sz w:val="24"/>
          <w:highlight w:val="none"/>
          <w:lang w:val="en-US" w:eastAsia="zh-CN"/>
        </w:rPr>
        <w:t>应</w:t>
      </w:r>
      <w:r>
        <w:rPr>
          <w:rFonts w:hint="eastAsia"/>
          <w:color w:val="auto"/>
          <w:sz w:val="24"/>
          <w:highlight w:val="none"/>
        </w:rPr>
        <w:t>重点进行</w:t>
      </w:r>
      <w:r>
        <w:rPr>
          <w:color w:val="auto"/>
          <w:sz w:val="24"/>
          <w:highlight w:val="none"/>
        </w:rPr>
        <w:t>PM10</w:t>
      </w:r>
      <w:r>
        <w:rPr>
          <w:rFonts w:hint="eastAsia"/>
          <w:color w:val="auto"/>
          <w:sz w:val="24"/>
          <w:highlight w:val="none"/>
        </w:rPr>
        <w:t>的监测，设置与排风设备联动的</w:t>
      </w:r>
      <w:r>
        <w:rPr>
          <w:color w:val="auto"/>
          <w:sz w:val="24"/>
          <w:highlight w:val="none"/>
        </w:rPr>
        <w:t>CO</w:t>
      </w:r>
      <w:r>
        <w:rPr>
          <w:rFonts w:hint="eastAsia"/>
          <w:color w:val="auto"/>
          <w:sz w:val="24"/>
          <w:highlight w:val="none"/>
        </w:rPr>
        <w:t>浓度监测装置，空气</w:t>
      </w:r>
      <w:r>
        <w:rPr>
          <w:rFonts w:hint="eastAsia"/>
          <w:color w:val="auto"/>
          <w:sz w:val="24"/>
          <w:highlight w:val="none"/>
          <w:lang w:val="en-US" w:eastAsia="zh-CN"/>
        </w:rPr>
        <w:t>质量应符合现行国家标准</w:t>
      </w:r>
      <w:r>
        <w:rPr>
          <w:rFonts w:hint="eastAsia" w:ascii="宋体" w:hAnsi="宋体" w:eastAsia="宋体" w:cs="宋体"/>
          <w:color w:val="auto"/>
          <w:sz w:val="24"/>
          <w:highlight w:val="none"/>
        </w:rPr>
        <w:t>《室内空气质量标准》</w:t>
      </w:r>
      <w:r>
        <w:rPr>
          <w:rFonts w:ascii="宋体" w:hAnsi="宋体" w:eastAsia="宋体" w:cs="宋体"/>
          <w:color w:val="auto"/>
          <w:sz w:val="24"/>
          <w:highlight w:val="none"/>
        </w:rPr>
        <w:t>GB/T 18883</w:t>
      </w:r>
      <w:r>
        <w:rPr>
          <w:rFonts w:hint="eastAsia" w:ascii="宋体" w:hAnsi="宋体" w:cs="宋体"/>
          <w:color w:val="auto"/>
          <w:sz w:val="24"/>
          <w:highlight w:val="none"/>
          <w:lang w:val="en-US" w:eastAsia="zh-CN"/>
        </w:rPr>
        <w:t>的有关规定</w:t>
      </w:r>
      <w:r>
        <w:rPr>
          <w:rFonts w:hint="eastAsia"/>
          <w:color w:val="auto"/>
          <w:sz w:val="24"/>
          <w:highlight w:val="none"/>
        </w:rPr>
        <w:t>。</w:t>
      </w:r>
    </w:p>
    <w:p w14:paraId="053F90C8">
      <w:pPr>
        <w:wordWrap/>
        <w:spacing w:line="360" w:lineRule="auto"/>
        <w:ind w:firstLine="480" w:firstLineChars="200"/>
        <w:textAlignment w:val="auto"/>
        <w:rPr>
          <w:color w:val="auto"/>
          <w:sz w:val="24"/>
          <w:highlight w:val="none"/>
        </w:rPr>
      </w:pPr>
      <w:r>
        <w:rPr>
          <w:color w:val="auto"/>
          <w:sz w:val="24"/>
          <w:highlight w:val="none"/>
        </w:rPr>
        <w:t>4</w:t>
      </w:r>
      <w:r>
        <w:rPr>
          <w:rFonts w:hint="eastAsia"/>
          <w:color w:val="auto"/>
          <w:sz w:val="24"/>
          <w:highlight w:val="none"/>
        </w:rPr>
        <w:t>）地下综合管廊</w:t>
      </w:r>
      <w:r>
        <w:rPr>
          <w:rFonts w:hint="eastAsia"/>
          <w:color w:val="auto"/>
          <w:sz w:val="24"/>
          <w:highlight w:val="none"/>
          <w:lang w:val="en-US" w:eastAsia="zh-CN"/>
        </w:rPr>
        <w:t>工程应在</w:t>
      </w:r>
      <w:r>
        <w:rPr>
          <w:rFonts w:hint="eastAsia"/>
          <w:color w:val="auto"/>
          <w:sz w:val="24"/>
          <w:highlight w:val="none"/>
        </w:rPr>
        <w:t>管廊内部设置温度、湿度、新风量及有毒有害气体检测装置，针对不同管线设置相应监测设备，管廊内部空气</w:t>
      </w:r>
      <w:r>
        <w:rPr>
          <w:rFonts w:hint="eastAsia"/>
          <w:color w:val="auto"/>
          <w:sz w:val="24"/>
          <w:highlight w:val="none"/>
          <w:lang w:val="en-US" w:eastAsia="zh-CN"/>
        </w:rPr>
        <w:t>质量应符合现行国家标准</w:t>
      </w:r>
      <w:r>
        <w:rPr>
          <w:rFonts w:hint="eastAsia" w:ascii="宋体" w:hAnsi="宋体" w:eastAsia="宋体" w:cs="宋体"/>
          <w:color w:val="auto"/>
          <w:sz w:val="24"/>
          <w:highlight w:val="none"/>
        </w:rPr>
        <w:t>《室内空气质量标准》</w:t>
      </w:r>
      <w:r>
        <w:rPr>
          <w:rFonts w:ascii="宋体" w:hAnsi="宋体" w:eastAsia="宋体" w:cs="宋体"/>
          <w:color w:val="auto"/>
          <w:sz w:val="24"/>
          <w:highlight w:val="none"/>
        </w:rPr>
        <w:t>GB/T 18883</w:t>
      </w:r>
      <w:r>
        <w:rPr>
          <w:rFonts w:hint="eastAsia" w:ascii="宋体" w:hAnsi="宋体" w:cs="宋体"/>
          <w:color w:val="auto"/>
          <w:sz w:val="24"/>
          <w:highlight w:val="none"/>
          <w:lang w:val="en-US" w:eastAsia="zh-CN"/>
        </w:rPr>
        <w:t>的有关规定</w:t>
      </w:r>
      <w:r>
        <w:rPr>
          <w:rFonts w:hint="eastAsia"/>
          <w:color w:val="auto"/>
          <w:sz w:val="24"/>
          <w:highlight w:val="none"/>
        </w:rPr>
        <w:t>。</w:t>
      </w:r>
    </w:p>
    <w:p w14:paraId="2AE5438D">
      <w:pPr>
        <w:wordWrap/>
        <w:spacing w:line="360" w:lineRule="auto"/>
        <w:jc w:val="left"/>
        <w:textAlignment w:val="auto"/>
        <w:outlineLvl w:val="9"/>
        <w:rPr>
          <w:rFonts w:ascii="宋体" w:hAnsi="宋体" w:eastAsia="宋体" w:cs="宋体"/>
          <w:color w:val="auto"/>
          <w:sz w:val="24"/>
        </w:rPr>
      </w:pPr>
      <w:bookmarkStart w:id="307" w:name="_Toc9693"/>
      <w:bookmarkStart w:id="308" w:name="_Toc17680"/>
      <w:bookmarkStart w:id="309" w:name="_Toc8883"/>
      <w:bookmarkStart w:id="310" w:name="_Toc8489"/>
      <w:bookmarkStart w:id="311" w:name="_Toc17780"/>
      <w:bookmarkStart w:id="312" w:name="_Toc14974"/>
      <w:r>
        <w:rPr>
          <w:rFonts w:hint="eastAsia" w:ascii="宋体" w:hAnsi="宋体" w:cs="宋体"/>
          <w:color w:val="auto"/>
          <w:sz w:val="24"/>
          <w:lang w:val="en-US" w:eastAsia="zh-CN"/>
        </w:rPr>
        <w:t>B</w:t>
      </w:r>
      <w:r>
        <w:rPr>
          <w:rFonts w:hint="eastAsia" w:ascii="宋体" w:hAnsi="宋体" w:eastAsia="宋体" w:cs="宋体"/>
          <w:color w:val="auto"/>
          <w:sz w:val="24"/>
        </w:rPr>
        <w:t>.1.2 规划设计</w:t>
      </w:r>
      <w:r>
        <w:rPr>
          <w:rFonts w:hint="eastAsia" w:ascii="宋体" w:hAnsi="宋体" w:eastAsia="宋体" w:cs="宋体"/>
          <w:color w:val="auto"/>
          <w:sz w:val="24"/>
          <w:lang w:val="en-US" w:eastAsia="zh-CN"/>
        </w:rPr>
        <w:t>和</w:t>
      </w:r>
      <w:r>
        <w:rPr>
          <w:rFonts w:hint="eastAsia" w:ascii="宋体" w:hAnsi="宋体" w:eastAsia="宋体" w:cs="宋体"/>
          <w:color w:val="auto"/>
          <w:sz w:val="24"/>
        </w:rPr>
        <w:t>运行阶段，地下空间类基础设施通风性能</w:t>
      </w:r>
      <w:r>
        <w:rPr>
          <w:rFonts w:hint="eastAsia"/>
          <w:color w:val="auto"/>
          <w:sz w:val="24"/>
          <w:lang w:val="en-US" w:eastAsia="zh-CN"/>
        </w:rPr>
        <w:t>应按下列内容分别评分</w:t>
      </w:r>
      <w:r>
        <w:rPr>
          <w:rFonts w:hint="eastAsia" w:ascii="宋体" w:hAnsi="宋体" w:eastAsia="宋体" w:cs="宋体"/>
          <w:color w:val="auto"/>
          <w:sz w:val="24"/>
        </w:rPr>
        <w:t>：</w:t>
      </w:r>
      <w:bookmarkEnd w:id="307"/>
      <w:bookmarkEnd w:id="308"/>
      <w:bookmarkEnd w:id="309"/>
      <w:bookmarkEnd w:id="310"/>
      <w:bookmarkEnd w:id="311"/>
      <w:bookmarkEnd w:id="312"/>
    </w:p>
    <w:p w14:paraId="39F2D7DC">
      <w:pPr>
        <w:wordWrap/>
        <w:spacing w:line="360" w:lineRule="auto"/>
        <w:ind w:firstLine="480" w:firstLineChars="200"/>
        <w:textAlignment w:val="auto"/>
        <w:rPr>
          <w:color w:val="auto"/>
          <w:sz w:val="24"/>
        </w:rPr>
      </w:pPr>
      <w:r>
        <w:rPr>
          <w:rFonts w:hint="eastAsia"/>
          <w:color w:val="auto"/>
          <w:sz w:val="24"/>
        </w:rPr>
        <w:t>1 采用自然通风或复合通风的地下空间基础设施，主要功能房间室内热环境参数在适应性热舒适区域的时间比例</w:t>
      </w:r>
      <w:r>
        <w:rPr>
          <w:rFonts w:hint="eastAsia"/>
          <w:color w:val="auto"/>
          <w:sz w:val="24"/>
          <w:lang w:val="en-US" w:eastAsia="zh-CN"/>
        </w:rPr>
        <w:t>应</w:t>
      </w:r>
      <w:r>
        <w:rPr>
          <w:rFonts w:hint="eastAsia"/>
          <w:color w:val="auto"/>
          <w:sz w:val="24"/>
        </w:rPr>
        <w:t>达到30%。</w:t>
      </w:r>
    </w:p>
    <w:p w14:paraId="7AB13339">
      <w:pPr>
        <w:wordWrap/>
        <w:spacing w:line="360" w:lineRule="auto"/>
        <w:ind w:firstLine="480" w:firstLineChars="200"/>
        <w:textAlignment w:val="auto"/>
        <w:rPr>
          <w:color w:val="auto"/>
          <w:sz w:val="24"/>
        </w:rPr>
      </w:pPr>
      <w:r>
        <w:rPr>
          <w:rFonts w:hint="eastAsia"/>
          <w:color w:val="auto"/>
          <w:sz w:val="24"/>
        </w:rPr>
        <w:t>2 采用人工冷热源的地下空间基础设施，主要功能房间</w:t>
      </w:r>
      <w:r>
        <w:rPr>
          <w:rFonts w:hint="eastAsia"/>
          <w:color w:val="auto"/>
          <w:sz w:val="24"/>
          <w:lang w:val="en-US" w:eastAsia="zh-CN"/>
        </w:rPr>
        <w:t>符合</w:t>
      </w:r>
      <w:r>
        <w:rPr>
          <w:rFonts w:hint="eastAsia"/>
          <w:color w:val="auto"/>
          <w:sz w:val="24"/>
          <w:lang w:eastAsia="zh-CN"/>
        </w:rPr>
        <w:t>现行国家标准</w:t>
      </w:r>
      <w:r>
        <w:rPr>
          <w:rFonts w:hint="eastAsia"/>
          <w:color w:val="auto"/>
          <w:sz w:val="24"/>
        </w:rPr>
        <w:t>《民用建筑室内热湿环境评价标准》GB/T 50785</w:t>
      </w:r>
      <w:r>
        <w:rPr>
          <w:rFonts w:hint="eastAsia"/>
          <w:color w:val="auto"/>
          <w:sz w:val="24"/>
          <w:lang w:val="en-US" w:eastAsia="zh-CN"/>
        </w:rPr>
        <w:t>的有关</w:t>
      </w:r>
      <w:r>
        <w:rPr>
          <w:rFonts w:hint="eastAsia"/>
          <w:color w:val="auto"/>
          <w:sz w:val="24"/>
        </w:rPr>
        <w:t>规定</w:t>
      </w:r>
      <w:r>
        <w:rPr>
          <w:rFonts w:hint="eastAsia"/>
          <w:color w:val="auto"/>
          <w:sz w:val="24"/>
          <w:lang w:eastAsia="zh-CN"/>
        </w:rPr>
        <w:t>，</w:t>
      </w:r>
      <w:r>
        <w:rPr>
          <w:rFonts w:hint="eastAsia"/>
          <w:color w:val="auto"/>
          <w:sz w:val="24"/>
        </w:rPr>
        <w:t>室内人工冷热源热湿环境整体评价II级的面积比例</w:t>
      </w:r>
      <w:r>
        <w:rPr>
          <w:rFonts w:hint="eastAsia"/>
          <w:color w:val="auto"/>
          <w:sz w:val="24"/>
          <w:lang w:val="en-US" w:eastAsia="zh-CN"/>
        </w:rPr>
        <w:t>应</w:t>
      </w:r>
      <w:r>
        <w:rPr>
          <w:rFonts w:hint="eastAsia"/>
          <w:color w:val="auto"/>
          <w:sz w:val="24"/>
        </w:rPr>
        <w:t>达到60%。</w:t>
      </w:r>
    </w:p>
    <w:p w14:paraId="3A9C3C6D">
      <w:pPr>
        <w:wordWrap/>
        <w:spacing w:line="360" w:lineRule="auto"/>
        <w:ind w:firstLine="480" w:firstLineChars="200"/>
        <w:textAlignment w:val="auto"/>
        <w:rPr>
          <w:color w:val="auto"/>
          <w:sz w:val="24"/>
        </w:rPr>
      </w:pPr>
      <w:r>
        <w:rPr>
          <w:rFonts w:hint="eastAsia"/>
          <w:color w:val="auto"/>
          <w:sz w:val="24"/>
        </w:rPr>
        <w:t>3 地下综合管廊内部温度不</w:t>
      </w:r>
      <w:r>
        <w:rPr>
          <w:rFonts w:hint="eastAsia"/>
          <w:color w:val="auto"/>
          <w:sz w:val="24"/>
          <w:lang w:val="en-US" w:eastAsia="zh-CN"/>
        </w:rPr>
        <w:t>应</w:t>
      </w:r>
      <w:r>
        <w:rPr>
          <w:rFonts w:hint="eastAsia"/>
          <w:color w:val="auto"/>
          <w:sz w:val="24"/>
        </w:rPr>
        <w:t>大于40℃，氧气体积含量不</w:t>
      </w:r>
      <w:r>
        <w:rPr>
          <w:rFonts w:hint="eastAsia"/>
          <w:color w:val="auto"/>
          <w:sz w:val="24"/>
          <w:lang w:val="en-US" w:eastAsia="zh-CN"/>
        </w:rPr>
        <w:t>应</w:t>
      </w:r>
      <w:r>
        <w:rPr>
          <w:rFonts w:hint="eastAsia"/>
          <w:color w:val="auto"/>
          <w:sz w:val="24"/>
        </w:rPr>
        <w:t>小于19.5%。</w:t>
      </w:r>
    </w:p>
    <w:p w14:paraId="44905750">
      <w:pPr>
        <w:wordWrap/>
        <w:spacing w:line="360" w:lineRule="auto"/>
        <w:jc w:val="left"/>
        <w:textAlignment w:val="auto"/>
        <w:outlineLvl w:val="9"/>
        <w:rPr>
          <w:rFonts w:ascii="宋体" w:hAnsi="宋体" w:eastAsia="宋体" w:cs="宋体"/>
          <w:color w:val="auto"/>
          <w:sz w:val="24"/>
        </w:rPr>
      </w:pPr>
      <w:bookmarkStart w:id="313" w:name="_Toc6544"/>
      <w:bookmarkStart w:id="314" w:name="_Toc11186"/>
      <w:bookmarkStart w:id="315" w:name="_Toc27656"/>
      <w:bookmarkStart w:id="316" w:name="_Toc11686"/>
      <w:bookmarkStart w:id="317" w:name="_Toc4349"/>
      <w:bookmarkStart w:id="318" w:name="_Toc26914"/>
      <w:bookmarkStart w:id="319" w:name="_Toc30463"/>
      <w:bookmarkStart w:id="320" w:name="_Toc28647"/>
      <w:r>
        <w:rPr>
          <w:rFonts w:hint="eastAsia" w:ascii="宋体" w:hAnsi="宋体" w:cs="宋体"/>
          <w:color w:val="auto"/>
          <w:sz w:val="24"/>
          <w:lang w:val="en-US" w:eastAsia="zh-CN"/>
        </w:rPr>
        <w:t>B</w:t>
      </w:r>
      <w:r>
        <w:rPr>
          <w:rFonts w:hint="eastAsia" w:ascii="宋体" w:hAnsi="宋体" w:eastAsia="宋体" w:cs="宋体"/>
          <w:color w:val="auto"/>
          <w:sz w:val="24"/>
        </w:rPr>
        <w:t>.1.3 规划设计阶段，开发利用地下空间保留地面绿化系统，并且使地下各类功能设施和地面绿化系统的有机结合，从而实现地下地上景观一体化设计，</w:t>
      </w:r>
      <w:r>
        <w:rPr>
          <w:rFonts w:hint="eastAsia" w:ascii="宋体" w:hAnsi="宋体" w:cs="宋体"/>
          <w:color w:val="auto"/>
          <w:sz w:val="24"/>
          <w:lang w:eastAsia="zh-CN"/>
        </w:rPr>
        <w:t>应按下列</w:t>
      </w:r>
      <w:r>
        <w:rPr>
          <w:rFonts w:hint="eastAsia" w:ascii="宋体" w:hAnsi="宋体" w:eastAsia="宋体" w:cs="宋体"/>
          <w:color w:val="auto"/>
          <w:sz w:val="24"/>
        </w:rPr>
        <w:t>内容分别评分</w:t>
      </w:r>
      <w:bookmarkEnd w:id="313"/>
      <w:bookmarkEnd w:id="314"/>
      <w:bookmarkEnd w:id="315"/>
      <w:r>
        <w:rPr>
          <w:rFonts w:hint="eastAsia" w:ascii="宋体" w:hAnsi="宋体" w:eastAsia="宋体" w:cs="宋体"/>
          <w:color w:val="auto"/>
          <w:sz w:val="24"/>
        </w:rPr>
        <w:t>：</w:t>
      </w:r>
      <w:bookmarkEnd w:id="316"/>
      <w:bookmarkEnd w:id="317"/>
      <w:bookmarkEnd w:id="318"/>
    </w:p>
    <w:p w14:paraId="420C5554">
      <w:pPr>
        <w:wordWrap/>
        <w:spacing w:line="360" w:lineRule="auto"/>
        <w:ind w:firstLine="480" w:firstLineChars="200"/>
        <w:textAlignment w:val="auto"/>
        <w:rPr>
          <w:color w:val="auto"/>
          <w:sz w:val="24"/>
        </w:rPr>
      </w:pPr>
      <w:r>
        <w:rPr>
          <w:rFonts w:hint="eastAsia"/>
          <w:color w:val="auto"/>
          <w:sz w:val="24"/>
        </w:rPr>
        <w:t>1 针对相应的地下空间，选取适宜的植物；</w:t>
      </w:r>
    </w:p>
    <w:p w14:paraId="09386CE8">
      <w:pPr>
        <w:wordWrap/>
        <w:spacing w:line="360" w:lineRule="auto"/>
        <w:ind w:firstLine="480" w:firstLineChars="200"/>
        <w:textAlignment w:val="auto"/>
        <w:rPr>
          <w:color w:val="auto"/>
          <w:sz w:val="24"/>
        </w:rPr>
      </w:pPr>
      <w:r>
        <w:rPr>
          <w:rFonts w:hint="eastAsia"/>
          <w:color w:val="auto"/>
          <w:sz w:val="24"/>
        </w:rPr>
        <w:t>2 结合地下空间立面的尺度大小设计绿化的形式；</w:t>
      </w:r>
    </w:p>
    <w:p w14:paraId="7189C6BD">
      <w:pPr>
        <w:wordWrap/>
        <w:spacing w:line="360" w:lineRule="auto"/>
        <w:ind w:firstLine="480" w:firstLineChars="200"/>
        <w:textAlignment w:val="auto"/>
        <w:rPr>
          <w:color w:val="auto"/>
          <w:sz w:val="24"/>
        </w:rPr>
      </w:pPr>
      <w:r>
        <w:rPr>
          <w:rFonts w:hint="eastAsia"/>
          <w:color w:val="auto"/>
          <w:sz w:val="24"/>
        </w:rPr>
        <w:t>3 地下空间各类出地面设施与地面建筑、下沉广场以及绿化景观的结合设置。</w:t>
      </w:r>
    </w:p>
    <w:bookmarkEnd w:id="319"/>
    <w:bookmarkEnd w:id="320"/>
    <w:p w14:paraId="0744E3A4">
      <w:pPr>
        <w:wordWrap/>
        <w:spacing w:line="360" w:lineRule="auto"/>
        <w:ind w:firstLine="0"/>
        <w:jc w:val="both"/>
        <w:textAlignment w:val="auto"/>
        <w:outlineLvl w:val="9"/>
        <w:rPr>
          <w:rFonts w:ascii="宋体" w:hAnsi="宋体" w:eastAsia="宋体" w:cs="宋体"/>
          <w:color w:val="auto"/>
          <w:sz w:val="24"/>
        </w:rPr>
      </w:pPr>
      <w:bookmarkStart w:id="321" w:name="_Toc2800"/>
      <w:bookmarkStart w:id="322" w:name="_Toc24766"/>
      <w:bookmarkStart w:id="323" w:name="_Toc22105"/>
      <w:bookmarkStart w:id="324" w:name="_Toc5519"/>
      <w:bookmarkStart w:id="325" w:name="_Toc28187"/>
      <w:bookmarkStart w:id="326" w:name="_Toc28832"/>
      <w:bookmarkStart w:id="327" w:name="_Toc12410"/>
      <w:r>
        <w:rPr>
          <w:rFonts w:hint="eastAsia" w:ascii="宋体" w:hAnsi="宋体" w:cs="宋体"/>
          <w:color w:val="auto"/>
          <w:sz w:val="24"/>
          <w:lang w:val="en-US" w:eastAsia="zh-CN"/>
        </w:rPr>
        <w:t>B</w:t>
      </w:r>
      <w:r>
        <w:rPr>
          <w:rFonts w:hint="eastAsia" w:ascii="宋体" w:hAnsi="宋体" w:eastAsia="宋体" w:cs="宋体"/>
          <w:color w:val="auto"/>
          <w:sz w:val="24"/>
        </w:rPr>
        <w:t>.</w:t>
      </w:r>
      <w:r>
        <w:rPr>
          <w:rFonts w:hint="eastAsia" w:ascii="宋体" w:hAnsi="宋体" w:cs="宋体"/>
          <w:color w:val="auto"/>
          <w:sz w:val="24"/>
          <w:lang w:val="en-US" w:eastAsia="zh-CN"/>
        </w:rPr>
        <w:t>1</w:t>
      </w:r>
      <w:r>
        <w:rPr>
          <w:rFonts w:hint="eastAsia" w:ascii="宋体" w:hAnsi="宋体" w:eastAsia="宋体" w:cs="宋体"/>
          <w:color w:val="auto"/>
          <w:sz w:val="24"/>
        </w:rPr>
        <w:t>.</w:t>
      </w:r>
      <w:r>
        <w:rPr>
          <w:rFonts w:hint="eastAsia" w:ascii="宋体" w:hAnsi="宋体" w:cs="宋体"/>
          <w:color w:val="auto"/>
          <w:sz w:val="24"/>
          <w:lang w:val="en-US" w:eastAsia="zh-CN"/>
        </w:rPr>
        <w:t xml:space="preserve">4 </w:t>
      </w:r>
      <w:r>
        <w:rPr>
          <w:rFonts w:hint="eastAsia" w:ascii="宋体" w:hAnsi="宋体" w:eastAsia="宋体" w:cs="宋体"/>
          <w:color w:val="auto"/>
          <w:sz w:val="24"/>
        </w:rPr>
        <w:t>规划设计阶段，地下空间开发应与地铁车站、交通枢纽、综合管廊、停车场库、商业服务设施或人防工程等功能空间</w:t>
      </w:r>
      <w:r>
        <w:rPr>
          <w:rFonts w:hint="eastAsia" w:ascii="宋体" w:hAnsi="宋体" w:cs="宋体"/>
          <w:color w:val="auto"/>
          <w:sz w:val="24"/>
          <w:lang w:val="en-US" w:eastAsia="zh-CN"/>
        </w:rPr>
        <w:t>应</w:t>
      </w:r>
      <w:r>
        <w:rPr>
          <w:rFonts w:hint="eastAsia" w:ascii="宋体" w:hAnsi="宋体" w:eastAsia="宋体" w:cs="宋体"/>
          <w:color w:val="auto"/>
          <w:sz w:val="24"/>
        </w:rPr>
        <w:t>紧密结合，统一规划，充分利用地下空间进行综合开发。</w:t>
      </w:r>
      <w:bookmarkEnd w:id="321"/>
      <w:bookmarkEnd w:id="322"/>
      <w:bookmarkEnd w:id="323"/>
    </w:p>
    <w:p w14:paraId="5DFBF115">
      <w:pPr>
        <w:wordWrap/>
        <w:spacing w:line="360" w:lineRule="auto"/>
        <w:jc w:val="left"/>
        <w:textAlignment w:val="auto"/>
        <w:outlineLvl w:val="9"/>
        <w:rPr>
          <w:rFonts w:ascii="宋体" w:hAnsi="宋体" w:eastAsia="宋体" w:cs="宋体"/>
          <w:color w:val="auto"/>
          <w:sz w:val="24"/>
        </w:rPr>
      </w:pPr>
      <w:bookmarkStart w:id="328" w:name="_Toc2417"/>
      <w:bookmarkStart w:id="329" w:name="_Toc22205"/>
      <w:bookmarkStart w:id="330" w:name="_Toc8564"/>
      <w:r>
        <w:rPr>
          <w:rFonts w:hint="eastAsia" w:ascii="宋体" w:hAnsi="宋体" w:cs="宋体"/>
          <w:color w:val="auto"/>
          <w:sz w:val="24"/>
          <w:lang w:val="en-US" w:eastAsia="zh-CN"/>
        </w:rPr>
        <w:t>B</w:t>
      </w:r>
      <w:r>
        <w:rPr>
          <w:rFonts w:hint="eastAsia" w:ascii="宋体" w:hAnsi="宋体" w:eastAsia="宋体" w:cs="宋体"/>
          <w:color w:val="auto"/>
          <w:sz w:val="24"/>
        </w:rPr>
        <w:t>.</w:t>
      </w:r>
      <w:r>
        <w:rPr>
          <w:rFonts w:hint="eastAsia" w:ascii="宋体" w:hAnsi="宋体" w:cs="宋体"/>
          <w:color w:val="auto"/>
          <w:sz w:val="24"/>
          <w:lang w:val="en-US" w:eastAsia="zh-CN"/>
        </w:rPr>
        <w:t>1</w:t>
      </w:r>
      <w:r>
        <w:rPr>
          <w:rFonts w:hint="eastAsia" w:ascii="宋体" w:hAnsi="宋体" w:eastAsia="宋体" w:cs="宋体"/>
          <w:color w:val="auto"/>
          <w:sz w:val="24"/>
        </w:rPr>
        <w:t>.</w:t>
      </w:r>
      <w:r>
        <w:rPr>
          <w:rFonts w:hint="eastAsia" w:ascii="宋体" w:hAnsi="宋体" w:cs="宋体"/>
          <w:color w:val="auto"/>
          <w:sz w:val="24"/>
          <w:lang w:val="en-US" w:eastAsia="zh-CN"/>
        </w:rPr>
        <w:t xml:space="preserve">5 </w:t>
      </w:r>
      <w:r>
        <w:rPr>
          <w:rFonts w:hint="eastAsia" w:ascii="宋体" w:hAnsi="宋体" w:eastAsia="宋体" w:cs="宋体"/>
          <w:color w:val="auto"/>
          <w:sz w:val="24"/>
        </w:rPr>
        <w:t>规划设计阶段，在站点周边500m范围内有混合开发地块的车站数量占到全线总车站数量的比例</w:t>
      </w:r>
      <w:r>
        <w:rPr>
          <w:rFonts w:hint="eastAsia" w:ascii="宋体" w:hAnsi="宋体" w:cs="宋体"/>
          <w:color w:val="auto"/>
          <w:sz w:val="24"/>
          <w:lang w:val="en-US" w:eastAsia="zh-CN"/>
        </w:rPr>
        <w:t>应</w:t>
      </w:r>
      <w:r>
        <w:rPr>
          <w:rFonts w:hint="eastAsia" w:ascii="宋体" w:hAnsi="宋体" w:eastAsia="宋体" w:cs="宋体"/>
          <w:color w:val="auto"/>
          <w:sz w:val="24"/>
        </w:rPr>
        <w:t>达到50%。</w:t>
      </w:r>
      <w:bookmarkEnd w:id="328"/>
      <w:bookmarkEnd w:id="329"/>
      <w:bookmarkEnd w:id="330"/>
    </w:p>
    <w:p w14:paraId="2BA34C8B">
      <w:pPr>
        <w:wordWrap/>
        <w:spacing w:line="360" w:lineRule="auto"/>
        <w:jc w:val="left"/>
        <w:textAlignment w:val="auto"/>
        <w:outlineLvl w:val="9"/>
        <w:rPr>
          <w:rFonts w:ascii="宋体" w:hAnsi="宋体" w:eastAsia="宋体" w:cs="宋体"/>
          <w:color w:val="auto"/>
          <w:sz w:val="24"/>
        </w:rPr>
      </w:pPr>
      <w:bookmarkStart w:id="331" w:name="_Toc12992"/>
      <w:bookmarkStart w:id="332" w:name="_Toc14915"/>
      <w:bookmarkStart w:id="333" w:name="_Toc21341"/>
      <w:r>
        <w:rPr>
          <w:rFonts w:hint="eastAsia" w:ascii="宋体" w:hAnsi="宋体" w:eastAsia="宋体" w:cs="宋体"/>
          <w:color w:val="auto"/>
          <w:sz w:val="24"/>
        </w:rPr>
        <w:t>B1.2.3</w:t>
      </w:r>
      <w:r>
        <w:rPr>
          <w:rFonts w:hint="eastAsia" w:ascii="宋体" w:hAnsi="宋体" w:eastAsia="宋体" w:cs="宋体"/>
          <w:color w:val="auto"/>
          <w:sz w:val="24"/>
          <w:highlight w:val="none"/>
        </w:rPr>
        <w:t>规划设计阶段，</w:t>
      </w:r>
      <w:r>
        <w:rPr>
          <w:rFonts w:hint="eastAsia" w:ascii="宋体" w:hAnsi="宋体" w:cs="宋体"/>
          <w:color w:val="auto"/>
          <w:sz w:val="24"/>
          <w:highlight w:val="none"/>
          <w:lang w:val="en-US" w:eastAsia="zh-CN"/>
        </w:rPr>
        <w:t>应</w:t>
      </w:r>
      <w:r>
        <w:rPr>
          <w:rFonts w:hint="eastAsia" w:ascii="宋体" w:hAnsi="宋体" w:eastAsia="宋体" w:cs="宋体"/>
          <w:color w:val="auto"/>
          <w:sz w:val="24"/>
          <w:highlight w:val="none"/>
        </w:rPr>
        <w:t>对轨道交通地下场站及周边土地实施立体开发，地下建筑面积占总用地面积的比例</w:t>
      </w:r>
      <w:r>
        <w:rPr>
          <w:rFonts w:hint="eastAsia" w:ascii="宋体" w:hAnsi="宋体" w:cs="宋体"/>
          <w:color w:val="auto"/>
          <w:sz w:val="24"/>
          <w:highlight w:val="none"/>
          <w:lang w:val="en-US" w:eastAsia="zh-CN"/>
        </w:rPr>
        <w:t>应</w:t>
      </w:r>
      <w:r>
        <w:rPr>
          <w:rFonts w:hint="eastAsia" w:ascii="宋体" w:hAnsi="宋体" w:eastAsia="宋体" w:cs="宋体"/>
          <w:color w:val="auto"/>
          <w:sz w:val="24"/>
          <w:highlight w:val="none"/>
        </w:rPr>
        <w:t>达到</w:t>
      </w:r>
      <w:r>
        <w:rPr>
          <w:rFonts w:ascii="宋体" w:hAnsi="宋体" w:eastAsia="宋体" w:cs="宋体"/>
          <w:color w:val="auto"/>
          <w:sz w:val="24"/>
          <w:highlight w:val="none"/>
        </w:rPr>
        <w:t>50%</w:t>
      </w:r>
      <w:r>
        <w:rPr>
          <w:rFonts w:hint="eastAsia" w:ascii="宋体" w:hAnsi="宋体" w:eastAsia="宋体" w:cs="宋体"/>
          <w:color w:val="auto"/>
          <w:sz w:val="24"/>
          <w:highlight w:val="none"/>
        </w:rPr>
        <w:t>。</w:t>
      </w:r>
      <w:bookmarkEnd w:id="331"/>
      <w:bookmarkEnd w:id="332"/>
      <w:bookmarkEnd w:id="333"/>
    </w:p>
    <w:p w14:paraId="31F6871E">
      <w:pPr>
        <w:wordWrap/>
        <w:spacing w:line="360" w:lineRule="auto"/>
        <w:jc w:val="left"/>
        <w:textAlignment w:val="auto"/>
        <w:outlineLvl w:val="9"/>
        <w:rPr>
          <w:rFonts w:ascii="宋体" w:hAnsi="宋体" w:eastAsia="宋体" w:cs="宋体"/>
          <w:color w:val="auto"/>
          <w:sz w:val="24"/>
        </w:rPr>
      </w:pPr>
      <w:bookmarkStart w:id="334" w:name="_Toc29443"/>
      <w:bookmarkStart w:id="335" w:name="_Toc9924"/>
      <w:bookmarkStart w:id="336" w:name="_Toc12276"/>
      <w:r>
        <w:rPr>
          <w:rFonts w:hint="eastAsia" w:ascii="宋体" w:hAnsi="宋体" w:eastAsia="宋体" w:cs="宋体"/>
          <w:color w:val="auto"/>
          <w:sz w:val="24"/>
        </w:rPr>
        <w:t>B.</w:t>
      </w:r>
      <w:r>
        <w:rPr>
          <w:rFonts w:hint="eastAsia" w:ascii="宋体" w:hAnsi="宋体" w:cs="宋体"/>
          <w:color w:val="auto"/>
          <w:sz w:val="24"/>
          <w:lang w:val="en-US" w:eastAsia="zh-CN"/>
        </w:rPr>
        <w:t>1</w:t>
      </w:r>
      <w:r>
        <w:rPr>
          <w:rFonts w:hint="eastAsia" w:ascii="宋体" w:hAnsi="宋体" w:eastAsia="宋体" w:cs="宋体"/>
          <w:color w:val="auto"/>
          <w:sz w:val="24"/>
        </w:rPr>
        <w:t>.</w:t>
      </w:r>
      <w:r>
        <w:rPr>
          <w:rFonts w:hint="eastAsia" w:ascii="宋体" w:hAnsi="宋体" w:cs="宋体"/>
          <w:color w:val="auto"/>
          <w:sz w:val="24"/>
          <w:lang w:val="en-US" w:eastAsia="zh-CN"/>
        </w:rPr>
        <w:t>6</w:t>
      </w:r>
      <w:r>
        <w:rPr>
          <w:rFonts w:hint="eastAsia" w:ascii="宋体" w:hAnsi="宋体" w:eastAsia="宋体" w:cs="宋体"/>
          <w:color w:val="auto"/>
          <w:sz w:val="24"/>
        </w:rPr>
        <w:t xml:space="preserve"> 运行阶段应</w:t>
      </w:r>
      <w:r>
        <w:rPr>
          <w:rFonts w:hint="eastAsia" w:ascii="宋体" w:hAnsi="宋体" w:cs="宋体"/>
          <w:color w:val="auto"/>
          <w:sz w:val="24"/>
          <w:lang w:val="en-US" w:eastAsia="zh-CN"/>
        </w:rPr>
        <w:t>采</w:t>
      </w:r>
      <w:r>
        <w:rPr>
          <w:rFonts w:hint="eastAsia" w:ascii="宋体" w:hAnsi="宋体" w:eastAsia="宋体" w:cs="宋体"/>
          <w:color w:val="auto"/>
          <w:sz w:val="24"/>
        </w:rPr>
        <w:t>用工程健康监测系统开展隧道类地下工程运行期间的外部荷载、结构内力及变形监测，</w:t>
      </w:r>
      <w:r>
        <w:rPr>
          <w:rFonts w:hint="eastAsia" w:ascii="宋体" w:hAnsi="宋体" w:cs="宋体"/>
          <w:color w:val="auto"/>
          <w:sz w:val="24"/>
          <w:lang w:val="en-US" w:eastAsia="zh-CN"/>
        </w:rPr>
        <w:t>并</w:t>
      </w:r>
      <w:r>
        <w:rPr>
          <w:rFonts w:hint="eastAsia" w:ascii="宋体" w:hAnsi="宋体" w:cs="宋体"/>
          <w:color w:val="auto"/>
          <w:sz w:val="24"/>
          <w:lang w:eastAsia="zh-CN"/>
        </w:rPr>
        <w:t>应按下列</w:t>
      </w:r>
      <w:r>
        <w:rPr>
          <w:rFonts w:hint="eastAsia" w:ascii="宋体" w:hAnsi="宋体" w:eastAsia="宋体" w:cs="宋体"/>
          <w:color w:val="auto"/>
          <w:sz w:val="24"/>
        </w:rPr>
        <w:t>内容分别评分：</w:t>
      </w:r>
      <w:bookmarkEnd w:id="334"/>
      <w:bookmarkEnd w:id="335"/>
      <w:bookmarkEnd w:id="336"/>
    </w:p>
    <w:p w14:paraId="01D2D142">
      <w:pPr>
        <w:wordWrap/>
        <w:spacing w:line="360" w:lineRule="auto"/>
        <w:ind w:firstLine="480" w:firstLineChars="200"/>
        <w:textAlignment w:val="auto"/>
        <w:rPr>
          <w:color w:val="auto"/>
          <w:sz w:val="24"/>
        </w:rPr>
      </w:pPr>
      <w:r>
        <w:rPr>
          <w:rFonts w:hint="eastAsia"/>
          <w:color w:val="auto"/>
          <w:sz w:val="24"/>
        </w:rPr>
        <w:t>1 健康监测断面选择合理，具有典型性及代表性，能满足运行监测的需要；</w:t>
      </w:r>
    </w:p>
    <w:p w14:paraId="6A546C0A">
      <w:pPr>
        <w:wordWrap/>
        <w:spacing w:line="360" w:lineRule="auto"/>
        <w:ind w:firstLine="480" w:firstLineChars="200"/>
        <w:textAlignment w:val="auto"/>
        <w:rPr>
          <w:color w:val="auto"/>
          <w:sz w:val="24"/>
        </w:rPr>
      </w:pPr>
      <w:r>
        <w:rPr>
          <w:rFonts w:hint="eastAsia"/>
          <w:color w:val="auto"/>
          <w:sz w:val="24"/>
        </w:rPr>
        <w:t>2 健康监测预埋元器件性能良好，能实现长期、连续稳定监测。</w:t>
      </w:r>
    </w:p>
    <w:bookmarkEnd w:id="324"/>
    <w:bookmarkEnd w:id="325"/>
    <w:bookmarkEnd w:id="326"/>
    <w:bookmarkEnd w:id="327"/>
    <w:p w14:paraId="479986BC">
      <w:pPr>
        <w:wordWrap/>
        <w:spacing w:line="360" w:lineRule="auto"/>
        <w:jc w:val="left"/>
        <w:textAlignment w:val="auto"/>
        <w:outlineLvl w:val="9"/>
        <w:rPr>
          <w:rFonts w:ascii="宋体" w:hAnsi="宋体" w:eastAsia="宋体" w:cs="宋体"/>
          <w:color w:val="auto"/>
          <w:sz w:val="24"/>
        </w:rPr>
      </w:pPr>
      <w:bookmarkStart w:id="337" w:name="_Toc16479"/>
      <w:bookmarkStart w:id="338" w:name="_Toc5023"/>
      <w:bookmarkStart w:id="339" w:name="_Toc17858"/>
      <w:r>
        <w:rPr>
          <w:rFonts w:hint="eastAsia" w:ascii="宋体" w:hAnsi="宋体" w:eastAsia="宋体" w:cs="宋体"/>
          <w:color w:val="auto"/>
          <w:sz w:val="24"/>
        </w:rPr>
        <w:t>B.</w:t>
      </w:r>
      <w:r>
        <w:rPr>
          <w:rFonts w:hint="eastAsia" w:ascii="宋体" w:hAnsi="宋体" w:cs="宋体"/>
          <w:color w:val="auto"/>
          <w:sz w:val="24"/>
          <w:lang w:val="en-US" w:eastAsia="zh-CN"/>
        </w:rPr>
        <w:t>1</w:t>
      </w:r>
      <w:r>
        <w:rPr>
          <w:rFonts w:hint="eastAsia" w:ascii="宋体" w:hAnsi="宋体" w:eastAsia="宋体" w:cs="宋体"/>
          <w:color w:val="auto"/>
          <w:sz w:val="24"/>
        </w:rPr>
        <w:t>.</w:t>
      </w:r>
      <w:r>
        <w:rPr>
          <w:rFonts w:hint="eastAsia" w:ascii="宋体" w:hAnsi="宋体" w:cs="宋体"/>
          <w:color w:val="auto"/>
          <w:sz w:val="24"/>
          <w:lang w:val="en-US" w:eastAsia="zh-CN"/>
        </w:rPr>
        <w:t>7</w:t>
      </w:r>
      <w:r>
        <w:rPr>
          <w:rFonts w:hint="eastAsia" w:ascii="宋体" w:hAnsi="宋体" w:eastAsia="宋体" w:cs="宋体"/>
          <w:color w:val="auto"/>
          <w:sz w:val="24"/>
        </w:rPr>
        <w:t xml:space="preserve"> 施工建造阶段应</w:t>
      </w:r>
      <w:r>
        <w:rPr>
          <w:rFonts w:hint="eastAsia" w:ascii="宋体" w:hAnsi="宋体" w:cs="宋体"/>
          <w:color w:val="auto"/>
          <w:sz w:val="24"/>
          <w:lang w:val="en-US" w:eastAsia="zh-CN"/>
        </w:rPr>
        <w:t>采</w:t>
      </w:r>
      <w:r>
        <w:rPr>
          <w:rFonts w:hint="eastAsia" w:ascii="宋体" w:hAnsi="宋体" w:eastAsia="宋体" w:cs="宋体"/>
          <w:color w:val="auto"/>
          <w:sz w:val="24"/>
        </w:rPr>
        <w:t>用智能化、信息化技术，结合地下空间建设施工特色，增强项目韧性与抗灾性能，</w:t>
      </w:r>
      <w:r>
        <w:rPr>
          <w:rFonts w:hint="eastAsia" w:ascii="宋体" w:hAnsi="宋体" w:cs="宋体"/>
          <w:color w:val="auto"/>
          <w:sz w:val="24"/>
          <w:lang w:eastAsia="zh-CN"/>
        </w:rPr>
        <w:t>应按下列</w:t>
      </w:r>
      <w:r>
        <w:rPr>
          <w:rFonts w:hint="eastAsia" w:ascii="宋体" w:hAnsi="宋体" w:eastAsia="宋体" w:cs="宋体"/>
          <w:color w:val="auto"/>
          <w:sz w:val="24"/>
        </w:rPr>
        <w:t>内容分别评分：</w:t>
      </w:r>
      <w:bookmarkEnd w:id="337"/>
      <w:bookmarkEnd w:id="338"/>
      <w:bookmarkEnd w:id="339"/>
    </w:p>
    <w:p w14:paraId="47F37EDD">
      <w:pPr>
        <w:wordWrap/>
        <w:spacing w:line="360" w:lineRule="auto"/>
        <w:ind w:firstLine="480" w:firstLineChars="200"/>
        <w:jc w:val="left"/>
        <w:textAlignment w:val="auto"/>
        <w:outlineLvl w:val="9"/>
        <w:rPr>
          <w:rFonts w:ascii="宋体" w:hAnsi="宋体" w:eastAsia="宋体" w:cs="宋体"/>
          <w:color w:val="auto"/>
          <w:sz w:val="24"/>
        </w:rPr>
      </w:pPr>
      <w:bookmarkStart w:id="340" w:name="_Toc8670"/>
      <w:bookmarkStart w:id="341" w:name="_Toc21144"/>
      <w:bookmarkStart w:id="342" w:name="_Toc25665"/>
      <w:r>
        <w:rPr>
          <w:rFonts w:hint="eastAsia" w:ascii="宋体" w:hAnsi="宋体" w:eastAsia="宋体" w:cs="宋体"/>
          <w:color w:val="auto"/>
          <w:sz w:val="24"/>
        </w:rPr>
        <w:t>1 建立地下空间施工监测平台，对地下空间建设过程中基坑变形、地下水位、基础沉降等施工安全数据进行监测显示；</w:t>
      </w:r>
      <w:bookmarkEnd w:id="340"/>
      <w:bookmarkEnd w:id="341"/>
      <w:bookmarkEnd w:id="342"/>
    </w:p>
    <w:p w14:paraId="11BC1210">
      <w:pPr>
        <w:wordWrap/>
        <w:spacing w:line="360" w:lineRule="auto"/>
        <w:ind w:firstLine="480" w:firstLineChars="200"/>
        <w:jc w:val="left"/>
        <w:textAlignment w:val="auto"/>
        <w:outlineLvl w:val="9"/>
        <w:rPr>
          <w:rFonts w:ascii="宋体" w:hAnsi="宋体" w:eastAsia="宋体" w:cs="宋体"/>
          <w:color w:val="auto"/>
          <w:sz w:val="24"/>
        </w:rPr>
      </w:pPr>
      <w:bookmarkStart w:id="343" w:name="_Toc24217"/>
      <w:bookmarkStart w:id="344" w:name="_Toc11774"/>
      <w:bookmarkStart w:id="345" w:name="_Toc25830"/>
      <w:r>
        <w:rPr>
          <w:rFonts w:hint="eastAsia" w:ascii="宋体" w:hAnsi="宋体" w:eastAsia="宋体" w:cs="宋体"/>
          <w:color w:val="auto"/>
          <w:sz w:val="24"/>
        </w:rPr>
        <w:t>2 对重要性较高的盾构、掘进等设备的基础信息、进出场信息等进行管理；</w:t>
      </w:r>
      <w:bookmarkEnd w:id="343"/>
      <w:bookmarkEnd w:id="344"/>
      <w:bookmarkEnd w:id="345"/>
    </w:p>
    <w:p w14:paraId="3C21BCA7">
      <w:pPr>
        <w:wordWrap/>
        <w:spacing w:line="360" w:lineRule="auto"/>
        <w:ind w:firstLine="480" w:firstLineChars="200"/>
        <w:jc w:val="left"/>
        <w:textAlignment w:val="auto"/>
        <w:outlineLvl w:val="9"/>
        <w:rPr>
          <w:rFonts w:ascii="宋体" w:hAnsi="宋体" w:eastAsia="宋体" w:cs="宋体"/>
          <w:color w:val="auto"/>
          <w:sz w:val="24"/>
        </w:rPr>
      </w:pPr>
      <w:bookmarkStart w:id="346" w:name="_Toc11152"/>
      <w:bookmarkStart w:id="347" w:name="_Toc13692"/>
      <w:bookmarkStart w:id="348" w:name="_Toc18622"/>
      <w:r>
        <w:rPr>
          <w:rFonts w:hint="eastAsia" w:ascii="宋体" w:hAnsi="宋体" w:eastAsia="宋体" w:cs="宋体"/>
          <w:color w:val="auto"/>
          <w:sz w:val="24"/>
        </w:rPr>
        <w:t>3 对大设备的运行数据进行实时采集和监控。</w:t>
      </w:r>
      <w:bookmarkEnd w:id="346"/>
      <w:bookmarkEnd w:id="347"/>
      <w:bookmarkEnd w:id="348"/>
    </w:p>
    <w:p w14:paraId="031BD5CF">
      <w:pPr>
        <w:wordWrap/>
        <w:spacing w:line="360" w:lineRule="auto"/>
        <w:jc w:val="left"/>
        <w:textAlignment w:val="auto"/>
        <w:outlineLvl w:val="9"/>
        <w:rPr>
          <w:rFonts w:ascii="宋体" w:hAnsi="宋体" w:eastAsia="宋体" w:cs="宋体"/>
          <w:color w:val="auto"/>
          <w:sz w:val="24"/>
        </w:rPr>
      </w:pPr>
      <w:bookmarkStart w:id="349" w:name="_Toc29099"/>
      <w:bookmarkStart w:id="350" w:name="_Toc24085"/>
      <w:bookmarkStart w:id="351" w:name="_Toc15713"/>
      <w:r>
        <w:rPr>
          <w:rFonts w:hint="eastAsia" w:ascii="宋体" w:hAnsi="宋体" w:eastAsia="宋体" w:cs="宋体"/>
          <w:color w:val="auto"/>
          <w:sz w:val="24"/>
        </w:rPr>
        <w:t>B.</w:t>
      </w:r>
      <w:r>
        <w:rPr>
          <w:rFonts w:hint="eastAsia" w:ascii="宋体" w:hAnsi="宋体" w:cs="宋体"/>
          <w:color w:val="auto"/>
          <w:sz w:val="24"/>
          <w:lang w:val="en-US" w:eastAsia="zh-CN"/>
        </w:rPr>
        <w:t>1</w:t>
      </w:r>
      <w:r>
        <w:rPr>
          <w:rFonts w:hint="eastAsia" w:ascii="宋体" w:hAnsi="宋体" w:eastAsia="宋体" w:cs="宋体"/>
          <w:color w:val="auto"/>
          <w:sz w:val="24"/>
        </w:rPr>
        <w:t>.</w:t>
      </w:r>
      <w:r>
        <w:rPr>
          <w:rFonts w:hint="eastAsia" w:ascii="宋体" w:hAnsi="宋体" w:cs="宋体"/>
          <w:color w:val="auto"/>
          <w:sz w:val="24"/>
          <w:lang w:val="en-US" w:eastAsia="zh-CN"/>
        </w:rPr>
        <w:t>8</w:t>
      </w:r>
      <w:r>
        <w:rPr>
          <w:rFonts w:hint="eastAsia" w:ascii="宋体" w:hAnsi="宋体" w:eastAsia="宋体" w:cs="宋体"/>
          <w:color w:val="auto"/>
          <w:sz w:val="24"/>
        </w:rPr>
        <w:t xml:space="preserve"> 运行阶段，</w:t>
      </w:r>
      <w:r>
        <w:rPr>
          <w:rFonts w:hint="eastAsia" w:ascii="宋体" w:hAnsi="宋体" w:cs="宋体"/>
          <w:color w:val="auto"/>
          <w:sz w:val="24"/>
          <w:lang w:eastAsia="zh-CN"/>
        </w:rPr>
        <w:t>地下停车场</w:t>
      </w:r>
      <w:r>
        <w:rPr>
          <w:rFonts w:hint="eastAsia" w:ascii="宋体" w:hAnsi="宋体" w:cs="宋体"/>
          <w:color w:val="auto"/>
          <w:sz w:val="24"/>
          <w:lang w:val="en-US" w:eastAsia="zh-CN"/>
        </w:rPr>
        <w:t>应</w:t>
      </w:r>
      <w:r>
        <w:rPr>
          <w:rFonts w:hint="eastAsia" w:ascii="宋体" w:hAnsi="宋体" w:cs="宋体"/>
          <w:color w:val="auto"/>
          <w:sz w:val="24"/>
          <w:lang w:eastAsia="zh-CN"/>
        </w:rPr>
        <w:t>开</w:t>
      </w:r>
      <w:r>
        <w:rPr>
          <w:rFonts w:hint="eastAsia" w:ascii="宋体" w:hAnsi="宋体" w:cs="宋体"/>
          <w:color w:val="auto"/>
          <w:sz w:val="24"/>
          <w:lang w:val="en-US" w:eastAsia="zh-CN"/>
        </w:rPr>
        <w:t>展</w:t>
      </w:r>
      <w:r>
        <w:rPr>
          <w:rFonts w:hint="eastAsia" w:ascii="宋体" w:hAnsi="宋体" w:cs="宋体"/>
          <w:color w:val="auto"/>
          <w:sz w:val="24"/>
          <w:lang w:eastAsia="zh-CN"/>
        </w:rPr>
        <w:t>智慧应用</w:t>
      </w:r>
      <w:r>
        <w:rPr>
          <w:rFonts w:hint="eastAsia" w:ascii="宋体" w:hAnsi="宋体" w:eastAsia="宋体" w:cs="宋体"/>
          <w:color w:val="auto"/>
          <w:sz w:val="24"/>
        </w:rPr>
        <w:t>，</w:t>
      </w:r>
      <w:r>
        <w:rPr>
          <w:rFonts w:hint="eastAsia" w:ascii="宋体" w:hAnsi="宋体" w:cs="宋体"/>
          <w:color w:val="auto"/>
          <w:sz w:val="24"/>
          <w:lang w:val="en-US" w:eastAsia="zh-CN"/>
        </w:rPr>
        <w:t>并</w:t>
      </w:r>
      <w:r>
        <w:rPr>
          <w:rFonts w:hint="eastAsia" w:ascii="宋体" w:hAnsi="宋体" w:cs="宋体"/>
          <w:color w:val="auto"/>
          <w:sz w:val="24"/>
          <w:lang w:eastAsia="zh-CN"/>
        </w:rPr>
        <w:t>应按下列</w:t>
      </w:r>
      <w:r>
        <w:rPr>
          <w:rFonts w:hint="eastAsia" w:ascii="宋体" w:hAnsi="宋体" w:eastAsia="宋体" w:cs="宋体"/>
          <w:color w:val="auto"/>
          <w:sz w:val="24"/>
        </w:rPr>
        <w:t>内容分别评分：</w:t>
      </w:r>
      <w:bookmarkEnd w:id="349"/>
      <w:bookmarkEnd w:id="350"/>
      <w:bookmarkEnd w:id="351"/>
    </w:p>
    <w:p w14:paraId="45B77F62">
      <w:pPr>
        <w:wordWrap/>
        <w:spacing w:line="360" w:lineRule="auto"/>
        <w:ind w:firstLine="480" w:firstLineChars="200"/>
        <w:jc w:val="left"/>
        <w:textAlignment w:val="auto"/>
        <w:outlineLvl w:val="9"/>
        <w:rPr>
          <w:rFonts w:hint="eastAsia" w:ascii="宋体" w:hAnsi="宋体" w:eastAsia="宋体" w:cs="宋体"/>
          <w:color w:val="auto"/>
          <w:sz w:val="24"/>
        </w:rPr>
      </w:pPr>
      <w:bookmarkStart w:id="352" w:name="_Toc13654"/>
      <w:bookmarkStart w:id="353" w:name="_Toc28069"/>
      <w:bookmarkStart w:id="354" w:name="_Toc1747"/>
      <w:r>
        <w:rPr>
          <w:rFonts w:hint="eastAsia" w:ascii="宋体" w:hAnsi="宋体" w:eastAsia="宋体" w:cs="宋体"/>
          <w:color w:val="auto"/>
          <w:sz w:val="24"/>
        </w:rPr>
        <w:t>1 结合感知设备与BIM应用，实现地下停车场信息集成显示功能；</w:t>
      </w:r>
      <w:bookmarkEnd w:id="352"/>
      <w:bookmarkEnd w:id="353"/>
      <w:bookmarkEnd w:id="354"/>
    </w:p>
    <w:p w14:paraId="15BFA50E">
      <w:pPr>
        <w:wordWrap/>
        <w:spacing w:line="360" w:lineRule="auto"/>
        <w:ind w:firstLine="480" w:firstLineChars="200"/>
        <w:jc w:val="left"/>
        <w:textAlignment w:val="auto"/>
        <w:outlineLvl w:val="9"/>
        <w:rPr>
          <w:rFonts w:ascii="宋体" w:hAnsi="宋体" w:eastAsia="宋体" w:cs="宋体"/>
          <w:color w:val="auto"/>
          <w:sz w:val="24"/>
        </w:rPr>
      </w:pPr>
      <w:bookmarkStart w:id="355" w:name="_Toc28950"/>
      <w:bookmarkStart w:id="356" w:name="_Toc9796"/>
      <w:bookmarkStart w:id="357" w:name="_Toc6316"/>
      <w:r>
        <w:rPr>
          <w:rFonts w:hint="eastAsia" w:ascii="宋体" w:hAnsi="宋体" w:cs="宋体"/>
          <w:color w:val="auto"/>
          <w:sz w:val="24"/>
          <w:lang w:val="en-US" w:eastAsia="zh-CN"/>
        </w:rPr>
        <w:t xml:space="preserve">2 </w:t>
      </w:r>
      <w:r>
        <w:rPr>
          <w:rFonts w:hint="eastAsia" w:ascii="宋体" w:hAnsi="宋体" w:eastAsia="宋体" w:cs="宋体"/>
          <w:color w:val="auto"/>
          <w:sz w:val="24"/>
        </w:rPr>
        <w:t>综合运用车位感知器、指引灯牌、机械式车位等设备，实现车位引导、车辆分流等功能，综合提升地下停车场利用效率；</w:t>
      </w:r>
      <w:bookmarkEnd w:id="355"/>
      <w:bookmarkEnd w:id="356"/>
      <w:bookmarkEnd w:id="357"/>
    </w:p>
    <w:p w14:paraId="0FA53EFC">
      <w:pPr>
        <w:wordWrap/>
        <w:spacing w:line="360" w:lineRule="auto"/>
        <w:jc w:val="left"/>
        <w:textAlignment w:val="auto"/>
        <w:outlineLvl w:val="9"/>
        <w:rPr>
          <w:rFonts w:ascii="宋体" w:hAnsi="宋体" w:eastAsia="宋体" w:cs="宋体"/>
          <w:color w:val="auto"/>
          <w:sz w:val="24"/>
        </w:rPr>
      </w:pPr>
      <w:bookmarkStart w:id="358" w:name="_Toc1108"/>
      <w:bookmarkStart w:id="359" w:name="_Toc3971"/>
      <w:bookmarkStart w:id="360" w:name="_Toc9173"/>
      <w:r>
        <w:rPr>
          <w:rFonts w:hint="eastAsia" w:ascii="宋体" w:hAnsi="宋体" w:eastAsia="宋体" w:cs="宋体"/>
          <w:color w:val="auto"/>
          <w:sz w:val="24"/>
        </w:rPr>
        <w:t>B.</w:t>
      </w:r>
      <w:r>
        <w:rPr>
          <w:rFonts w:hint="eastAsia" w:ascii="宋体" w:hAnsi="宋体" w:cs="宋体"/>
          <w:color w:val="auto"/>
          <w:sz w:val="24"/>
          <w:lang w:val="en-US" w:eastAsia="zh-CN"/>
        </w:rPr>
        <w:t>1</w:t>
      </w:r>
      <w:r>
        <w:rPr>
          <w:rFonts w:hint="eastAsia" w:ascii="宋体" w:hAnsi="宋体" w:eastAsia="宋体" w:cs="宋体"/>
          <w:color w:val="auto"/>
          <w:sz w:val="24"/>
        </w:rPr>
        <w:t>.</w:t>
      </w:r>
      <w:r>
        <w:rPr>
          <w:rFonts w:hint="eastAsia" w:ascii="宋体" w:hAnsi="宋体" w:cs="宋体"/>
          <w:color w:val="auto"/>
          <w:sz w:val="24"/>
          <w:lang w:val="en-US" w:eastAsia="zh-CN"/>
        </w:rPr>
        <w:t>9</w:t>
      </w:r>
      <w:r>
        <w:rPr>
          <w:rFonts w:hint="eastAsia" w:ascii="宋体" w:hAnsi="宋体" w:eastAsia="宋体" w:cs="宋体"/>
          <w:color w:val="auto"/>
          <w:sz w:val="24"/>
        </w:rPr>
        <w:t xml:space="preserve"> 运行阶段，</w:t>
      </w:r>
      <w:r>
        <w:rPr>
          <w:rFonts w:hint="eastAsia" w:ascii="宋体" w:hAnsi="宋体" w:cs="宋体"/>
          <w:color w:val="auto"/>
          <w:sz w:val="24"/>
          <w:lang w:eastAsia="zh-CN"/>
        </w:rPr>
        <w:t>地下综合管廊</w:t>
      </w:r>
      <w:r>
        <w:rPr>
          <w:rFonts w:hint="eastAsia" w:ascii="宋体" w:hAnsi="宋体" w:cs="宋体"/>
          <w:color w:val="auto"/>
          <w:sz w:val="24"/>
          <w:lang w:val="en-US" w:eastAsia="zh-CN"/>
        </w:rPr>
        <w:t>应</w:t>
      </w:r>
      <w:r>
        <w:rPr>
          <w:rFonts w:hint="eastAsia" w:ascii="宋体" w:hAnsi="宋体" w:cs="宋体"/>
          <w:color w:val="auto"/>
          <w:sz w:val="24"/>
          <w:lang w:eastAsia="zh-CN"/>
        </w:rPr>
        <w:t>开智</w:t>
      </w:r>
      <w:r>
        <w:rPr>
          <w:rFonts w:hint="eastAsia" w:ascii="宋体" w:hAnsi="宋体" w:cs="宋体"/>
          <w:color w:val="auto"/>
          <w:sz w:val="24"/>
          <w:lang w:val="en-US" w:eastAsia="zh-CN"/>
        </w:rPr>
        <w:t>展</w:t>
      </w:r>
      <w:r>
        <w:rPr>
          <w:rFonts w:hint="eastAsia" w:ascii="宋体" w:hAnsi="宋体" w:cs="宋体"/>
          <w:color w:val="auto"/>
          <w:sz w:val="24"/>
          <w:lang w:eastAsia="zh-CN"/>
        </w:rPr>
        <w:t>慧应用，</w:t>
      </w:r>
      <w:r>
        <w:rPr>
          <w:rFonts w:hint="eastAsia" w:ascii="宋体" w:hAnsi="宋体" w:cs="宋体"/>
          <w:color w:val="auto"/>
          <w:sz w:val="24"/>
          <w:lang w:val="en-US" w:eastAsia="zh-CN"/>
        </w:rPr>
        <w:t>并</w:t>
      </w:r>
      <w:r>
        <w:rPr>
          <w:rFonts w:hint="eastAsia" w:ascii="宋体" w:hAnsi="宋体" w:cs="宋体"/>
          <w:color w:val="auto"/>
          <w:sz w:val="24"/>
          <w:lang w:eastAsia="zh-CN"/>
        </w:rPr>
        <w:t>应按下列</w:t>
      </w:r>
      <w:r>
        <w:rPr>
          <w:rFonts w:hint="eastAsia" w:ascii="宋体" w:hAnsi="宋体" w:eastAsia="宋体" w:cs="宋体"/>
          <w:color w:val="auto"/>
          <w:sz w:val="24"/>
        </w:rPr>
        <w:t>内容分别评分：</w:t>
      </w:r>
      <w:bookmarkEnd w:id="358"/>
      <w:bookmarkEnd w:id="359"/>
      <w:bookmarkEnd w:id="360"/>
    </w:p>
    <w:p w14:paraId="7AA79865">
      <w:pPr>
        <w:wordWrap/>
        <w:spacing w:line="360" w:lineRule="auto"/>
        <w:ind w:firstLine="480" w:firstLineChars="200"/>
        <w:jc w:val="left"/>
        <w:textAlignment w:val="auto"/>
        <w:outlineLvl w:val="9"/>
        <w:rPr>
          <w:rFonts w:hint="eastAsia" w:ascii="宋体" w:hAnsi="宋体" w:eastAsia="宋体" w:cs="宋体"/>
          <w:color w:val="auto"/>
          <w:sz w:val="24"/>
        </w:rPr>
      </w:pPr>
      <w:bookmarkStart w:id="361" w:name="_Toc19809"/>
      <w:bookmarkStart w:id="362" w:name="_Toc20850"/>
      <w:bookmarkStart w:id="363" w:name="_Toc26059"/>
      <w:r>
        <w:rPr>
          <w:rFonts w:hint="eastAsia" w:ascii="宋体" w:hAnsi="宋体" w:cs="宋体"/>
          <w:color w:val="auto"/>
          <w:sz w:val="24"/>
          <w:lang w:val="en-US" w:eastAsia="zh-CN"/>
        </w:rPr>
        <w:t>1</w:t>
      </w:r>
      <w:r>
        <w:rPr>
          <w:rFonts w:hint="eastAsia" w:ascii="宋体" w:hAnsi="宋体" w:eastAsia="宋体" w:cs="宋体"/>
          <w:color w:val="auto"/>
          <w:sz w:val="24"/>
        </w:rPr>
        <w:t xml:space="preserve"> 地下综合管廊管理系统实现远程监测及设备状态感知上报功能</w:t>
      </w:r>
      <w:bookmarkEnd w:id="361"/>
      <w:bookmarkEnd w:id="362"/>
      <w:bookmarkEnd w:id="363"/>
    </w:p>
    <w:p w14:paraId="615C8ACA">
      <w:pPr>
        <w:wordWrap/>
        <w:spacing w:line="360" w:lineRule="auto"/>
        <w:ind w:firstLine="480" w:firstLineChars="200"/>
        <w:jc w:val="left"/>
        <w:textAlignment w:val="auto"/>
        <w:outlineLvl w:val="9"/>
        <w:rPr>
          <w:rFonts w:ascii="宋体" w:hAnsi="宋体" w:eastAsia="宋体" w:cs="宋体"/>
          <w:color w:val="auto"/>
          <w:sz w:val="24"/>
        </w:rPr>
      </w:pPr>
      <w:bookmarkStart w:id="364" w:name="_Toc26560"/>
      <w:bookmarkStart w:id="365" w:name="_Toc21540"/>
      <w:bookmarkStart w:id="366" w:name="_Toc24003"/>
      <w:r>
        <w:rPr>
          <w:rFonts w:hint="eastAsia" w:ascii="宋体" w:hAnsi="宋体" w:cs="宋体"/>
          <w:color w:val="auto"/>
          <w:sz w:val="24"/>
          <w:lang w:val="en-US" w:eastAsia="zh-CN"/>
        </w:rPr>
        <w:t xml:space="preserve">2 </w:t>
      </w:r>
      <w:r>
        <w:rPr>
          <w:rFonts w:hint="eastAsia" w:ascii="宋体" w:hAnsi="宋体" w:eastAsia="宋体" w:cs="宋体"/>
          <w:color w:val="auto"/>
          <w:sz w:val="24"/>
        </w:rPr>
        <w:t>采用智能设备，结合高精定位与视频图像识别等技术，实现综合管廊自动维保养护功能；</w:t>
      </w:r>
      <w:bookmarkEnd w:id="364"/>
      <w:bookmarkEnd w:id="365"/>
      <w:bookmarkEnd w:id="366"/>
    </w:p>
    <w:p w14:paraId="3D1C7E11">
      <w:pPr>
        <w:wordWrap/>
        <w:spacing w:line="360" w:lineRule="auto"/>
        <w:ind w:firstLine="480" w:firstLineChars="200"/>
        <w:jc w:val="left"/>
        <w:textAlignment w:val="auto"/>
        <w:outlineLvl w:val="9"/>
        <w:rPr>
          <w:rFonts w:hint="eastAsia" w:ascii="宋体" w:hAnsi="宋体" w:cs="宋体"/>
          <w:color w:val="auto"/>
          <w:sz w:val="24"/>
          <w:lang w:eastAsia="zh-CN"/>
        </w:rPr>
      </w:pPr>
      <w:bookmarkStart w:id="367" w:name="_Toc32716"/>
      <w:bookmarkStart w:id="368" w:name="_Toc20057"/>
      <w:bookmarkStart w:id="369" w:name="_Toc25107"/>
      <w:r>
        <w:rPr>
          <w:rFonts w:hint="eastAsia" w:ascii="宋体" w:hAnsi="宋体" w:eastAsia="宋体" w:cs="宋体"/>
          <w:color w:val="auto"/>
          <w:sz w:val="24"/>
        </w:rPr>
        <w:t>3 结合BIM、数字孪生技术等应用，实现</w:t>
      </w:r>
      <w:r>
        <w:rPr>
          <w:rFonts w:hint="eastAsia" w:ascii="宋体" w:hAnsi="宋体" w:cs="宋体"/>
          <w:color w:val="auto"/>
          <w:sz w:val="24"/>
          <w:lang w:eastAsia="zh-CN"/>
        </w:rPr>
        <w:t>地下</w:t>
      </w:r>
      <w:r>
        <w:rPr>
          <w:rFonts w:hint="eastAsia" w:ascii="宋体" w:hAnsi="宋体" w:eastAsia="宋体" w:cs="宋体"/>
          <w:color w:val="auto"/>
          <w:sz w:val="24"/>
        </w:rPr>
        <w:t>管廊三维精细化展示功能</w:t>
      </w:r>
      <w:r>
        <w:rPr>
          <w:rFonts w:hint="eastAsia" w:ascii="宋体" w:hAnsi="宋体" w:cs="宋体"/>
          <w:color w:val="auto"/>
          <w:sz w:val="24"/>
          <w:lang w:eastAsia="zh-CN"/>
        </w:rPr>
        <w:t>。</w:t>
      </w:r>
      <w:bookmarkEnd w:id="367"/>
      <w:bookmarkEnd w:id="368"/>
      <w:bookmarkEnd w:id="369"/>
    </w:p>
    <w:p w14:paraId="3D638EC4">
      <w:pPr>
        <w:wordWrap/>
        <w:spacing w:line="360" w:lineRule="auto"/>
        <w:jc w:val="left"/>
        <w:textAlignment w:val="auto"/>
        <w:outlineLvl w:val="9"/>
        <w:rPr>
          <w:rFonts w:ascii="宋体" w:hAnsi="宋体" w:eastAsia="宋体" w:cs="宋体"/>
          <w:color w:val="auto"/>
          <w:sz w:val="24"/>
        </w:rPr>
      </w:pPr>
      <w:bookmarkStart w:id="370" w:name="_Toc11095"/>
      <w:bookmarkStart w:id="371" w:name="_Toc22613"/>
      <w:bookmarkStart w:id="372" w:name="_Toc19435"/>
      <w:r>
        <w:rPr>
          <w:rFonts w:hint="eastAsia" w:ascii="宋体" w:hAnsi="宋体" w:eastAsia="宋体" w:cs="宋体"/>
          <w:color w:val="auto"/>
          <w:sz w:val="24"/>
        </w:rPr>
        <w:t>B.</w:t>
      </w:r>
      <w:r>
        <w:rPr>
          <w:rFonts w:hint="eastAsia" w:ascii="宋体" w:hAnsi="宋体" w:cs="宋体"/>
          <w:color w:val="auto"/>
          <w:sz w:val="24"/>
          <w:lang w:val="en-US" w:eastAsia="zh-CN"/>
        </w:rPr>
        <w:t>1</w:t>
      </w:r>
      <w:r>
        <w:rPr>
          <w:rFonts w:hint="eastAsia" w:ascii="宋体" w:hAnsi="宋体" w:eastAsia="宋体" w:cs="宋体"/>
          <w:color w:val="auto"/>
          <w:sz w:val="24"/>
        </w:rPr>
        <w:t>.</w:t>
      </w:r>
      <w:r>
        <w:rPr>
          <w:rFonts w:hint="eastAsia" w:ascii="宋体" w:hAnsi="宋体" w:cs="宋体"/>
          <w:color w:val="auto"/>
          <w:sz w:val="24"/>
          <w:lang w:val="en-US" w:eastAsia="zh-CN"/>
        </w:rPr>
        <w:t>10</w:t>
      </w:r>
      <w:r>
        <w:rPr>
          <w:rFonts w:hint="eastAsia" w:ascii="宋体" w:hAnsi="宋体" w:eastAsia="宋体" w:cs="宋体"/>
          <w:color w:val="auto"/>
          <w:sz w:val="24"/>
        </w:rPr>
        <w:t xml:space="preserve"> 运行阶段，</w:t>
      </w:r>
      <w:r>
        <w:rPr>
          <w:rFonts w:hint="eastAsia" w:ascii="宋体" w:hAnsi="宋体" w:cs="宋体"/>
          <w:color w:val="auto"/>
          <w:sz w:val="24"/>
          <w:lang w:eastAsia="zh-CN"/>
        </w:rPr>
        <w:t>地下商场</w:t>
      </w:r>
      <w:r>
        <w:rPr>
          <w:rFonts w:hint="eastAsia" w:ascii="宋体" w:hAnsi="宋体" w:cs="宋体"/>
          <w:color w:val="auto"/>
          <w:sz w:val="24"/>
          <w:lang w:val="en-US" w:eastAsia="zh-CN"/>
        </w:rPr>
        <w:t>/商业街道</w:t>
      </w:r>
      <w:r>
        <w:rPr>
          <w:rFonts w:hint="eastAsia" w:ascii="宋体" w:hAnsi="宋体" w:eastAsia="宋体" w:cs="宋体"/>
          <w:color w:val="auto"/>
          <w:sz w:val="24"/>
        </w:rPr>
        <w:t>应</w:t>
      </w:r>
      <w:r>
        <w:rPr>
          <w:rFonts w:hint="eastAsia" w:ascii="宋体" w:hAnsi="宋体" w:cs="宋体"/>
          <w:color w:val="auto"/>
          <w:sz w:val="24"/>
          <w:lang w:val="en-US" w:eastAsia="zh-CN"/>
        </w:rPr>
        <w:t>采</w:t>
      </w:r>
      <w:r>
        <w:rPr>
          <w:rFonts w:hint="eastAsia" w:ascii="宋体" w:hAnsi="宋体" w:eastAsia="宋体" w:cs="宋体"/>
          <w:color w:val="auto"/>
          <w:sz w:val="24"/>
        </w:rPr>
        <w:t>用新一代技术设备，提升整体管理数字化水平，</w:t>
      </w:r>
      <w:r>
        <w:rPr>
          <w:rFonts w:hint="eastAsia" w:ascii="宋体" w:hAnsi="宋体" w:cs="宋体"/>
          <w:color w:val="auto"/>
          <w:sz w:val="24"/>
          <w:lang w:val="en-US" w:eastAsia="zh-CN"/>
        </w:rPr>
        <w:t>并</w:t>
      </w:r>
      <w:r>
        <w:rPr>
          <w:rFonts w:hint="eastAsia" w:ascii="宋体" w:hAnsi="宋体" w:cs="宋体"/>
          <w:color w:val="auto"/>
          <w:sz w:val="24"/>
          <w:lang w:eastAsia="zh-CN"/>
        </w:rPr>
        <w:t>应按下列</w:t>
      </w:r>
      <w:r>
        <w:rPr>
          <w:rFonts w:hint="eastAsia" w:ascii="宋体" w:hAnsi="宋体" w:eastAsia="宋体" w:cs="宋体"/>
          <w:color w:val="auto"/>
          <w:sz w:val="24"/>
        </w:rPr>
        <w:t>内容分别评分：</w:t>
      </w:r>
      <w:bookmarkEnd w:id="370"/>
      <w:bookmarkEnd w:id="371"/>
      <w:bookmarkEnd w:id="372"/>
    </w:p>
    <w:p w14:paraId="5211B1B8">
      <w:pPr>
        <w:wordWrap/>
        <w:spacing w:line="360" w:lineRule="auto"/>
        <w:ind w:firstLine="480" w:firstLineChars="200"/>
        <w:jc w:val="left"/>
        <w:textAlignment w:val="auto"/>
        <w:outlineLvl w:val="9"/>
        <w:rPr>
          <w:rFonts w:ascii="宋体" w:hAnsi="宋体" w:eastAsia="宋体" w:cs="宋体"/>
          <w:color w:val="auto"/>
          <w:sz w:val="24"/>
        </w:rPr>
      </w:pPr>
      <w:bookmarkStart w:id="373" w:name="_Toc8376"/>
      <w:bookmarkStart w:id="374" w:name="_Toc5889"/>
      <w:bookmarkStart w:id="375" w:name="_Toc9304"/>
      <w:r>
        <w:rPr>
          <w:rFonts w:hint="eastAsia" w:ascii="宋体" w:hAnsi="宋体" w:cs="宋体"/>
          <w:color w:val="auto"/>
          <w:sz w:val="24"/>
          <w:lang w:val="en-US" w:eastAsia="zh-CN"/>
        </w:rPr>
        <w:t>1</w:t>
      </w:r>
      <w:r>
        <w:rPr>
          <w:rFonts w:hint="eastAsia" w:ascii="宋体" w:hAnsi="宋体" w:eastAsia="宋体" w:cs="宋体"/>
          <w:color w:val="auto"/>
          <w:sz w:val="24"/>
        </w:rPr>
        <w:t xml:space="preserve"> 结合BIM、数字孪生技术等应用，实现地下商场/商业街道三维精细化展示功能；</w:t>
      </w:r>
      <w:bookmarkEnd w:id="373"/>
      <w:bookmarkEnd w:id="374"/>
      <w:bookmarkEnd w:id="375"/>
    </w:p>
    <w:p w14:paraId="1E020CDA">
      <w:pPr>
        <w:wordWrap/>
        <w:spacing w:line="360" w:lineRule="auto"/>
        <w:ind w:firstLine="480" w:firstLineChars="200"/>
        <w:jc w:val="left"/>
        <w:textAlignment w:val="auto"/>
        <w:outlineLvl w:val="9"/>
        <w:rPr>
          <w:rFonts w:hint="eastAsia" w:ascii="宋体" w:hAnsi="宋体" w:eastAsia="宋体" w:cs="宋体"/>
          <w:color w:val="auto"/>
          <w:sz w:val="24"/>
        </w:rPr>
      </w:pPr>
      <w:bookmarkStart w:id="376" w:name="_Toc27924"/>
      <w:bookmarkStart w:id="377" w:name="_Toc19160"/>
      <w:bookmarkStart w:id="378" w:name="_Toc17280"/>
      <w:r>
        <w:rPr>
          <w:rFonts w:hint="eastAsia" w:ascii="宋体" w:hAnsi="宋体" w:cs="宋体"/>
          <w:color w:val="auto"/>
          <w:sz w:val="24"/>
          <w:lang w:val="en-US" w:eastAsia="zh-CN"/>
        </w:rPr>
        <w:t>2</w:t>
      </w:r>
      <w:r>
        <w:rPr>
          <w:rFonts w:hint="eastAsia" w:ascii="宋体" w:hAnsi="宋体" w:eastAsia="宋体" w:cs="宋体"/>
          <w:color w:val="auto"/>
          <w:sz w:val="24"/>
        </w:rPr>
        <w:t xml:space="preserve"> 地下商场/商业街道信息化管理系统具有实时感知上报环境空气质量、温湿度等环境信息功能；</w:t>
      </w:r>
      <w:bookmarkEnd w:id="376"/>
      <w:bookmarkEnd w:id="377"/>
      <w:bookmarkEnd w:id="378"/>
    </w:p>
    <w:p w14:paraId="13D78F7E">
      <w:pPr>
        <w:wordWrap/>
        <w:spacing w:line="360" w:lineRule="auto"/>
        <w:ind w:firstLine="480" w:firstLineChars="200"/>
        <w:jc w:val="left"/>
        <w:textAlignment w:val="auto"/>
        <w:outlineLvl w:val="9"/>
        <w:rPr>
          <w:rFonts w:ascii="宋体" w:hAnsi="宋体" w:eastAsia="宋体" w:cs="宋体"/>
          <w:color w:val="auto"/>
          <w:sz w:val="24"/>
        </w:rPr>
      </w:pPr>
      <w:bookmarkStart w:id="379" w:name="_Toc20879"/>
      <w:bookmarkStart w:id="380" w:name="_Toc7787"/>
      <w:bookmarkStart w:id="381" w:name="_Toc4440"/>
      <w:r>
        <w:rPr>
          <w:rFonts w:hint="eastAsia" w:ascii="宋体" w:hAnsi="宋体" w:cs="宋体"/>
          <w:color w:val="auto"/>
          <w:sz w:val="24"/>
          <w:lang w:val="en-US" w:eastAsia="zh-CN"/>
        </w:rPr>
        <w:t xml:space="preserve">3 </w:t>
      </w:r>
      <w:r>
        <w:rPr>
          <w:rFonts w:hint="eastAsia" w:ascii="宋体" w:hAnsi="宋体" w:eastAsia="宋体" w:cs="宋体"/>
          <w:color w:val="auto"/>
          <w:sz w:val="24"/>
        </w:rPr>
        <w:t>采用智能控制模块，根据采集的环境数据进行通排风自动调节，同时进行联动报警。</w:t>
      </w:r>
      <w:bookmarkEnd w:id="379"/>
      <w:bookmarkEnd w:id="380"/>
      <w:bookmarkEnd w:id="381"/>
    </w:p>
    <w:bookmarkEnd w:id="290"/>
    <w:bookmarkEnd w:id="291"/>
    <w:bookmarkEnd w:id="292"/>
    <w:bookmarkEnd w:id="293"/>
    <w:bookmarkEnd w:id="294"/>
    <w:p w14:paraId="60A1C3AF">
      <w:pPr>
        <w:wordWrap/>
        <w:spacing w:line="360" w:lineRule="auto"/>
        <w:ind w:firstLine="0"/>
        <w:jc w:val="center"/>
        <w:textAlignment w:val="auto"/>
        <w:outlineLvl w:val="1"/>
        <w:rPr>
          <w:rFonts w:hint="eastAsia" w:ascii="黑体" w:hAnsi="黑体" w:eastAsia="黑体" w:cs="黑体"/>
          <w:b/>
          <w:bCs/>
          <w:color w:val="auto"/>
          <w:sz w:val="28"/>
          <w:szCs w:val="28"/>
          <w:lang w:eastAsia="zh-CN"/>
        </w:rPr>
      </w:pPr>
      <w:bookmarkStart w:id="382" w:name="_Toc7878"/>
      <w:bookmarkStart w:id="383" w:name="_Toc14177"/>
      <w:bookmarkStart w:id="384" w:name="_Toc28602"/>
      <w:bookmarkStart w:id="385" w:name="_Toc4881"/>
      <w:bookmarkStart w:id="386" w:name="_Toc30302"/>
      <w:bookmarkStart w:id="387" w:name="_Toc196"/>
      <w:bookmarkStart w:id="388" w:name="_Toc23148"/>
      <w:bookmarkStart w:id="389" w:name="_Toc12930"/>
      <w:bookmarkStart w:id="390" w:name="_Toc12643"/>
      <w:r>
        <w:rPr>
          <w:rFonts w:hint="eastAsia" w:ascii="黑体" w:hAnsi="黑体" w:eastAsia="黑体" w:cs="黑体"/>
          <w:b/>
          <w:bCs/>
          <w:color w:val="auto"/>
          <w:sz w:val="28"/>
          <w:szCs w:val="28"/>
          <w:lang w:val="en-US" w:eastAsia="zh-CN"/>
        </w:rPr>
        <w:t xml:space="preserve">B.2 </w:t>
      </w:r>
      <w:r>
        <w:rPr>
          <w:rFonts w:hint="eastAsia" w:ascii="黑体" w:hAnsi="黑体" w:eastAsia="黑体" w:cs="黑体"/>
          <w:b/>
          <w:bCs/>
          <w:color w:val="auto"/>
          <w:sz w:val="28"/>
          <w:szCs w:val="28"/>
          <w:lang w:eastAsia="zh-CN"/>
        </w:rPr>
        <w:t>城市</w:t>
      </w:r>
      <w:r>
        <w:rPr>
          <w:rFonts w:hint="eastAsia" w:ascii="黑体" w:hAnsi="黑体" w:eastAsia="黑体" w:cs="黑体"/>
          <w:b/>
          <w:bCs/>
          <w:color w:val="auto"/>
          <w:sz w:val="28"/>
          <w:szCs w:val="28"/>
          <w:lang w:val="en-US" w:eastAsia="zh-CN"/>
        </w:rPr>
        <w:t>轨道交通</w:t>
      </w:r>
      <w:r>
        <w:rPr>
          <w:rFonts w:hint="eastAsia" w:ascii="黑体" w:hAnsi="黑体" w:eastAsia="黑体" w:cs="黑体"/>
          <w:b/>
          <w:bCs/>
          <w:color w:val="auto"/>
          <w:sz w:val="28"/>
          <w:szCs w:val="28"/>
          <w:lang w:eastAsia="zh-CN"/>
        </w:rPr>
        <w:t>基础设施项目</w:t>
      </w:r>
      <w:r>
        <w:rPr>
          <w:rFonts w:hint="eastAsia" w:ascii="黑体" w:hAnsi="黑体" w:eastAsia="黑体" w:cs="黑体"/>
          <w:b/>
          <w:bCs/>
          <w:color w:val="auto"/>
          <w:sz w:val="28"/>
          <w:szCs w:val="28"/>
        </w:rPr>
        <w:t>专项内容评价指标</w:t>
      </w:r>
      <w:bookmarkEnd w:id="382"/>
      <w:bookmarkEnd w:id="383"/>
      <w:bookmarkEnd w:id="384"/>
    </w:p>
    <w:p w14:paraId="0461E004">
      <w:pPr>
        <w:wordWrap/>
        <w:spacing w:line="360" w:lineRule="auto"/>
        <w:jc w:val="left"/>
        <w:textAlignment w:val="auto"/>
        <w:outlineLvl w:val="9"/>
        <w:rPr>
          <w:rFonts w:hint="eastAsia" w:ascii="宋体" w:hAnsi="宋体" w:eastAsia="宋体" w:cs="宋体"/>
          <w:color w:val="000000"/>
          <w:sz w:val="24"/>
          <w:lang w:eastAsia="zh-CN"/>
        </w:rPr>
      </w:pPr>
      <w:bookmarkStart w:id="391" w:name="_Toc2650"/>
      <w:r>
        <w:rPr>
          <w:rFonts w:hint="eastAsia" w:ascii="宋体" w:hAnsi="宋体" w:eastAsia="宋体" w:cs="宋体"/>
          <w:color w:val="000000"/>
          <w:sz w:val="24"/>
          <w:lang w:eastAsia="zh-CN"/>
        </w:rPr>
        <w:t>B</w:t>
      </w:r>
      <w:r>
        <w:rPr>
          <w:rFonts w:hint="eastAsia" w:ascii="宋体" w:hAnsi="宋体" w:cs="宋体"/>
          <w:color w:val="000000"/>
          <w:sz w:val="24"/>
          <w:lang w:val="en-US" w:eastAsia="zh-CN"/>
        </w:rPr>
        <w:t>.</w:t>
      </w:r>
      <w:r>
        <w:rPr>
          <w:rFonts w:hint="eastAsia" w:ascii="宋体" w:hAnsi="宋体" w:eastAsia="宋体" w:cs="宋体"/>
          <w:color w:val="000000"/>
          <w:sz w:val="24"/>
          <w:lang w:eastAsia="zh-CN"/>
        </w:rPr>
        <w:t>2.</w:t>
      </w:r>
      <w:r>
        <w:rPr>
          <w:rFonts w:hint="eastAsia" w:ascii="宋体" w:hAnsi="宋体" w:eastAsia="宋体" w:cs="宋体"/>
          <w:color w:val="000000"/>
          <w:sz w:val="24"/>
          <w:lang w:val="en-US" w:eastAsia="zh-CN"/>
        </w:rPr>
        <w:t>1</w:t>
      </w:r>
      <w:r>
        <w:rPr>
          <w:rFonts w:hint="eastAsia" w:ascii="宋体" w:hAnsi="宋体" w:eastAsia="宋体" w:cs="宋体"/>
          <w:color w:val="000000"/>
          <w:sz w:val="24"/>
          <w:lang w:eastAsia="zh-CN"/>
        </w:rPr>
        <w:t xml:space="preserve"> </w:t>
      </w:r>
      <w:r>
        <w:rPr>
          <w:rFonts w:hint="eastAsia" w:ascii="宋体" w:hAnsi="宋体" w:eastAsia="宋体" w:cs="宋体"/>
          <w:color w:val="000000"/>
          <w:sz w:val="24"/>
          <w:lang w:val="en-US" w:eastAsia="zh-CN"/>
        </w:rPr>
        <w:t>施工建造阶段，减少噪音和振动对周围环境的影响，</w:t>
      </w:r>
      <w:r>
        <w:rPr>
          <w:rFonts w:hint="eastAsia" w:ascii="宋体" w:hAnsi="宋体" w:cs="宋体"/>
          <w:color w:val="000000"/>
          <w:sz w:val="24"/>
          <w:lang w:val="en-US" w:eastAsia="zh-CN"/>
        </w:rPr>
        <w:t>并应按下列</w:t>
      </w:r>
      <w:r>
        <w:rPr>
          <w:rFonts w:hint="eastAsia" w:ascii="宋体" w:hAnsi="宋体" w:eastAsia="宋体" w:cs="宋体"/>
          <w:color w:val="000000"/>
          <w:sz w:val="24"/>
          <w:lang w:val="en-US" w:eastAsia="zh-CN"/>
        </w:rPr>
        <w:t>内容分别评分：</w:t>
      </w:r>
      <w:bookmarkEnd w:id="391"/>
      <w:r>
        <w:rPr>
          <w:rFonts w:hint="eastAsia" w:ascii="宋体" w:hAnsi="宋体" w:eastAsia="宋体" w:cs="宋体"/>
          <w:color w:val="000000"/>
          <w:sz w:val="24"/>
          <w:lang w:eastAsia="zh-CN"/>
        </w:rPr>
        <w:t xml:space="preserve">   </w:t>
      </w:r>
    </w:p>
    <w:p w14:paraId="1BB7F917">
      <w:pPr>
        <w:wordWrap/>
        <w:spacing w:line="360" w:lineRule="auto"/>
        <w:ind w:firstLine="480" w:firstLineChars="200"/>
        <w:textAlignment w:val="auto"/>
        <w:rPr>
          <w:rFonts w:hint="eastAsia" w:ascii="宋体" w:hAnsi="宋体" w:eastAsia="宋体" w:cs="宋体"/>
          <w:color w:val="000000"/>
          <w:sz w:val="24"/>
          <w:highlight w:val="none"/>
          <w:lang w:val="en-US" w:eastAsia="zh-CN"/>
        </w:rPr>
      </w:pPr>
      <w:r>
        <w:rPr>
          <w:rFonts w:hint="eastAsia" w:ascii="宋体" w:hAnsi="宋体" w:eastAsia="宋体" w:cs="宋体"/>
          <w:color w:val="000000"/>
          <w:sz w:val="24"/>
          <w:highlight w:val="none"/>
          <w:lang w:val="en-US" w:eastAsia="zh-CN"/>
        </w:rPr>
        <w:t>1 选用低噪声、低振动的盾构设备，优化掘进参数以降低施工噪声；</w:t>
      </w:r>
    </w:p>
    <w:p w14:paraId="0368C3B3">
      <w:pPr>
        <w:wordWrap/>
        <w:spacing w:line="360" w:lineRule="auto"/>
        <w:ind w:firstLine="480" w:firstLineChars="200"/>
        <w:textAlignment w:val="auto"/>
        <w:rPr>
          <w:rFonts w:hint="eastAsia" w:ascii="宋体" w:hAnsi="宋体" w:eastAsia="宋体" w:cs="宋体"/>
          <w:color w:val="000000"/>
          <w:sz w:val="24"/>
          <w:highlight w:val="none"/>
          <w:lang w:val="en-US" w:eastAsia="zh-CN"/>
        </w:rPr>
      </w:pPr>
      <w:r>
        <w:rPr>
          <w:rFonts w:hint="eastAsia" w:ascii="宋体" w:hAnsi="宋体" w:eastAsia="宋体" w:cs="宋体"/>
          <w:color w:val="000000"/>
          <w:sz w:val="24"/>
          <w:highlight w:val="none"/>
          <w:lang w:val="en-US" w:eastAsia="zh-CN"/>
        </w:rPr>
        <w:t>2 必要时，隧道施工通风系统采取消音措施；当采用外部供风时，风机位置宜在工作井地面附近，并采取消音措施。</w:t>
      </w:r>
    </w:p>
    <w:p w14:paraId="5F242F8E">
      <w:pPr>
        <w:wordWrap/>
        <w:spacing w:line="360" w:lineRule="auto"/>
        <w:jc w:val="left"/>
        <w:textAlignment w:val="auto"/>
        <w:outlineLvl w:val="9"/>
        <w:rPr>
          <w:rFonts w:hint="eastAsia" w:ascii="宋体" w:hAnsi="宋体" w:eastAsia="宋体" w:cs="宋体"/>
          <w:color w:val="000000"/>
          <w:sz w:val="24"/>
          <w:lang w:val="en-US" w:eastAsia="zh-CN"/>
        </w:rPr>
      </w:pPr>
      <w:bookmarkStart w:id="392" w:name="_Toc30343"/>
      <w:r>
        <w:rPr>
          <w:rFonts w:hint="eastAsia" w:ascii="宋体" w:hAnsi="宋体" w:eastAsia="宋体" w:cs="宋体"/>
          <w:color w:val="000000"/>
          <w:sz w:val="24"/>
          <w:lang w:eastAsia="zh-CN"/>
        </w:rPr>
        <w:t>B</w:t>
      </w:r>
      <w:r>
        <w:rPr>
          <w:rFonts w:hint="eastAsia" w:ascii="宋体" w:hAnsi="宋体" w:cs="宋体"/>
          <w:color w:val="000000"/>
          <w:sz w:val="24"/>
          <w:lang w:val="en-US" w:eastAsia="zh-CN"/>
        </w:rPr>
        <w:t>.</w:t>
      </w:r>
      <w:r>
        <w:rPr>
          <w:rFonts w:hint="eastAsia" w:ascii="宋体" w:hAnsi="宋体" w:eastAsia="宋体" w:cs="宋体"/>
          <w:color w:val="000000"/>
          <w:sz w:val="24"/>
          <w:lang w:eastAsia="zh-CN"/>
        </w:rPr>
        <w:t>2.</w:t>
      </w:r>
      <w:r>
        <w:rPr>
          <w:rFonts w:hint="eastAsia" w:ascii="宋体" w:hAnsi="宋体" w:eastAsia="宋体" w:cs="宋体"/>
          <w:color w:val="000000"/>
          <w:sz w:val="24"/>
          <w:lang w:val="en-US" w:eastAsia="zh-CN"/>
        </w:rPr>
        <w:t>2</w:t>
      </w:r>
      <w:r>
        <w:rPr>
          <w:rFonts w:hint="eastAsia" w:ascii="宋体" w:hAnsi="宋体" w:eastAsia="宋体" w:cs="宋体"/>
          <w:color w:val="000000"/>
          <w:sz w:val="24"/>
          <w:lang w:eastAsia="zh-CN"/>
        </w:rPr>
        <w:t xml:space="preserve"> </w:t>
      </w:r>
      <w:r>
        <w:rPr>
          <w:rFonts w:hint="eastAsia" w:ascii="宋体" w:hAnsi="宋体" w:eastAsia="宋体" w:cs="宋体"/>
          <w:color w:val="000000"/>
          <w:sz w:val="24"/>
          <w:lang w:val="en-US" w:eastAsia="zh-CN"/>
        </w:rPr>
        <w:t>施工建造阶段对污水与废弃物采取处理措施，</w:t>
      </w:r>
      <w:r>
        <w:rPr>
          <w:rFonts w:hint="eastAsia" w:ascii="宋体" w:hAnsi="宋体" w:cs="宋体"/>
          <w:color w:val="000000"/>
          <w:sz w:val="24"/>
          <w:lang w:val="en-US" w:eastAsia="zh-CN"/>
        </w:rPr>
        <w:t>应按下列</w:t>
      </w:r>
      <w:r>
        <w:rPr>
          <w:rFonts w:hint="eastAsia" w:ascii="宋体" w:hAnsi="宋体" w:eastAsia="宋体" w:cs="宋体"/>
          <w:color w:val="000000"/>
          <w:sz w:val="24"/>
          <w:lang w:val="en-US" w:eastAsia="zh-CN"/>
        </w:rPr>
        <w:t>内容分别评分：</w:t>
      </w:r>
      <w:bookmarkEnd w:id="392"/>
    </w:p>
    <w:p w14:paraId="1D21CB59">
      <w:pPr>
        <w:wordWrap/>
        <w:spacing w:line="360" w:lineRule="auto"/>
        <w:ind w:firstLine="480" w:firstLineChars="200"/>
        <w:textAlignment w:val="auto"/>
        <w:rPr>
          <w:rFonts w:hint="eastAsia" w:ascii="宋体" w:hAnsi="宋体" w:eastAsia="宋体" w:cs="宋体"/>
          <w:color w:val="000000"/>
          <w:sz w:val="24"/>
          <w:highlight w:val="none"/>
          <w:lang w:val="en-US" w:eastAsia="zh-CN"/>
        </w:rPr>
      </w:pPr>
      <w:r>
        <w:rPr>
          <w:rFonts w:hint="eastAsia" w:ascii="宋体" w:hAnsi="宋体" w:eastAsia="宋体" w:cs="宋体"/>
          <w:color w:val="000000"/>
          <w:sz w:val="24"/>
          <w:highlight w:val="none"/>
          <w:lang w:val="en-US" w:eastAsia="zh-CN"/>
        </w:rPr>
        <w:t xml:space="preserve">1 施工废水（如盾构冷却水、冲洗水）需经沉淀、过滤等处理后达标排放，禁止直接排入市政管网或水体； </w:t>
      </w:r>
    </w:p>
    <w:p w14:paraId="3482DD30">
      <w:pPr>
        <w:wordWrap/>
        <w:spacing w:line="360" w:lineRule="auto"/>
        <w:ind w:firstLine="480" w:firstLineChars="200"/>
        <w:textAlignment w:val="auto"/>
        <w:rPr>
          <w:rFonts w:hint="eastAsia" w:ascii="宋体" w:hAnsi="宋体" w:eastAsia="宋体" w:cs="宋体"/>
          <w:color w:val="000000"/>
          <w:sz w:val="24"/>
          <w:highlight w:val="none"/>
          <w:lang w:val="en-US" w:eastAsia="zh-CN"/>
        </w:rPr>
      </w:pPr>
      <w:r>
        <w:rPr>
          <w:rFonts w:hint="eastAsia" w:ascii="宋体" w:hAnsi="宋体" w:eastAsia="宋体" w:cs="宋体"/>
          <w:color w:val="000000"/>
          <w:sz w:val="24"/>
          <w:highlight w:val="none"/>
          <w:lang w:val="en-US" w:eastAsia="zh-CN"/>
        </w:rPr>
        <w:t>2 渣土、泥浆、废弃管片等废弃物分类处理，优先资源化利用（如制砖、回填材料，废弃的钢筋、钢材等进行回收加工）；对不可回收的废弃物，按照相关规定进行妥善处置，严禁随意外排，防止随意丢弃造成环境污染。</w:t>
      </w:r>
    </w:p>
    <w:p w14:paraId="5A7EF618">
      <w:pPr>
        <w:wordWrap/>
        <w:spacing w:line="360" w:lineRule="auto"/>
        <w:jc w:val="left"/>
        <w:textAlignment w:val="auto"/>
        <w:outlineLvl w:val="9"/>
        <w:rPr>
          <w:rFonts w:hint="eastAsia" w:ascii="宋体" w:hAnsi="宋体" w:eastAsia="宋体" w:cs="宋体"/>
          <w:color w:val="000000"/>
          <w:sz w:val="24"/>
          <w:lang w:val="en-US" w:eastAsia="zh-CN"/>
        </w:rPr>
      </w:pPr>
      <w:bookmarkStart w:id="393" w:name="_Toc996"/>
      <w:r>
        <w:rPr>
          <w:rFonts w:hint="eastAsia" w:ascii="宋体" w:hAnsi="宋体" w:cs="宋体"/>
          <w:color w:val="000000"/>
          <w:sz w:val="24"/>
          <w:lang w:eastAsia="zh-CN"/>
        </w:rPr>
        <w:t>B.2</w:t>
      </w:r>
      <w:r>
        <w:rPr>
          <w:rFonts w:hint="eastAsia" w:ascii="宋体" w:hAnsi="宋体" w:eastAsia="宋体" w:cs="宋体"/>
          <w:color w:val="000000"/>
          <w:sz w:val="24"/>
          <w:lang w:eastAsia="zh-CN"/>
        </w:rPr>
        <w:t>.</w:t>
      </w:r>
      <w:r>
        <w:rPr>
          <w:rFonts w:hint="eastAsia" w:ascii="宋体" w:hAnsi="宋体" w:eastAsia="宋体" w:cs="宋体"/>
          <w:color w:val="000000"/>
          <w:sz w:val="24"/>
          <w:lang w:val="en-US" w:eastAsia="zh-CN"/>
        </w:rPr>
        <w:t>3施工建造阶段，减少地下水流失、减少对地层的扰动，</w:t>
      </w:r>
      <w:r>
        <w:rPr>
          <w:rFonts w:hint="eastAsia" w:ascii="宋体" w:hAnsi="宋体" w:cs="宋体"/>
          <w:color w:val="000000"/>
          <w:sz w:val="24"/>
          <w:lang w:val="en-US" w:eastAsia="zh-CN"/>
        </w:rPr>
        <w:t>应按下列</w:t>
      </w:r>
      <w:r>
        <w:rPr>
          <w:rFonts w:hint="eastAsia" w:ascii="宋体" w:hAnsi="宋体" w:eastAsia="宋体" w:cs="宋体"/>
          <w:color w:val="000000"/>
          <w:sz w:val="24"/>
          <w:lang w:val="en-US" w:eastAsia="zh-CN"/>
        </w:rPr>
        <w:t>内容分别评分：</w:t>
      </w:r>
      <w:bookmarkEnd w:id="393"/>
    </w:p>
    <w:p w14:paraId="7D282EC6">
      <w:pPr>
        <w:wordWrap/>
        <w:spacing w:line="360" w:lineRule="auto"/>
        <w:ind w:firstLine="480" w:firstLineChars="200"/>
        <w:textAlignment w:val="auto"/>
        <w:rPr>
          <w:rFonts w:hint="eastAsia" w:ascii="宋体" w:hAnsi="宋体" w:eastAsia="宋体" w:cs="宋体"/>
          <w:color w:val="000000"/>
          <w:sz w:val="24"/>
          <w:highlight w:val="none"/>
          <w:lang w:val="en-US" w:eastAsia="zh-CN"/>
        </w:rPr>
      </w:pPr>
      <w:r>
        <w:rPr>
          <w:rFonts w:hint="eastAsia" w:ascii="宋体" w:hAnsi="宋体" w:eastAsia="宋体" w:cs="宋体"/>
          <w:color w:val="000000"/>
          <w:sz w:val="24"/>
          <w:highlight w:val="none"/>
          <w:lang w:val="en-US" w:eastAsia="zh-CN"/>
        </w:rPr>
        <w:t>1 详细查明盾构设备穿过地段的工程地质及水文地质条件，施工沿线的环境、建（构） 筑物、地下管线和障碍物情况，针对保护要求制定专项施工方案和监测方案；</w:t>
      </w:r>
    </w:p>
    <w:p w14:paraId="667B8581">
      <w:pPr>
        <w:wordWrap/>
        <w:spacing w:line="360" w:lineRule="auto"/>
        <w:ind w:firstLine="480" w:firstLineChars="200"/>
        <w:textAlignment w:val="auto"/>
        <w:rPr>
          <w:rFonts w:hint="eastAsia" w:ascii="宋体" w:hAnsi="宋体" w:eastAsia="宋体" w:cs="宋体"/>
          <w:color w:val="000000"/>
          <w:sz w:val="24"/>
          <w:highlight w:val="none"/>
          <w:lang w:val="en-US" w:eastAsia="zh-CN"/>
        </w:rPr>
      </w:pPr>
      <w:r>
        <w:rPr>
          <w:rFonts w:hint="eastAsia" w:ascii="宋体" w:hAnsi="宋体" w:eastAsia="宋体" w:cs="宋体"/>
          <w:color w:val="000000"/>
          <w:sz w:val="24"/>
          <w:highlight w:val="none"/>
          <w:lang w:val="en-US" w:eastAsia="zh-CN"/>
        </w:rPr>
        <w:t>2 对地质条件复杂以及穿越河湖地段，需监测地下水水位及水质，减少对地下水的影响，采用封闭式注浆工艺，防止盾构注浆材料渗漏污染地下水；</w:t>
      </w:r>
    </w:p>
    <w:p w14:paraId="50934BED">
      <w:pPr>
        <w:wordWrap/>
        <w:spacing w:line="360" w:lineRule="auto"/>
        <w:ind w:firstLine="480" w:firstLineChars="200"/>
        <w:textAlignment w:val="auto"/>
        <w:rPr>
          <w:rFonts w:hint="eastAsia" w:ascii="宋体" w:hAnsi="宋体" w:eastAsia="宋体" w:cs="宋体"/>
          <w:color w:val="000000"/>
          <w:sz w:val="24"/>
          <w:highlight w:val="none"/>
          <w:lang w:val="en-US" w:eastAsia="zh-CN"/>
        </w:rPr>
      </w:pPr>
      <w:r>
        <w:rPr>
          <w:rFonts w:hint="eastAsia" w:ascii="宋体" w:hAnsi="宋体" w:eastAsia="宋体" w:cs="宋体"/>
          <w:color w:val="000000"/>
          <w:sz w:val="24"/>
          <w:highlight w:val="none"/>
          <w:lang w:val="en-US" w:eastAsia="zh-CN"/>
        </w:rPr>
        <w:t xml:space="preserve">3 盾构开挖面压力经计算和试验段施工情况设定，并在施工中调整优化盾构掘进参数，控制地层变形，防止地层坍塌； </w:t>
      </w:r>
    </w:p>
    <w:p w14:paraId="3DD4B6B6">
      <w:pPr>
        <w:wordWrap/>
        <w:spacing w:line="360" w:lineRule="auto"/>
        <w:ind w:firstLine="480" w:firstLineChars="200"/>
        <w:textAlignment w:val="auto"/>
        <w:rPr>
          <w:rFonts w:hint="eastAsia" w:ascii="宋体" w:hAnsi="宋体" w:eastAsia="宋体" w:cs="宋体"/>
          <w:color w:val="000000"/>
          <w:sz w:val="24"/>
          <w:highlight w:val="none"/>
          <w:lang w:val="en-US" w:eastAsia="zh-CN"/>
        </w:rPr>
      </w:pPr>
      <w:r>
        <w:rPr>
          <w:rFonts w:hint="eastAsia" w:ascii="宋体" w:hAnsi="宋体" w:eastAsia="宋体" w:cs="宋体"/>
          <w:color w:val="000000"/>
          <w:sz w:val="24"/>
          <w:highlight w:val="none"/>
          <w:lang w:val="en-US" w:eastAsia="zh-CN"/>
        </w:rPr>
        <w:t>4 采用环保型盾尾密封油脂和润滑剂，减少对土壤的化学污染风险。</w:t>
      </w:r>
    </w:p>
    <w:p w14:paraId="335A6C2D">
      <w:pPr>
        <w:wordWrap/>
        <w:spacing w:line="360" w:lineRule="auto"/>
        <w:jc w:val="left"/>
        <w:textAlignment w:val="auto"/>
        <w:outlineLvl w:val="9"/>
        <w:rPr>
          <w:rFonts w:hint="eastAsia" w:ascii="宋体" w:hAnsi="宋体" w:eastAsia="宋体" w:cs="宋体"/>
          <w:color w:val="000000"/>
          <w:sz w:val="24"/>
          <w:lang w:val="en-US" w:eastAsia="zh-CN"/>
        </w:rPr>
      </w:pPr>
      <w:bookmarkStart w:id="394" w:name="_Toc13530"/>
      <w:r>
        <w:rPr>
          <w:rFonts w:hint="eastAsia" w:ascii="宋体" w:hAnsi="宋体" w:eastAsia="宋体" w:cs="宋体"/>
          <w:color w:val="000000"/>
          <w:sz w:val="24"/>
          <w:lang w:eastAsia="zh-CN"/>
        </w:rPr>
        <w:t>B</w:t>
      </w:r>
      <w:r>
        <w:rPr>
          <w:rFonts w:hint="eastAsia" w:ascii="宋体" w:hAnsi="宋体" w:cs="宋体"/>
          <w:color w:val="000000"/>
          <w:sz w:val="24"/>
          <w:lang w:val="en-US" w:eastAsia="zh-CN"/>
        </w:rPr>
        <w:t>.</w:t>
      </w:r>
      <w:r>
        <w:rPr>
          <w:rFonts w:hint="eastAsia" w:ascii="宋体" w:hAnsi="宋体" w:eastAsia="宋体" w:cs="宋体"/>
          <w:color w:val="000000"/>
          <w:sz w:val="24"/>
          <w:lang w:eastAsia="zh-CN"/>
        </w:rPr>
        <w:t>2.</w:t>
      </w:r>
      <w:r>
        <w:rPr>
          <w:rFonts w:hint="eastAsia" w:ascii="宋体" w:hAnsi="宋体" w:cs="宋体"/>
          <w:color w:val="000000"/>
          <w:sz w:val="24"/>
          <w:lang w:val="en-US" w:eastAsia="zh-CN"/>
        </w:rPr>
        <w:t>4</w:t>
      </w:r>
      <w:r>
        <w:rPr>
          <w:rFonts w:hint="eastAsia" w:ascii="宋体" w:hAnsi="宋体" w:eastAsia="宋体" w:cs="宋体"/>
          <w:color w:val="000000"/>
          <w:sz w:val="24"/>
          <w:lang w:val="en-US" w:eastAsia="zh-CN"/>
        </w:rPr>
        <w:t xml:space="preserve"> 施工建造阶段，</w:t>
      </w:r>
      <w:r>
        <w:rPr>
          <w:rFonts w:hint="eastAsia" w:ascii="宋体" w:hAnsi="宋体" w:eastAsia="宋体" w:cs="宋体"/>
          <w:color w:val="000000"/>
          <w:sz w:val="24"/>
          <w:lang w:eastAsia="zh-CN"/>
        </w:rPr>
        <w:t>降低能源消耗，提高能源利用效率，</w:t>
      </w:r>
      <w:r>
        <w:rPr>
          <w:rFonts w:hint="eastAsia" w:ascii="宋体" w:hAnsi="宋体" w:cs="宋体"/>
          <w:color w:val="000000"/>
          <w:sz w:val="24"/>
          <w:lang w:eastAsia="zh-CN"/>
        </w:rPr>
        <w:t>应按下列</w:t>
      </w:r>
      <w:r>
        <w:rPr>
          <w:rFonts w:hint="eastAsia" w:ascii="宋体" w:hAnsi="宋体" w:eastAsia="宋体" w:cs="宋体"/>
          <w:color w:val="000000"/>
          <w:sz w:val="24"/>
          <w:lang w:eastAsia="zh-CN"/>
        </w:rPr>
        <w:t>内容分别评分：</w:t>
      </w:r>
      <w:bookmarkEnd w:id="394"/>
    </w:p>
    <w:p w14:paraId="0BE4C7DA">
      <w:pPr>
        <w:wordWrap/>
        <w:spacing w:line="360" w:lineRule="auto"/>
        <w:ind w:firstLine="480" w:firstLineChars="200"/>
        <w:textAlignment w:val="auto"/>
        <w:rPr>
          <w:rFonts w:hint="eastAsia" w:ascii="宋体" w:hAnsi="宋体" w:eastAsia="宋体" w:cs="宋体"/>
          <w:color w:val="000000"/>
          <w:sz w:val="24"/>
          <w:highlight w:val="none"/>
          <w:lang w:val="en-US" w:eastAsia="zh-CN"/>
        </w:rPr>
      </w:pPr>
      <w:r>
        <w:rPr>
          <w:rFonts w:hint="eastAsia" w:ascii="宋体" w:hAnsi="宋体" w:eastAsia="宋体" w:cs="宋体"/>
          <w:color w:val="000000"/>
          <w:sz w:val="24"/>
          <w:highlight w:val="none"/>
          <w:lang w:val="en-US" w:eastAsia="zh-CN"/>
        </w:rPr>
        <w:t xml:space="preserve">1 选用高能效盾构机及配套设备，优化掘进参数（如刀盘转速、推进压力）以降低单位能耗； </w:t>
      </w:r>
    </w:p>
    <w:p w14:paraId="49FB9D04">
      <w:pPr>
        <w:wordWrap/>
        <w:spacing w:line="360" w:lineRule="auto"/>
        <w:ind w:firstLine="480" w:firstLineChars="200"/>
        <w:textAlignment w:val="auto"/>
        <w:rPr>
          <w:rFonts w:hint="eastAsia" w:ascii="宋体" w:hAnsi="宋体" w:eastAsia="宋体" w:cs="宋体"/>
          <w:color w:val="000000"/>
          <w:sz w:val="24"/>
          <w:highlight w:val="none"/>
          <w:lang w:val="en-US" w:eastAsia="zh-CN"/>
        </w:rPr>
      </w:pPr>
      <w:r>
        <w:rPr>
          <w:rFonts w:hint="eastAsia" w:ascii="宋体" w:hAnsi="宋体" w:eastAsia="宋体" w:cs="宋体"/>
          <w:color w:val="000000"/>
          <w:sz w:val="24"/>
          <w:highlight w:val="none"/>
          <w:lang w:val="en-US" w:eastAsia="zh-CN"/>
        </w:rPr>
        <w:t>2 设定节能目标，建立能源消耗监测体系，实时记录盾构机、通风、照明等系统的能耗数据；</w:t>
      </w:r>
    </w:p>
    <w:p w14:paraId="61B53E3B">
      <w:pPr>
        <w:wordWrap/>
        <w:spacing w:line="360" w:lineRule="auto"/>
        <w:ind w:firstLine="480" w:firstLineChars="200"/>
        <w:textAlignment w:val="auto"/>
        <w:rPr>
          <w:rFonts w:hint="eastAsia" w:ascii="宋体" w:hAnsi="宋体" w:eastAsia="宋体" w:cs="宋体"/>
          <w:color w:val="000000"/>
          <w:sz w:val="24"/>
          <w:highlight w:val="none"/>
          <w:lang w:val="en-US" w:eastAsia="zh-CN"/>
        </w:rPr>
      </w:pPr>
      <w:r>
        <w:rPr>
          <w:rFonts w:hint="eastAsia" w:ascii="宋体" w:hAnsi="宋体" w:eastAsia="宋体" w:cs="宋体"/>
          <w:color w:val="000000"/>
          <w:sz w:val="24"/>
          <w:highlight w:val="none"/>
          <w:lang w:val="en-US" w:eastAsia="zh-CN"/>
        </w:rPr>
        <w:t>3 减少设备空载运行时间，定期维护保养机械，确保设备处于高效运行状态。</w:t>
      </w:r>
    </w:p>
    <w:p w14:paraId="0C856FED">
      <w:pPr>
        <w:wordWrap/>
        <w:spacing w:line="360" w:lineRule="auto"/>
        <w:jc w:val="left"/>
        <w:textAlignment w:val="auto"/>
        <w:outlineLvl w:val="9"/>
        <w:rPr>
          <w:rFonts w:hint="eastAsia" w:ascii="宋体" w:hAnsi="宋体" w:eastAsia="宋体" w:cs="宋体"/>
          <w:color w:val="000000"/>
          <w:sz w:val="24"/>
          <w:lang w:eastAsia="zh-CN"/>
        </w:rPr>
      </w:pPr>
      <w:bookmarkStart w:id="395" w:name="_Toc2292"/>
      <w:r>
        <w:rPr>
          <w:rFonts w:hint="eastAsia" w:ascii="宋体" w:hAnsi="宋体" w:eastAsia="宋体" w:cs="宋体"/>
          <w:color w:val="000000"/>
          <w:sz w:val="24"/>
          <w:lang w:eastAsia="zh-CN"/>
        </w:rPr>
        <w:t>B</w:t>
      </w:r>
      <w:r>
        <w:rPr>
          <w:rFonts w:hint="eastAsia" w:ascii="宋体" w:hAnsi="宋体" w:cs="宋体"/>
          <w:color w:val="000000"/>
          <w:sz w:val="24"/>
          <w:lang w:val="en-US" w:eastAsia="zh-CN"/>
        </w:rPr>
        <w:t>.</w:t>
      </w:r>
      <w:r>
        <w:rPr>
          <w:rFonts w:hint="eastAsia" w:ascii="宋体" w:hAnsi="宋体" w:eastAsia="宋体" w:cs="宋体"/>
          <w:color w:val="000000"/>
          <w:sz w:val="24"/>
          <w:lang w:eastAsia="zh-CN"/>
        </w:rPr>
        <w:t>2.</w:t>
      </w:r>
      <w:r>
        <w:rPr>
          <w:rFonts w:hint="eastAsia" w:ascii="宋体" w:hAnsi="宋体" w:cs="宋体"/>
          <w:color w:val="000000"/>
          <w:sz w:val="24"/>
          <w:lang w:val="en-US" w:eastAsia="zh-CN"/>
        </w:rPr>
        <w:t>5</w:t>
      </w:r>
      <w:r>
        <w:rPr>
          <w:rFonts w:hint="eastAsia" w:ascii="宋体" w:hAnsi="宋体" w:eastAsia="宋体" w:cs="宋体"/>
          <w:color w:val="000000"/>
          <w:sz w:val="24"/>
          <w:lang w:val="en-US" w:eastAsia="zh-CN"/>
        </w:rPr>
        <w:t xml:space="preserve"> 施工建造阶段，</w:t>
      </w:r>
      <w:r>
        <w:rPr>
          <w:rFonts w:hint="eastAsia" w:ascii="宋体" w:hAnsi="宋体" w:eastAsia="宋体" w:cs="宋体"/>
          <w:color w:val="000000"/>
          <w:sz w:val="24"/>
          <w:lang w:eastAsia="zh-CN"/>
        </w:rPr>
        <w:t>减少水资源消耗，</w:t>
      </w:r>
      <w:r>
        <w:rPr>
          <w:rFonts w:hint="eastAsia" w:ascii="宋体" w:hAnsi="宋体" w:cs="宋体"/>
          <w:color w:val="000000"/>
          <w:sz w:val="24"/>
          <w:lang w:eastAsia="zh-CN"/>
        </w:rPr>
        <w:t>应按下列</w:t>
      </w:r>
      <w:r>
        <w:rPr>
          <w:rFonts w:hint="eastAsia" w:ascii="宋体" w:hAnsi="宋体" w:eastAsia="宋体" w:cs="宋体"/>
          <w:color w:val="000000"/>
          <w:sz w:val="24"/>
          <w:lang w:eastAsia="zh-CN"/>
        </w:rPr>
        <w:t>内容分别评分：</w:t>
      </w:r>
      <w:bookmarkEnd w:id="395"/>
    </w:p>
    <w:p w14:paraId="14BB044D">
      <w:pPr>
        <w:wordWrap/>
        <w:spacing w:line="360" w:lineRule="auto"/>
        <w:ind w:firstLine="480" w:firstLineChars="200"/>
        <w:textAlignment w:val="auto"/>
        <w:rPr>
          <w:rFonts w:hint="eastAsia" w:ascii="宋体" w:hAnsi="宋体" w:eastAsia="宋体" w:cs="宋体"/>
          <w:color w:val="000000"/>
          <w:sz w:val="24"/>
          <w:highlight w:val="none"/>
          <w:lang w:val="en-US" w:eastAsia="zh-CN"/>
        </w:rPr>
      </w:pPr>
      <w:r>
        <w:rPr>
          <w:rFonts w:hint="eastAsia" w:ascii="宋体" w:hAnsi="宋体" w:eastAsia="宋体" w:cs="宋体"/>
          <w:color w:val="000000"/>
          <w:sz w:val="24"/>
          <w:highlight w:val="none"/>
          <w:lang w:val="en-US" w:eastAsia="zh-CN"/>
        </w:rPr>
        <w:t>1 施工中采用循环水系统（如盾构冷却水循环利用），减少新鲜水消耗；</w:t>
      </w:r>
    </w:p>
    <w:p w14:paraId="1B0BC434">
      <w:pPr>
        <w:wordWrap/>
        <w:spacing w:line="360" w:lineRule="auto"/>
        <w:ind w:firstLine="480" w:firstLineChars="200"/>
        <w:textAlignment w:val="auto"/>
        <w:rPr>
          <w:rFonts w:hint="eastAsia" w:ascii="宋体" w:hAnsi="宋体" w:eastAsia="宋体" w:cs="宋体"/>
          <w:color w:val="000000"/>
          <w:sz w:val="24"/>
          <w:highlight w:val="none"/>
          <w:lang w:val="en-US" w:eastAsia="zh-CN"/>
        </w:rPr>
      </w:pPr>
      <w:r>
        <w:rPr>
          <w:rFonts w:hint="eastAsia" w:ascii="宋体" w:hAnsi="宋体" w:eastAsia="宋体" w:cs="宋体"/>
          <w:color w:val="000000"/>
          <w:sz w:val="24"/>
          <w:highlight w:val="none"/>
          <w:lang w:val="en-US" w:eastAsia="zh-CN"/>
        </w:rPr>
        <w:t>2 配置节水型冲洗设备，控制施工冲洗用水量。</w:t>
      </w:r>
    </w:p>
    <w:p w14:paraId="7470904B">
      <w:pPr>
        <w:wordWrap/>
        <w:spacing w:line="360" w:lineRule="auto"/>
        <w:jc w:val="left"/>
        <w:textAlignment w:val="auto"/>
        <w:outlineLvl w:val="9"/>
        <w:rPr>
          <w:rFonts w:hint="eastAsia" w:ascii="宋体" w:hAnsi="宋体" w:eastAsia="宋体" w:cs="宋体"/>
          <w:color w:val="000000"/>
          <w:sz w:val="24"/>
          <w:lang w:eastAsia="zh-CN"/>
        </w:rPr>
      </w:pPr>
      <w:bookmarkStart w:id="396" w:name="_Toc10776"/>
      <w:r>
        <w:rPr>
          <w:rFonts w:hint="eastAsia" w:ascii="宋体" w:hAnsi="宋体" w:eastAsia="宋体" w:cs="宋体"/>
          <w:color w:val="000000"/>
          <w:sz w:val="24"/>
          <w:lang w:eastAsia="zh-CN"/>
        </w:rPr>
        <w:t>B</w:t>
      </w:r>
      <w:r>
        <w:rPr>
          <w:rFonts w:hint="eastAsia" w:ascii="宋体" w:hAnsi="宋体" w:cs="宋体"/>
          <w:color w:val="000000"/>
          <w:sz w:val="24"/>
          <w:lang w:val="en-US" w:eastAsia="zh-CN"/>
        </w:rPr>
        <w:t>.</w:t>
      </w:r>
      <w:r>
        <w:rPr>
          <w:rFonts w:hint="eastAsia" w:ascii="宋体" w:hAnsi="宋体" w:eastAsia="宋体" w:cs="宋体"/>
          <w:color w:val="000000"/>
          <w:sz w:val="24"/>
          <w:lang w:eastAsia="zh-CN"/>
        </w:rPr>
        <w:t>2.</w:t>
      </w:r>
      <w:r>
        <w:rPr>
          <w:rFonts w:hint="eastAsia" w:ascii="宋体" w:hAnsi="宋体" w:cs="宋体"/>
          <w:color w:val="000000"/>
          <w:sz w:val="24"/>
          <w:lang w:val="en-US" w:eastAsia="zh-CN"/>
        </w:rPr>
        <w:t>6</w:t>
      </w:r>
      <w:r>
        <w:rPr>
          <w:rFonts w:hint="eastAsia" w:ascii="宋体" w:hAnsi="宋体" w:eastAsia="宋体" w:cs="宋体"/>
          <w:color w:val="000000"/>
          <w:sz w:val="24"/>
          <w:lang w:val="en-US" w:eastAsia="zh-CN"/>
        </w:rPr>
        <w:t xml:space="preserve"> 施工建造阶段，</w:t>
      </w:r>
      <w:r>
        <w:rPr>
          <w:rFonts w:hint="eastAsia" w:ascii="宋体" w:hAnsi="宋体" w:eastAsia="宋体" w:cs="宋体"/>
          <w:color w:val="000000"/>
          <w:sz w:val="24"/>
          <w:lang w:eastAsia="zh-CN"/>
        </w:rPr>
        <w:t>减少材料消耗，</w:t>
      </w:r>
      <w:r>
        <w:rPr>
          <w:rFonts w:hint="eastAsia" w:ascii="宋体" w:hAnsi="宋体" w:cs="宋体"/>
          <w:color w:val="000000"/>
          <w:sz w:val="24"/>
          <w:lang w:eastAsia="zh-CN"/>
        </w:rPr>
        <w:t>应按下列</w:t>
      </w:r>
      <w:r>
        <w:rPr>
          <w:rFonts w:hint="eastAsia" w:ascii="宋体" w:hAnsi="宋体" w:eastAsia="宋体" w:cs="宋体"/>
          <w:color w:val="000000"/>
          <w:sz w:val="24"/>
          <w:lang w:eastAsia="zh-CN"/>
        </w:rPr>
        <w:t>内容分别评分：</w:t>
      </w:r>
      <w:bookmarkEnd w:id="396"/>
    </w:p>
    <w:p w14:paraId="3899E0A3">
      <w:pPr>
        <w:wordWrap/>
        <w:spacing w:line="360" w:lineRule="auto"/>
        <w:ind w:firstLine="480" w:firstLineChars="200"/>
        <w:textAlignment w:val="auto"/>
        <w:rPr>
          <w:rFonts w:hint="eastAsia" w:ascii="宋体" w:hAnsi="宋体" w:eastAsia="宋体" w:cs="宋体"/>
          <w:color w:val="000000"/>
          <w:sz w:val="24"/>
          <w:highlight w:val="none"/>
          <w:lang w:val="en-US" w:eastAsia="zh-CN"/>
        </w:rPr>
      </w:pPr>
      <w:r>
        <w:rPr>
          <w:rFonts w:hint="eastAsia" w:ascii="宋体" w:hAnsi="宋体" w:eastAsia="宋体" w:cs="宋体"/>
          <w:color w:val="000000"/>
          <w:sz w:val="24"/>
          <w:highlight w:val="none"/>
          <w:lang w:val="en-US" w:eastAsia="zh-CN"/>
        </w:rPr>
        <w:t>1 同步注浆材料宜采用环保型材料，在满足工程性能的条件下，可掺入工业废渣、再生骨料等再生材料；</w:t>
      </w:r>
    </w:p>
    <w:p w14:paraId="7BBCF5AF">
      <w:pPr>
        <w:wordWrap/>
        <w:spacing w:line="360" w:lineRule="auto"/>
        <w:ind w:firstLine="480" w:firstLineChars="200"/>
        <w:textAlignment w:val="auto"/>
        <w:rPr>
          <w:rFonts w:hint="eastAsia" w:ascii="宋体" w:hAnsi="宋体" w:eastAsia="宋体" w:cs="宋体"/>
          <w:color w:val="000000"/>
          <w:sz w:val="24"/>
          <w:highlight w:val="none"/>
          <w:lang w:val="en-US" w:eastAsia="zh-CN"/>
        </w:rPr>
      </w:pPr>
      <w:r>
        <w:rPr>
          <w:rFonts w:hint="eastAsia" w:ascii="宋体" w:hAnsi="宋体" w:eastAsia="宋体" w:cs="宋体"/>
          <w:color w:val="000000"/>
          <w:sz w:val="24"/>
          <w:highlight w:val="none"/>
          <w:lang w:val="en-US" w:eastAsia="zh-CN"/>
        </w:rPr>
        <w:t>2再生骨料混凝土可用于隧道工程中的注浆液、衬砌背后填充、临时结构（如竖井围护桩）等非结构部位；</w:t>
      </w:r>
    </w:p>
    <w:p w14:paraId="6AB665CC">
      <w:pPr>
        <w:wordWrap/>
        <w:spacing w:line="360" w:lineRule="auto"/>
        <w:ind w:firstLine="480" w:firstLineChars="200"/>
        <w:textAlignment w:val="auto"/>
        <w:rPr>
          <w:rFonts w:hint="eastAsia" w:ascii="宋体" w:hAnsi="宋体" w:eastAsia="宋体" w:cs="宋体"/>
          <w:color w:val="000000"/>
          <w:sz w:val="24"/>
          <w:highlight w:val="none"/>
          <w:lang w:val="en-US" w:eastAsia="zh-CN"/>
        </w:rPr>
      </w:pPr>
      <w:r>
        <w:rPr>
          <w:rFonts w:hint="eastAsia" w:ascii="宋体" w:hAnsi="宋体" w:eastAsia="宋体" w:cs="宋体"/>
          <w:color w:val="000000"/>
          <w:sz w:val="24"/>
          <w:highlight w:val="none"/>
          <w:lang w:val="en-US" w:eastAsia="zh-CN"/>
        </w:rPr>
        <w:t>3再生骨料符合</w:t>
      </w:r>
      <w:r>
        <w:rPr>
          <w:rFonts w:hint="eastAsia" w:ascii="宋体" w:hAnsi="宋体" w:cs="宋体"/>
          <w:color w:val="000000"/>
          <w:sz w:val="24"/>
          <w:highlight w:val="none"/>
          <w:lang w:val="en-US" w:eastAsia="zh-CN"/>
        </w:rPr>
        <w:t>现行国家标准</w:t>
      </w:r>
      <w:r>
        <w:rPr>
          <w:rFonts w:hint="eastAsia" w:ascii="宋体" w:hAnsi="宋体" w:eastAsia="宋体" w:cs="宋体"/>
          <w:color w:val="000000"/>
          <w:sz w:val="24"/>
          <w:highlight w:val="none"/>
          <w:lang w:val="en-US" w:eastAsia="zh-CN"/>
        </w:rPr>
        <w:t>《混凝土用再生粗骨料》GB/T 25177或《混凝土和砂浆用再生细骨料》GB/T 25176的</w:t>
      </w:r>
      <w:r>
        <w:rPr>
          <w:rFonts w:hint="eastAsia" w:ascii="宋体" w:hAnsi="宋体" w:cs="宋体"/>
          <w:color w:val="000000"/>
          <w:sz w:val="24"/>
          <w:highlight w:val="none"/>
          <w:lang w:val="en-US" w:eastAsia="zh-CN"/>
        </w:rPr>
        <w:t>有关</w:t>
      </w:r>
      <w:r>
        <w:rPr>
          <w:rFonts w:hint="eastAsia" w:ascii="宋体" w:hAnsi="宋体" w:eastAsia="宋体" w:cs="宋体"/>
          <w:color w:val="000000"/>
          <w:sz w:val="24"/>
          <w:highlight w:val="none"/>
          <w:lang w:val="en-US" w:eastAsia="zh-CN"/>
        </w:rPr>
        <w:t>规定，满足抗渗性和强度要求；</w:t>
      </w:r>
    </w:p>
    <w:p w14:paraId="68FF6B73">
      <w:pPr>
        <w:wordWrap/>
        <w:spacing w:line="360" w:lineRule="auto"/>
        <w:ind w:firstLine="480" w:firstLineChars="200"/>
        <w:textAlignment w:val="auto"/>
        <w:rPr>
          <w:rFonts w:hint="eastAsia" w:ascii="宋体" w:hAnsi="宋体" w:eastAsia="宋体" w:cs="宋体"/>
          <w:color w:val="000000"/>
          <w:sz w:val="24"/>
          <w:highlight w:val="none"/>
          <w:lang w:val="en-US" w:eastAsia="zh-CN"/>
        </w:rPr>
      </w:pPr>
      <w:r>
        <w:rPr>
          <w:rFonts w:hint="eastAsia" w:ascii="宋体" w:hAnsi="宋体" w:eastAsia="宋体" w:cs="宋体"/>
          <w:color w:val="000000"/>
          <w:sz w:val="24"/>
          <w:highlight w:val="none"/>
          <w:lang w:val="en-US" w:eastAsia="zh-CN"/>
        </w:rPr>
        <w:t>4 使用再生材料时需提供有害物质（如重金属、放射性）检测报告。</w:t>
      </w:r>
    </w:p>
    <w:p w14:paraId="4F19A936">
      <w:pPr>
        <w:wordWrap/>
        <w:spacing w:line="360" w:lineRule="auto"/>
        <w:jc w:val="left"/>
        <w:textAlignment w:val="auto"/>
        <w:outlineLvl w:val="9"/>
        <w:rPr>
          <w:rFonts w:hint="eastAsia" w:ascii="宋体" w:hAnsi="宋体" w:eastAsia="宋体" w:cs="宋体"/>
          <w:color w:val="000000"/>
          <w:sz w:val="24"/>
          <w:lang w:val="en-US" w:eastAsia="zh-CN"/>
        </w:rPr>
      </w:pPr>
      <w:bookmarkStart w:id="397" w:name="_Toc10030"/>
      <w:r>
        <w:rPr>
          <w:rFonts w:hint="eastAsia" w:ascii="宋体" w:hAnsi="宋体" w:eastAsia="宋体" w:cs="宋体"/>
          <w:color w:val="000000"/>
          <w:sz w:val="24"/>
          <w:lang w:eastAsia="zh-CN"/>
        </w:rPr>
        <w:t>B</w:t>
      </w:r>
      <w:r>
        <w:rPr>
          <w:rFonts w:hint="eastAsia" w:ascii="宋体" w:hAnsi="宋体" w:cs="宋体"/>
          <w:color w:val="000000"/>
          <w:sz w:val="24"/>
          <w:lang w:val="en-US" w:eastAsia="zh-CN"/>
        </w:rPr>
        <w:t>.</w:t>
      </w:r>
      <w:r>
        <w:rPr>
          <w:rFonts w:hint="eastAsia" w:ascii="宋体" w:hAnsi="宋体" w:eastAsia="宋体" w:cs="宋体"/>
          <w:color w:val="000000"/>
          <w:sz w:val="24"/>
          <w:lang w:eastAsia="zh-CN"/>
        </w:rPr>
        <w:t>2.</w:t>
      </w:r>
      <w:r>
        <w:rPr>
          <w:rFonts w:hint="eastAsia" w:ascii="宋体" w:hAnsi="宋体" w:cs="宋体"/>
          <w:color w:val="000000"/>
          <w:sz w:val="24"/>
          <w:lang w:val="en-US" w:eastAsia="zh-CN"/>
        </w:rPr>
        <w:t>7</w:t>
      </w:r>
      <w:r>
        <w:rPr>
          <w:rFonts w:hint="eastAsia" w:ascii="宋体" w:hAnsi="宋体" w:eastAsia="宋体" w:cs="宋体"/>
          <w:color w:val="000000"/>
          <w:sz w:val="24"/>
          <w:lang w:val="en-US" w:eastAsia="zh-CN"/>
        </w:rPr>
        <w:t xml:space="preserve"> </w:t>
      </w:r>
      <w:r>
        <w:rPr>
          <w:rFonts w:hint="eastAsia" w:ascii="宋体" w:hAnsi="宋体" w:eastAsia="宋体" w:cs="宋体"/>
          <w:color w:val="000000"/>
          <w:sz w:val="24"/>
          <w:lang w:eastAsia="zh-CN"/>
        </w:rPr>
        <w:t>施工建造阶段，</w:t>
      </w:r>
      <w:r>
        <w:rPr>
          <w:rFonts w:hint="eastAsia" w:ascii="宋体" w:hAnsi="宋体" w:eastAsia="宋体" w:cs="宋体"/>
          <w:color w:val="000000"/>
          <w:sz w:val="24"/>
          <w:lang w:val="en-US" w:eastAsia="zh-CN"/>
        </w:rPr>
        <w:t>固体废弃物资源化利用，</w:t>
      </w:r>
      <w:r>
        <w:rPr>
          <w:rFonts w:hint="eastAsia" w:ascii="宋体" w:hAnsi="宋体" w:cs="宋体"/>
          <w:color w:val="000000"/>
          <w:sz w:val="24"/>
          <w:lang w:val="en-US" w:eastAsia="zh-CN"/>
        </w:rPr>
        <w:t>应按下列</w:t>
      </w:r>
      <w:r>
        <w:rPr>
          <w:rFonts w:hint="eastAsia" w:ascii="宋体" w:hAnsi="宋体" w:eastAsia="宋体" w:cs="宋体"/>
          <w:color w:val="000000"/>
          <w:sz w:val="24"/>
          <w:lang w:val="en-US" w:eastAsia="zh-CN"/>
        </w:rPr>
        <w:t>内容分别评分：</w:t>
      </w:r>
      <w:bookmarkEnd w:id="397"/>
    </w:p>
    <w:p w14:paraId="3E486019">
      <w:pPr>
        <w:wordWrap/>
        <w:spacing w:line="360" w:lineRule="auto"/>
        <w:ind w:firstLine="480" w:firstLineChars="200"/>
        <w:textAlignment w:val="auto"/>
        <w:rPr>
          <w:rFonts w:hint="eastAsia" w:ascii="宋体" w:hAnsi="宋体" w:eastAsia="宋体" w:cs="宋体"/>
          <w:color w:val="000000"/>
          <w:sz w:val="24"/>
          <w:highlight w:val="none"/>
          <w:lang w:val="en-US" w:eastAsia="zh-CN"/>
        </w:rPr>
      </w:pPr>
      <w:r>
        <w:rPr>
          <w:rFonts w:hint="eastAsia" w:ascii="宋体" w:hAnsi="宋体" w:eastAsia="宋体" w:cs="宋体"/>
          <w:color w:val="000000"/>
          <w:sz w:val="24"/>
          <w:highlight w:val="none"/>
          <w:lang w:val="en-US" w:eastAsia="zh-CN"/>
        </w:rPr>
        <w:t>1 盾构渣土和泥浆需经脱水、筛分等预处理，优先用于工程回填、路基填筑或制砖等资源化利用；</w:t>
      </w:r>
    </w:p>
    <w:p w14:paraId="5F17788F">
      <w:pPr>
        <w:wordWrap/>
        <w:spacing w:line="360" w:lineRule="auto"/>
        <w:ind w:firstLine="480" w:firstLineChars="200"/>
        <w:textAlignment w:val="auto"/>
        <w:rPr>
          <w:rFonts w:hint="eastAsia" w:ascii="宋体" w:hAnsi="宋体" w:eastAsia="宋体" w:cs="宋体"/>
          <w:color w:val="000000"/>
          <w:sz w:val="24"/>
          <w:highlight w:val="none"/>
          <w:lang w:val="en-US" w:eastAsia="zh-CN"/>
        </w:rPr>
      </w:pPr>
      <w:r>
        <w:rPr>
          <w:rFonts w:hint="eastAsia" w:ascii="宋体" w:hAnsi="宋体" w:eastAsia="宋体" w:cs="宋体"/>
          <w:color w:val="000000"/>
          <w:sz w:val="24"/>
          <w:highlight w:val="none"/>
          <w:lang w:val="en-US" w:eastAsia="zh-CN"/>
        </w:rPr>
        <w:t>2 禁止随意堆放或填埋盾构渣土和泥浆，需与具备资质的资源化企业协同处置；</w:t>
      </w:r>
    </w:p>
    <w:p w14:paraId="620A77AE">
      <w:pPr>
        <w:wordWrap/>
        <w:spacing w:line="360" w:lineRule="auto"/>
        <w:ind w:firstLine="480" w:firstLineChars="200"/>
        <w:textAlignment w:val="auto"/>
        <w:rPr>
          <w:rFonts w:hint="eastAsia" w:ascii="宋体" w:hAnsi="宋体" w:eastAsia="宋体" w:cs="宋体"/>
          <w:color w:val="000000"/>
          <w:sz w:val="24"/>
          <w:highlight w:val="none"/>
          <w:lang w:val="en-US" w:eastAsia="zh-CN"/>
        </w:rPr>
      </w:pPr>
      <w:r>
        <w:rPr>
          <w:rFonts w:hint="eastAsia" w:ascii="宋体" w:hAnsi="宋体" w:eastAsia="宋体" w:cs="宋体"/>
          <w:color w:val="000000"/>
          <w:sz w:val="24"/>
          <w:highlight w:val="none"/>
          <w:lang w:val="en-US" w:eastAsia="zh-CN"/>
        </w:rPr>
        <w:t>3 废机油、废电池等危险废弃物须单独收集，交由有资质单位处理，严禁混入一般垃圾。</w:t>
      </w:r>
    </w:p>
    <w:p w14:paraId="43EAF766">
      <w:pPr>
        <w:wordWrap/>
        <w:spacing w:line="360" w:lineRule="auto"/>
        <w:jc w:val="left"/>
        <w:textAlignment w:val="auto"/>
        <w:outlineLvl w:val="9"/>
        <w:rPr>
          <w:rFonts w:hint="eastAsia" w:ascii="宋体" w:hAnsi="宋体" w:eastAsia="宋体" w:cs="宋体"/>
          <w:color w:val="000000"/>
          <w:sz w:val="24"/>
          <w:lang w:val="en-US" w:eastAsia="zh-CN"/>
        </w:rPr>
      </w:pPr>
      <w:bookmarkStart w:id="398" w:name="_Toc31394"/>
      <w:r>
        <w:rPr>
          <w:rFonts w:hint="eastAsia" w:ascii="宋体" w:hAnsi="宋体" w:cs="宋体"/>
          <w:color w:val="000000"/>
          <w:sz w:val="24"/>
          <w:lang w:eastAsia="zh-CN"/>
        </w:rPr>
        <w:t>B.2</w:t>
      </w:r>
      <w:r>
        <w:rPr>
          <w:rFonts w:hint="eastAsia" w:ascii="宋体" w:hAnsi="宋体" w:eastAsia="宋体" w:cs="宋体"/>
          <w:color w:val="000000"/>
          <w:sz w:val="24"/>
          <w:lang w:eastAsia="zh-CN"/>
        </w:rPr>
        <w:t>.</w:t>
      </w:r>
      <w:r>
        <w:rPr>
          <w:rFonts w:hint="eastAsia" w:ascii="宋体" w:hAnsi="宋体" w:cs="宋体"/>
          <w:color w:val="000000"/>
          <w:sz w:val="24"/>
          <w:lang w:val="en-US" w:eastAsia="zh-CN"/>
        </w:rPr>
        <w:t xml:space="preserve">8 </w:t>
      </w:r>
      <w:r>
        <w:rPr>
          <w:rFonts w:hint="eastAsia" w:ascii="宋体" w:hAnsi="宋体" w:eastAsia="宋体" w:cs="宋体"/>
          <w:color w:val="000000"/>
          <w:sz w:val="24"/>
          <w:lang w:val="en-US" w:eastAsia="zh-CN"/>
        </w:rPr>
        <w:t>施工建造阶段，采取措施保护员工权益，</w:t>
      </w:r>
      <w:r>
        <w:rPr>
          <w:rFonts w:hint="eastAsia" w:ascii="宋体" w:hAnsi="宋体" w:cs="宋体"/>
          <w:color w:val="000000"/>
          <w:sz w:val="24"/>
          <w:lang w:val="en-US" w:eastAsia="zh-CN"/>
        </w:rPr>
        <w:t>应按下列</w:t>
      </w:r>
      <w:r>
        <w:rPr>
          <w:rFonts w:hint="eastAsia" w:ascii="宋体" w:hAnsi="宋体" w:eastAsia="宋体" w:cs="宋体"/>
          <w:color w:val="000000"/>
          <w:sz w:val="24"/>
          <w:lang w:val="en-US" w:eastAsia="zh-CN"/>
        </w:rPr>
        <w:t>内容分别评分：</w:t>
      </w:r>
      <w:bookmarkEnd w:id="398"/>
    </w:p>
    <w:p w14:paraId="33E35AEE">
      <w:pPr>
        <w:wordWrap/>
        <w:spacing w:line="360" w:lineRule="auto"/>
        <w:ind w:firstLine="480" w:firstLineChars="200"/>
        <w:textAlignment w:val="auto"/>
        <w:rPr>
          <w:rFonts w:hint="eastAsia" w:ascii="宋体" w:hAnsi="宋体" w:eastAsia="宋体" w:cs="宋体"/>
          <w:color w:val="000000"/>
          <w:sz w:val="24"/>
          <w:highlight w:val="none"/>
          <w:lang w:val="en-US" w:eastAsia="zh-CN"/>
        </w:rPr>
      </w:pPr>
      <w:r>
        <w:rPr>
          <w:rFonts w:hint="eastAsia" w:ascii="宋体" w:hAnsi="宋体" w:eastAsia="宋体" w:cs="宋体"/>
          <w:color w:val="000000"/>
          <w:sz w:val="24"/>
          <w:highlight w:val="none"/>
          <w:lang w:val="en-US" w:eastAsia="zh-CN"/>
        </w:rPr>
        <w:t>1 盾构始发前，盾构作业人员全部到位，并接受安全教育；</w:t>
      </w:r>
    </w:p>
    <w:p w14:paraId="0863BEA9">
      <w:pPr>
        <w:wordWrap/>
        <w:spacing w:line="360" w:lineRule="auto"/>
        <w:ind w:firstLine="480" w:firstLineChars="200"/>
        <w:textAlignment w:val="auto"/>
        <w:rPr>
          <w:rFonts w:hint="eastAsia" w:ascii="宋体" w:hAnsi="宋体" w:eastAsia="宋体" w:cs="宋体"/>
          <w:color w:val="000000"/>
          <w:sz w:val="24"/>
          <w:highlight w:val="none"/>
          <w:lang w:val="en-US" w:eastAsia="zh-CN"/>
        </w:rPr>
      </w:pPr>
      <w:r>
        <w:rPr>
          <w:rFonts w:hint="eastAsia" w:ascii="宋体" w:hAnsi="宋体" w:eastAsia="宋体" w:cs="宋体"/>
          <w:color w:val="000000"/>
          <w:sz w:val="24"/>
          <w:highlight w:val="none"/>
          <w:lang w:val="en-US" w:eastAsia="zh-CN"/>
        </w:rPr>
        <w:t>2 对盾构主控室操作人员、管片拼装操作人员、电气与机械保养维修人员等进行技术培训；对重点环节和风险源的防控措施进行技术培训和交底；</w:t>
      </w:r>
    </w:p>
    <w:p w14:paraId="340266BA">
      <w:pPr>
        <w:wordWrap/>
        <w:spacing w:line="360" w:lineRule="auto"/>
        <w:ind w:firstLine="480" w:firstLineChars="200"/>
        <w:textAlignment w:val="auto"/>
        <w:rPr>
          <w:rFonts w:hint="eastAsia" w:ascii="宋体" w:hAnsi="宋体" w:eastAsia="宋体" w:cs="宋体"/>
          <w:color w:val="000000"/>
          <w:sz w:val="24"/>
          <w:highlight w:val="none"/>
          <w:lang w:val="en-US" w:eastAsia="zh-CN"/>
        </w:rPr>
      </w:pPr>
      <w:r>
        <w:rPr>
          <w:rFonts w:hint="eastAsia" w:ascii="宋体" w:hAnsi="宋体" w:eastAsia="宋体" w:cs="宋体"/>
          <w:color w:val="000000"/>
          <w:sz w:val="24"/>
          <w:highlight w:val="none"/>
          <w:lang w:val="en-US" w:eastAsia="zh-CN"/>
        </w:rPr>
        <w:t>3 气压作业具有危险性，保持开挖仓内空气新鲜，进仓人员须经高压氧仓医院体检合格，严格按压力等级</w:t>
      </w:r>
      <w:r>
        <w:rPr>
          <w:rFonts w:hint="eastAsia" w:ascii="宋体" w:hAnsi="宋体" w:cs="宋体"/>
          <w:color w:val="000000"/>
          <w:sz w:val="24"/>
          <w:highlight w:val="none"/>
          <w:lang w:val="en-US" w:eastAsia="zh-CN"/>
        </w:rPr>
        <w:t>符合现行国家标准</w:t>
      </w:r>
      <w:r>
        <w:rPr>
          <w:rFonts w:hint="eastAsia" w:ascii="宋体" w:hAnsi="宋体" w:eastAsia="宋体" w:cs="宋体"/>
          <w:color w:val="000000"/>
          <w:sz w:val="24"/>
          <w:highlight w:val="none"/>
          <w:lang w:val="en-US" w:eastAsia="zh-CN"/>
        </w:rPr>
        <w:t>《空气潜水减压技术要求》GB/T 12521 和《盾构法开仓及气压作业技术规范》CJJ 217 的</w:t>
      </w:r>
      <w:r>
        <w:rPr>
          <w:rFonts w:hint="eastAsia" w:ascii="宋体" w:hAnsi="宋体" w:cs="宋体"/>
          <w:color w:val="000000"/>
          <w:sz w:val="24"/>
          <w:highlight w:val="none"/>
          <w:lang w:val="en-US" w:eastAsia="zh-CN"/>
        </w:rPr>
        <w:t>有关</w:t>
      </w:r>
      <w:r>
        <w:rPr>
          <w:rFonts w:hint="eastAsia" w:ascii="宋体" w:hAnsi="宋体" w:eastAsia="宋体" w:cs="宋体"/>
          <w:color w:val="000000"/>
          <w:sz w:val="24"/>
          <w:highlight w:val="none"/>
          <w:lang w:val="en-US" w:eastAsia="zh-CN"/>
        </w:rPr>
        <w:t>规定。</w:t>
      </w:r>
    </w:p>
    <w:p w14:paraId="62BCB459">
      <w:pPr>
        <w:wordWrap/>
        <w:spacing w:line="360" w:lineRule="auto"/>
        <w:jc w:val="left"/>
        <w:textAlignment w:val="auto"/>
        <w:outlineLvl w:val="9"/>
        <w:rPr>
          <w:rFonts w:hint="eastAsia" w:ascii="宋体" w:hAnsi="宋体" w:eastAsia="宋体" w:cs="宋体"/>
          <w:color w:val="000000"/>
          <w:sz w:val="24"/>
          <w:lang w:val="en-US" w:eastAsia="zh-CN"/>
        </w:rPr>
      </w:pPr>
      <w:bookmarkStart w:id="399" w:name="_Toc6951"/>
      <w:r>
        <w:rPr>
          <w:rFonts w:hint="eastAsia" w:ascii="宋体" w:hAnsi="宋体" w:cs="宋体"/>
          <w:color w:val="000000"/>
          <w:sz w:val="24"/>
          <w:lang w:eastAsia="zh-CN"/>
        </w:rPr>
        <w:t>B.2</w:t>
      </w:r>
      <w:r>
        <w:rPr>
          <w:rFonts w:hint="eastAsia" w:ascii="宋体" w:hAnsi="宋体" w:eastAsia="宋体" w:cs="宋体"/>
          <w:color w:val="000000"/>
          <w:sz w:val="24"/>
          <w:lang w:eastAsia="zh-CN"/>
        </w:rPr>
        <w:t>.</w:t>
      </w:r>
      <w:r>
        <w:rPr>
          <w:rFonts w:hint="eastAsia" w:ascii="宋体" w:hAnsi="宋体" w:cs="宋体"/>
          <w:color w:val="000000"/>
          <w:sz w:val="24"/>
          <w:lang w:val="en-US" w:eastAsia="zh-CN"/>
        </w:rPr>
        <w:t>9</w:t>
      </w:r>
      <w:r>
        <w:rPr>
          <w:rFonts w:hint="eastAsia" w:ascii="宋体" w:hAnsi="宋体" w:eastAsia="宋体" w:cs="宋体"/>
          <w:color w:val="000000"/>
          <w:sz w:val="24"/>
          <w:lang w:val="en-US" w:eastAsia="zh-CN"/>
        </w:rPr>
        <w:t xml:space="preserve"> </w:t>
      </w:r>
      <w:r>
        <w:rPr>
          <w:rFonts w:hint="eastAsia" w:ascii="宋体" w:hAnsi="宋体" w:eastAsia="宋体" w:cs="宋体"/>
          <w:color w:val="000000"/>
          <w:sz w:val="24"/>
          <w:highlight w:val="none"/>
          <w:lang w:val="en-US" w:eastAsia="zh-CN"/>
        </w:rPr>
        <w:t>施工建造阶段，</w:t>
      </w:r>
      <w:r>
        <w:rPr>
          <w:rFonts w:hint="eastAsia" w:ascii="宋体" w:hAnsi="宋体" w:eastAsia="宋体" w:cs="宋体"/>
          <w:color w:val="000000"/>
          <w:sz w:val="24"/>
          <w:lang w:val="en-US" w:eastAsia="zh-CN"/>
        </w:rPr>
        <w:t>关心员工职业健康，</w:t>
      </w:r>
      <w:r>
        <w:rPr>
          <w:rFonts w:hint="eastAsia" w:ascii="宋体" w:hAnsi="宋体" w:cs="宋体"/>
          <w:color w:val="000000"/>
          <w:sz w:val="24"/>
          <w:lang w:val="en-US" w:eastAsia="zh-CN"/>
        </w:rPr>
        <w:t>应按下列</w:t>
      </w:r>
      <w:r>
        <w:rPr>
          <w:rFonts w:hint="eastAsia" w:ascii="宋体" w:hAnsi="宋体" w:eastAsia="宋体" w:cs="宋体"/>
          <w:color w:val="000000"/>
          <w:sz w:val="24"/>
          <w:lang w:val="en-US" w:eastAsia="zh-CN"/>
        </w:rPr>
        <w:t>内容分别评分：</w:t>
      </w:r>
      <w:bookmarkEnd w:id="399"/>
    </w:p>
    <w:p w14:paraId="39A36699">
      <w:pPr>
        <w:wordWrap/>
        <w:spacing w:line="360" w:lineRule="auto"/>
        <w:ind w:firstLine="480" w:firstLineChars="200"/>
        <w:textAlignment w:val="auto"/>
        <w:rPr>
          <w:rFonts w:hint="eastAsia" w:ascii="宋体" w:hAnsi="宋体" w:eastAsia="宋体" w:cs="宋体"/>
          <w:color w:val="000000"/>
          <w:sz w:val="24"/>
          <w:highlight w:val="none"/>
          <w:lang w:val="en-US" w:eastAsia="zh-CN"/>
        </w:rPr>
      </w:pPr>
      <w:r>
        <w:rPr>
          <w:rFonts w:hint="eastAsia" w:ascii="宋体" w:hAnsi="宋体" w:eastAsia="宋体" w:cs="宋体"/>
          <w:color w:val="000000"/>
          <w:sz w:val="24"/>
          <w:highlight w:val="none"/>
          <w:lang w:val="en-US" w:eastAsia="zh-CN"/>
        </w:rPr>
        <w:t>1 按照标准对隧道内通风、降尘、降噪采取措施，确保作业环境符合职业健康要求；</w:t>
      </w:r>
    </w:p>
    <w:p w14:paraId="13F9681E">
      <w:pPr>
        <w:wordWrap/>
        <w:spacing w:line="360" w:lineRule="auto"/>
        <w:ind w:firstLine="480" w:firstLineChars="200"/>
        <w:textAlignment w:val="auto"/>
        <w:rPr>
          <w:rFonts w:hint="eastAsia" w:ascii="宋体" w:hAnsi="宋体" w:eastAsia="宋体" w:cs="宋体"/>
          <w:color w:val="000000"/>
          <w:sz w:val="24"/>
          <w:highlight w:val="none"/>
          <w:lang w:val="en-US" w:eastAsia="zh-CN"/>
        </w:rPr>
      </w:pPr>
      <w:r>
        <w:rPr>
          <w:rFonts w:hint="eastAsia" w:ascii="宋体" w:hAnsi="宋体" w:eastAsia="宋体" w:cs="宋体"/>
          <w:color w:val="000000"/>
          <w:sz w:val="24"/>
          <w:highlight w:val="none"/>
          <w:lang w:val="en-US" w:eastAsia="zh-CN"/>
        </w:rPr>
        <w:t>2 对长期从事隧道工程施工，接触粉尘、噪音的作业人员实施健康监测，定期进行职业健康检查；</w:t>
      </w:r>
    </w:p>
    <w:p w14:paraId="19DCA8C5">
      <w:pPr>
        <w:numPr>
          <w:ilvl w:val="0"/>
          <w:numId w:val="0"/>
        </w:numPr>
        <w:wordWrap/>
        <w:spacing w:line="360" w:lineRule="auto"/>
        <w:ind w:firstLine="480" w:firstLineChars="200"/>
        <w:textAlignment w:val="auto"/>
        <w:rPr>
          <w:rFonts w:hint="eastAsia" w:ascii="宋体" w:hAnsi="宋体" w:eastAsia="宋体" w:cs="宋体"/>
          <w:color w:val="000000"/>
          <w:sz w:val="24"/>
          <w:highlight w:val="none"/>
          <w:lang w:val="en-US" w:eastAsia="zh-CN"/>
        </w:rPr>
      </w:pPr>
      <w:r>
        <w:rPr>
          <w:rFonts w:hint="eastAsia" w:ascii="宋体" w:hAnsi="宋体" w:eastAsia="宋体" w:cs="宋体"/>
          <w:color w:val="000000"/>
          <w:sz w:val="24"/>
          <w:highlight w:val="none"/>
          <w:lang w:val="en-US" w:eastAsia="zh-CN"/>
        </w:rPr>
        <w:t>3 隧道工程施工满足作业条件，隧道内PM2.5浓度≤50μg/m³，噪声≤85dB(A)，每日连续接触振动时间不超过4小时，可配备智能可穿戴健康监测设备。</w:t>
      </w:r>
    </w:p>
    <w:p w14:paraId="25CDE132">
      <w:pPr>
        <w:wordWrap/>
        <w:spacing w:line="360" w:lineRule="auto"/>
        <w:jc w:val="left"/>
        <w:textAlignment w:val="auto"/>
        <w:outlineLvl w:val="9"/>
        <w:rPr>
          <w:rFonts w:hint="eastAsia" w:ascii="宋体" w:hAnsi="宋体" w:eastAsia="宋体" w:cs="宋体"/>
          <w:color w:val="000000"/>
          <w:sz w:val="24"/>
          <w:lang w:val="en-US" w:eastAsia="zh-CN"/>
        </w:rPr>
      </w:pPr>
      <w:bookmarkStart w:id="400" w:name="_Toc26937"/>
      <w:r>
        <w:rPr>
          <w:rFonts w:hint="eastAsia" w:ascii="宋体" w:hAnsi="宋体" w:cs="宋体"/>
          <w:color w:val="000000"/>
          <w:sz w:val="24"/>
          <w:lang w:eastAsia="zh-CN"/>
        </w:rPr>
        <w:t>B.2</w:t>
      </w:r>
      <w:r>
        <w:rPr>
          <w:rFonts w:hint="eastAsia" w:ascii="宋体" w:hAnsi="宋体" w:eastAsia="宋体" w:cs="宋体"/>
          <w:color w:val="000000"/>
          <w:sz w:val="24"/>
          <w:lang w:eastAsia="zh-CN"/>
        </w:rPr>
        <w:t>.</w:t>
      </w:r>
      <w:r>
        <w:rPr>
          <w:rFonts w:hint="eastAsia" w:ascii="宋体" w:hAnsi="宋体" w:cs="宋体"/>
          <w:color w:val="000000"/>
          <w:sz w:val="24"/>
          <w:lang w:val="en-US" w:eastAsia="zh-CN"/>
        </w:rPr>
        <w:t>10</w:t>
      </w:r>
      <w:r>
        <w:rPr>
          <w:rFonts w:hint="eastAsia" w:ascii="宋体" w:hAnsi="宋体" w:eastAsia="宋体" w:cs="宋体"/>
          <w:color w:val="000000"/>
          <w:sz w:val="24"/>
          <w:lang w:val="en-US" w:eastAsia="zh-CN"/>
        </w:rPr>
        <w:t xml:space="preserve"> 施工建造阶段，确保人员与生产安全，</w:t>
      </w:r>
      <w:r>
        <w:rPr>
          <w:rFonts w:hint="eastAsia" w:ascii="宋体" w:hAnsi="宋体" w:cs="宋体"/>
          <w:color w:val="000000"/>
          <w:sz w:val="24"/>
          <w:lang w:val="en-US" w:eastAsia="zh-CN"/>
        </w:rPr>
        <w:t>应按下列</w:t>
      </w:r>
      <w:r>
        <w:rPr>
          <w:rFonts w:hint="eastAsia" w:ascii="宋体" w:hAnsi="宋体" w:eastAsia="宋体" w:cs="宋体"/>
          <w:color w:val="000000"/>
          <w:sz w:val="24"/>
          <w:lang w:val="en-US" w:eastAsia="zh-CN"/>
        </w:rPr>
        <w:t>内容分别评价：</w:t>
      </w:r>
      <w:bookmarkEnd w:id="400"/>
    </w:p>
    <w:p w14:paraId="1D5324FD">
      <w:pPr>
        <w:wordWrap/>
        <w:spacing w:line="360" w:lineRule="auto"/>
        <w:ind w:firstLine="480" w:firstLineChars="200"/>
        <w:textAlignment w:val="auto"/>
        <w:rPr>
          <w:rFonts w:hint="eastAsia" w:ascii="宋体" w:hAnsi="宋体" w:eastAsia="宋体" w:cs="宋体"/>
          <w:color w:val="000000"/>
          <w:sz w:val="24"/>
          <w:highlight w:val="none"/>
          <w:lang w:val="en-US" w:eastAsia="zh-CN"/>
        </w:rPr>
      </w:pPr>
      <w:r>
        <w:rPr>
          <w:rFonts w:hint="eastAsia" w:ascii="宋体" w:hAnsi="宋体" w:eastAsia="宋体" w:cs="宋体"/>
          <w:color w:val="000000"/>
          <w:sz w:val="24"/>
          <w:highlight w:val="none"/>
          <w:lang w:val="en-US" w:eastAsia="zh-CN"/>
        </w:rPr>
        <w:t>1 识别施工中的危险源（如塌方、涌水），制定应急预案并定期演练，在突发异常变形或抢险时，减少对周围环境产生的重大影响；</w:t>
      </w:r>
    </w:p>
    <w:p w14:paraId="3EF78AFC">
      <w:pPr>
        <w:wordWrap/>
        <w:spacing w:line="360" w:lineRule="auto"/>
        <w:ind w:firstLine="480" w:firstLineChars="200"/>
        <w:textAlignment w:val="auto"/>
        <w:rPr>
          <w:rFonts w:hint="eastAsia" w:ascii="宋体" w:hAnsi="宋体" w:eastAsia="宋体" w:cs="宋体"/>
          <w:color w:val="000000"/>
          <w:sz w:val="24"/>
          <w:highlight w:val="none"/>
          <w:lang w:val="en-US" w:eastAsia="zh-CN"/>
        </w:rPr>
      </w:pPr>
      <w:r>
        <w:rPr>
          <w:rFonts w:hint="eastAsia" w:ascii="宋体" w:hAnsi="宋体" w:eastAsia="宋体" w:cs="宋体"/>
          <w:color w:val="000000"/>
          <w:sz w:val="24"/>
          <w:highlight w:val="none"/>
          <w:lang w:val="en-US" w:eastAsia="zh-CN"/>
        </w:rPr>
        <w:t>2 制定盾构掘进过程中的安全操作规程，包括设备检查、紧急停机程序、有毒有害气体监测等；</w:t>
      </w:r>
    </w:p>
    <w:p w14:paraId="2C288430">
      <w:pPr>
        <w:wordWrap/>
        <w:spacing w:line="360" w:lineRule="auto"/>
        <w:ind w:firstLine="480" w:firstLineChars="200"/>
        <w:textAlignment w:val="auto"/>
        <w:rPr>
          <w:rFonts w:hint="eastAsia" w:ascii="宋体" w:hAnsi="宋体" w:eastAsia="宋体" w:cs="宋体"/>
          <w:color w:val="000000"/>
          <w:sz w:val="24"/>
          <w:highlight w:val="none"/>
          <w:lang w:val="en-US" w:eastAsia="zh-CN"/>
        </w:rPr>
      </w:pPr>
      <w:r>
        <w:rPr>
          <w:rFonts w:hint="eastAsia" w:ascii="宋体" w:hAnsi="宋体" w:eastAsia="宋体" w:cs="宋体"/>
          <w:color w:val="000000"/>
          <w:sz w:val="24"/>
          <w:highlight w:val="none"/>
          <w:lang w:val="en-US" w:eastAsia="zh-CN"/>
        </w:rPr>
        <w:t>3 隧道施工范围内有足够照明，在交通要道、工作面和设备集中处设置安全照明；</w:t>
      </w:r>
    </w:p>
    <w:p w14:paraId="664CAE64">
      <w:pPr>
        <w:wordWrap/>
        <w:spacing w:line="360" w:lineRule="auto"/>
        <w:ind w:firstLine="480" w:firstLineChars="200"/>
        <w:textAlignment w:val="auto"/>
        <w:rPr>
          <w:rFonts w:hint="eastAsia" w:ascii="宋体" w:hAnsi="宋体" w:eastAsia="宋体" w:cs="宋体"/>
          <w:color w:val="000000"/>
          <w:sz w:val="24"/>
          <w:highlight w:val="none"/>
          <w:lang w:val="en-US" w:eastAsia="zh-CN"/>
        </w:rPr>
      </w:pPr>
      <w:r>
        <w:rPr>
          <w:rFonts w:hint="eastAsia" w:ascii="宋体" w:hAnsi="宋体" w:eastAsia="宋体" w:cs="宋体"/>
          <w:color w:val="000000"/>
          <w:sz w:val="24"/>
          <w:highlight w:val="none"/>
          <w:lang w:val="en-US" w:eastAsia="zh-CN"/>
        </w:rPr>
        <w:t>4 盾构机人行通道和出入口备有逃生通道、通道警示系统、紧急指示牌，人行通道、作业平台上方有高空坠落防护措施；</w:t>
      </w:r>
    </w:p>
    <w:p w14:paraId="077C5AE0">
      <w:pPr>
        <w:wordWrap/>
        <w:spacing w:line="360" w:lineRule="auto"/>
        <w:ind w:firstLine="480" w:firstLineChars="200"/>
        <w:textAlignment w:val="auto"/>
        <w:rPr>
          <w:rFonts w:hint="eastAsia" w:ascii="宋体" w:hAnsi="宋体" w:eastAsia="宋体" w:cs="宋体"/>
          <w:color w:val="000000"/>
          <w:sz w:val="24"/>
          <w:highlight w:val="none"/>
          <w:lang w:val="en-US" w:eastAsia="zh-CN"/>
        </w:rPr>
      </w:pPr>
      <w:r>
        <w:rPr>
          <w:rFonts w:hint="eastAsia" w:ascii="宋体" w:hAnsi="宋体" w:eastAsia="宋体" w:cs="宋体"/>
          <w:color w:val="000000"/>
          <w:sz w:val="24"/>
          <w:highlight w:val="none"/>
          <w:lang w:val="en-US" w:eastAsia="zh-CN"/>
        </w:rPr>
        <w:t>5 汛期施工时，加强地下水位和土体含水率观测，加密施工监测。</w:t>
      </w:r>
    </w:p>
    <w:p w14:paraId="3C83FA75">
      <w:pPr>
        <w:wordWrap/>
        <w:spacing w:line="360" w:lineRule="auto"/>
        <w:jc w:val="left"/>
        <w:textAlignment w:val="auto"/>
        <w:outlineLvl w:val="9"/>
        <w:rPr>
          <w:rFonts w:hint="eastAsia" w:ascii="宋体" w:hAnsi="宋体" w:eastAsia="宋体" w:cs="宋体"/>
          <w:color w:val="000000"/>
          <w:sz w:val="24"/>
          <w:lang w:val="en-US" w:eastAsia="zh-CN"/>
        </w:rPr>
      </w:pPr>
      <w:bookmarkStart w:id="401" w:name="_Toc10001"/>
      <w:r>
        <w:rPr>
          <w:rFonts w:hint="eastAsia" w:ascii="宋体" w:hAnsi="宋体" w:cs="宋体"/>
          <w:color w:val="000000"/>
          <w:sz w:val="24"/>
          <w:lang w:eastAsia="zh-CN"/>
        </w:rPr>
        <w:t>B.2</w:t>
      </w:r>
      <w:r>
        <w:rPr>
          <w:rFonts w:hint="eastAsia" w:ascii="宋体" w:hAnsi="宋体" w:eastAsia="宋体" w:cs="宋体"/>
          <w:color w:val="000000"/>
          <w:sz w:val="24"/>
          <w:lang w:eastAsia="zh-CN"/>
        </w:rPr>
        <w:t>.</w:t>
      </w:r>
      <w:r>
        <w:rPr>
          <w:rFonts w:hint="eastAsia" w:ascii="宋体" w:hAnsi="宋体" w:cs="宋体"/>
          <w:color w:val="000000"/>
          <w:sz w:val="24"/>
          <w:lang w:val="en-US" w:eastAsia="zh-CN"/>
        </w:rPr>
        <w:t>11</w:t>
      </w:r>
      <w:r>
        <w:rPr>
          <w:rFonts w:hint="eastAsia" w:ascii="宋体" w:hAnsi="宋体" w:eastAsia="宋体" w:cs="宋体"/>
          <w:color w:val="000000"/>
          <w:sz w:val="24"/>
          <w:lang w:val="en-US" w:eastAsia="zh-CN"/>
        </w:rPr>
        <w:t xml:space="preserve"> </w:t>
      </w:r>
      <w:r>
        <w:rPr>
          <w:rFonts w:hint="eastAsia" w:eastAsia="宋体"/>
          <w:color w:val="auto"/>
          <w:sz w:val="24"/>
          <w:szCs w:val="24"/>
          <w:lang w:val="en-US" w:eastAsia="zh-CN"/>
        </w:rPr>
        <w:t>施工建造阶段，</w:t>
      </w:r>
      <w:r>
        <w:rPr>
          <w:rFonts w:hint="eastAsia" w:ascii="宋体" w:hAnsi="宋体" w:eastAsia="宋体" w:cs="宋体"/>
          <w:color w:val="000000"/>
          <w:sz w:val="24"/>
          <w:lang w:val="en-US" w:eastAsia="zh-CN"/>
        </w:rPr>
        <w:t>关注质量标准，保障工程长期可靠性，</w:t>
      </w:r>
      <w:r>
        <w:rPr>
          <w:rFonts w:hint="eastAsia" w:ascii="宋体" w:hAnsi="宋体" w:cs="宋体"/>
          <w:color w:val="000000"/>
          <w:sz w:val="24"/>
          <w:lang w:val="en-US" w:eastAsia="zh-CN"/>
        </w:rPr>
        <w:t>应按下列</w:t>
      </w:r>
      <w:r>
        <w:rPr>
          <w:rFonts w:hint="eastAsia" w:ascii="宋体" w:hAnsi="宋体" w:eastAsia="宋体" w:cs="宋体"/>
          <w:color w:val="000000"/>
          <w:sz w:val="24"/>
          <w:lang w:val="en-US" w:eastAsia="zh-CN"/>
        </w:rPr>
        <w:t>分别评价：</w:t>
      </w:r>
      <w:bookmarkEnd w:id="401"/>
    </w:p>
    <w:p w14:paraId="04E2B03B">
      <w:pPr>
        <w:wordWrap/>
        <w:spacing w:line="360" w:lineRule="auto"/>
        <w:ind w:firstLine="480" w:firstLineChars="200"/>
        <w:textAlignment w:val="auto"/>
        <w:rPr>
          <w:rFonts w:hint="eastAsia" w:ascii="宋体" w:hAnsi="宋体" w:eastAsia="宋体" w:cs="宋体"/>
          <w:color w:val="000000"/>
          <w:sz w:val="24"/>
          <w:highlight w:val="none"/>
          <w:lang w:val="en-US" w:eastAsia="zh-CN"/>
        </w:rPr>
      </w:pPr>
      <w:r>
        <w:rPr>
          <w:rFonts w:hint="eastAsia" w:ascii="宋体" w:hAnsi="宋体" w:eastAsia="宋体" w:cs="宋体"/>
          <w:color w:val="000000"/>
          <w:sz w:val="24"/>
          <w:highlight w:val="none"/>
          <w:lang w:val="en-US" w:eastAsia="zh-CN"/>
        </w:rPr>
        <w:t>1 管片、注浆材料等关键材料的质量标准，以及拼装、注浆等工艺的技术参数等，兼顾安全、环保与可操作性，并结合地质勘查与实施监测动态调整；</w:t>
      </w:r>
    </w:p>
    <w:p w14:paraId="00BC8001">
      <w:pPr>
        <w:wordWrap/>
        <w:spacing w:line="360" w:lineRule="auto"/>
        <w:ind w:firstLine="480" w:firstLineChars="200"/>
        <w:textAlignment w:val="auto"/>
        <w:rPr>
          <w:rFonts w:hint="eastAsia" w:ascii="宋体" w:hAnsi="宋体" w:eastAsia="宋体" w:cs="宋体"/>
          <w:color w:val="000000"/>
          <w:sz w:val="24"/>
          <w:highlight w:val="none"/>
          <w:lang w:val="en-US" w:eastAsia="zh-CN"/>
        </w:rPr>
      </w:pPr>
      <w:r>
        <w:rPr>
          <w:rFonts w:hint="eastAsia" w:ascii="宋体" w:hAnsi="宋体" w:eastAsia="宋体" w:cs="宋体"/>
          <w:color w:val="000000"/>
          <w:sz w:val="24"/>
          <w:highlight w:val="none"/>
          <w:lang w:val="en-US" w:eastAsia="zh-CN"/>
        </w:rPr>
        <w:t>2 明确分阶段验收要求，减少返工和资源浪费，保障工程长期可靠性。</w:t>
      </w:r>
    </w:p>
    <w:p w14:paraId="6D562F46">
      <w:pPr>
        <w:wordWrap/>
        <w:spacing w:line="360" w:lineRule="auto"/>
        <w:jc w:val="left"/>
        <w:textAlignment w:val="auto"/>
        <w:outlineLvl w:val="9"/>
        <w:rPr>
          <w:rFonts w:hint="eastAsia" w:ascii="宋体" w:hAnsi="宋体" w:eastAsia="宋体" w:cs="宋体"/>
          <w:color w:val="000000"/>
          <w:sz w:val="24"/>
          <w:lang w:val="en-US" w:eastAsia="zh-CN"/>
        </w:rPr>
      </w:pPr>
      <w:bookmarkStart w:id="402" w:name="_Toc4242"/>
      <w:r>
        <w:rPr>
          <w:rFonts w:hint="eastAsia" w:ascii="宋体" w:hAnsi="宋体" w:cs="宋体"/>
          <w:color w:val="000000"/>
          <w:sz w:val="24"/>
          <w:lang w:eastAsia="zh-CN"/>
        </w:rPr>
        <w:t>B.2</w:t>
      </w:r>
      <w:r>
        <w:rPr>
          <w:rFonts w:hint="eastAsia" w:ascii="宋体" w:hAnsi="宋体" w:eastAsia="宋体" w:cs="宋体"/>
          <w:color w:val="000000"/>
          <w:sz w:val="24"/>
          <w:lang w:eastAsia="zh-CN"/>
        </w:rPr>
        <w:t>.</w:t>
      </w:r>
      <w:r>
        <w:rPr>
          <w:rFonts w:hint="eastAsia" w:ascii="宋体" w:hAnsi="宋体" w:cs="宋体"/>
          <w:color w:val="000000"/>
          <w:sz w:val="24"/>
          <w:lang w:val="en-US" w:eastAsia="zh-CN"/>
        </w:rPr>
        <w:t>12</w:t>
      </w:r>
      <w:r>
        <w:rPr>
          <w:rFonts w:hint="eastAsia" w:ascii="宋体" w:hAnsi="宋体" w:eastAsia="宋体" w:cs="宋体"/>
          <w:color w:val="000000"/>
          <w:sz w:val="24"/>
          <w:lang w:val="en-US" w:eastAsia="zh-CN"/>
        </w:rPr>
        <w:t xml:space="preserve"> 施工建造阶段，减少对周围社区的影响，保障社区安全，</w:t>
      </w:r>
      <w:r>
        <w:rPr>
          <w:rFonts w:hint="eastAsia" w:ascii="宋体" w:hAnsi="宋体" w:cs="宋体"/>
          <w:color w:val="000000"/>
          <w:sz w:val="24"/>
          <w:lang w:val="en-US" w:eastAsia="zh-CN"/>
        </w:rPr>
        <w:t>应按下列</w:t>
      </w:r>
      <w:r>
        <w:rPr>
          <w:rFonts w:hint="eastAsia" w:ascii="宋体" w:hAnsi="宋体" w:eastAsia="宋体" w:cs="宋体"/>
          <w:color w:val="000000"/>
          <w:sz w:val="24"/>
          <w:lang w:val="en-US" w:eastAsia="zh-CN"/>
        </w:rPr>
        <w:t>分别评价：</w:t>
      </w:r>
      <w:bookmarkEnd w:id="402"/>
    </w:p>
    <w:p w14:paraId="495021C4">
      <w:pPr>
        <w:wordWrap/>
        <w:spacing w:line="360" w:lineRule="auto"/>
        <w:ind w:firstLine="480" w:firstLineChars="200"/>
        <w:textAlignment w:val="auto"/>
        <w:rPr>
          <w:rFonts w:hint="eastAsia" w:ascii="宋体" w:hAnsi="宋体" w:eastAsia="宋体" w:cs="宋体"/>
          <w:color w:val="000000"/>
          <w:sz w:val="24"/>
          <w:highlight w:val="none"/>
          <w:lang w:val="en-US" w:eastAsia="zh-CN"/>
        </w:rPr>
      </w:pPr>
      <w:r>
        <w:rPr>
          <w:rFonts w:hint="eastAsia" w:ascii="宋体" w:hAnsi="宋体" w:eastAsia="宋体" w:cs="宋体"/>
          <w:color w:val="000000"/>
          <w:sz w:val="24"/>
          <w:highlight w:val="none"/>
          <w:lang w:val="en-US" w:eastAsia="zh-CN"/>
        </w:rPr>
        <w:t>1 采取减振、降噪、防尘措施，降低施工对周边居民的影响；</w:t>
      </w:r>
    </w:p>
    <w:p w14:paraId="222C3B24">
      <w:pPr>
        <w:wordWrap/>
        <w:spacing w:line="360" w:lineRule="auto"/>
        <w:ind w:firstLine="480" w:firstLineChars="200"/>
        <w:textAlignment w:val="auto"/>
        <w:rPr>
          <w:rFonts w:hint="eastAsia" w:ascii="宋体" w:hAnsi="宋体" w:eastAsia="宋体" w:cs="宋体"/>
          <w:color w:val="000000"/>
          <w:sz w:val="24"/>
          <w:highlight w:val="none"/>
          <w:lang w:val="en-US" w:eastAsia="zh-CN"/>
        </w:rPr>
      </w:pPr>
      <w:r>
        <w:rPr>
          <w:rFonts w:hint="eastAsia" w:ascii="宋体" w:hAnsi="宋体" w:eastAsia="宋体" w:cs="宋体"/>
          <w:color w:val="000000"/>
          <w:sz w:val="24"/>
          <w:highlight w:val="none"/>
          <w:lang w:val="en-US" w:eastAsia="zh-CN"/>
        </w:rPr>
        <w:t>2 施工后恢复周边道路、绿化和地下管线，减少对社区功能的破坏；</w:t>
      </w:r>
    </w:p>
    <w:p w14:paraId="6794B8D4">
      <w:pPr>
        <w:wordWrap/>
        <w:spacing w:line="360" w:lineRule="auto"/>
        <w:ind w:firstLine="480" w:firstLineChars="200"/>
        <w:textAlignment w:val="auto"/>
        <w:rPr>
          <w:rFonts w:hint="eastAsia" w:ascii="宋体" w:hAnsi="宋体" w:eastAsia="宋体" w:cs="宋体"/>
          <w:color w:val="000000"/>
          <w:sz w:val="24"/>
          <w:highlight w:val="none"/>
          <w:lang w:val="en-US" w:eastAsia="zh-CN"/>
        </w:rPr>
      </w:pPr>
      <w:r>
        <w:rPr>
          <w:rFonts w:hint="eastAsia" w:ascii="宋体" w:hAnsi="宋体" w:eastAsia="宋体" w:cs="宋体"/>
          <w:color w:val="000000"/>
          <w:sz w:val="24"/>
          <w:highlight w:val="none"/>
          <w:lang w:val="en-US" w:eastAsia="zh-CN"/>
        </w:rPr>
        <w:t>3 盾构法隧道工程施工期间，对重要或有特殊要求的建(构)筑物，及时采取注浆、加固、支护等技术措施，保证周围邻近建(构)筑物、地下管线、道路及轨道交通线路等安全。</w:t>
      </w:r>
    </w:p>
    <w:p w14:paraId="07E3C682">
      <w:pPr>
        <w:wordWrap/>
        <w:spacing w:line="360" w:lineRule="auto"/>
        <w:jc w:val="left"/>
        <w:textAlignment w:val="auto"/>
        <w:outlineLvl w:val="9"/>
        <w:rPr>
          <w:rFonts w:hint="eastAsia" w:ascii="宋体" w:hAnsi="宋体" w:eastAsia="宋体" w:cs="宋体"/>
          <w:color w:val="000000"/>
          <w:sz w:val="24"/>
          <w:lang w:eastAsia="zh-CN"/>
        </w:rPr>
      </w:pPr>
      <w:bookmarkStart w:id="403" w:name="_Toc22885"/>
      <w:r>
        <w:rPr>
          <w:rFonts w:hint="eastAsia" w:ascii="宋体" w:hAnsi="宋体" w:cs="宋体"/>
          <w:color w:val="000000"/>
          <w:sz w:val="24"/>
          <w:lang w:eastAsia="zh-CN"/>
        </w:rPr>
        <w:t>B.2</w:t>
      </w:r>
      <w:r>
        <w:rPr>
          <w:rFonts w:hint="eastAsia" w:ascii="宋体" w:hAnsi="宋体" w:eastAsia="宋体" w:cs="宋体"/>
          <w:color w:val="000000"/>
          <w:sz w:val="24"/>
          <w:lang w:eastAsia="zh-CN"/>
        </w:rPr>
        <w:t>.</w:t>
      </w:r>
      <w:r>
        <w:rPr>
          <w:rFonts w:hint="eastAsia" w:ascii="宋体" w:hAnsi="宋体" w:cs="宋体"/>
          <w:color w:val="000000"/>
          <w:sz w:val="24"/>
          <w:lang w:val="en-US" w:eastAsia="zh-CN"/>
        </w:rPr>
        <w:t>13</w:t>
      </w:r>
      <w:r>
        <w:rPr>
          <w:rFonts w:hint="eastAsia" w:ascii="宋体" w:hAnsi="宋体" w:eastAsia="宋体" w:cs="宋体"/>
          <w:color w:val="000000"/>
          <w:sz w:val="24"/>
          <w:lang w:val="en-US" w:eastAsia="zh-CN"/>
        </w:rPr>
        <w:t xml:space="preserve"> </w:t>
      </w:r>
      <w:r>
        <w:rPr>
          <w:rFonts w:hint="eastAsia" w:ascii="宋体" w:hAnsi="宋体" w:eastAsia="宋体" w:cs="宋体"/>
          <w:color w:val="000000"/>
          <w:sz w:val="24"/>
          <w:highlight w:val="none"/>
          <w:lang w:val="en-US" w:eastAsia="zh-CN"/>
        </w:rPr>
        <w:t>施工建造阶段，</w:t>
      </w:r>
      <w:r>
        <w:rPr>
          <w:rFonts w:hint="eastAsia" w:ascii="宋体" w:hAnsi="宋体" w:eastAsia="宋体" w:cs="宋体"/>
          <w:color w:val="000000"/>
          <w:sz w:val="24"/>
          <w:lang w:val="en-US" w:eastAsia="zh-CN"/>
        </w:rPr>
        <w:t>提升项目经济可持续性，</w:t>
      </w:r>
      <w:r>
        <w:rPr>
          <w:rFonts w:hint="eastAsia" w:ascii="宋体" w:hAnsi="宋体" w:cs="宋体"/>
          <w:color w:val="000000"/>
          <w:sz w:val="24"/>
          <w:lang w:val="en-US" w:eastAsia="zh-CN"/>
        </w:rPr>
        <w:t>应按下列</w:t>
      </w:r>
      <w:r>
        <w:rPr>
          <w:rFonts w:hint="eastAsia" w:ascii="宋体" w:hAnsi="宋体" w:eastAsia="宋体" w:cs="宋体"/>
          <w:color w:val="000000"/>
          <w:sz w:val="24"/>
          <w:lang w:val="en-US" w:eastAsia="zh-CN"/>
        </w:rPr>
        <w:t>分别评价：</w:t>
      </w:r>
      <w:bookmarkEnd w:id="403"/>
      <w:r>
        <w:rPr>
          <w:rFonts w:hint="eastAsia" w:ascii="宋体" w:hAnsi="宋体" w:eastAsia="宋体" w:cs="宋体"/>
          <w:color w:val="000000"/>
          <w:sz w:val="24"/>
          <w:lang w:val="en-US" w:eastAsia="zh-CN"/>
        </w:rPr>
        <w:t xml:space="preserve"> </w:t>
      </w:r>
    </w:p>
    <w:p w14:paraId="61C40FC5">
      <w:pPr>
        <w:wordWrap/>
        <w:spacing w:line="360" w:lineRule="auto"/>
        <w:ind w:firstLine="480" w:firstLineChars="200"/>
        <w:textAlignment w:val="auto"/>
        <w:rPr>
          <w:rFonts w:hint="eastAsia" w:ascii="宋体" w:hAnsi="宋体" w:eastAsia="宋体" w:cs="宋体"/>
          <w:color w:val="000000"/>
          <w:sz w:val="24"/>
          <w:highlight w:val="none"/>
          <w:lang w:val="en-US" w:eastAsia="zh-CN"/>
        </w:rPr>
      </w:pPr>
      <w:r>
        <w:rPr>
          <w:rFonts w:hint="eastAsia" w:ascii="宋体" w:hAnsi="宋体" w:eastAsia="宋体" w:cs="宋体"/>
          <w:color w:val="000000"/>
          <w:sz w:val="24"/>
          <w:highlight w:val="none"/>
          <w:lang w:val="en-US" w:eastAsia="zh-CN"/>
        </w:rPr>
        <w:t>1 通过优化盾构掘进参数（如推进速度、刀盘扭矩）减少能耗与材料浪费，以较少的刀具消耗实现较高的掘进效率；</w:t>
      </w:r>
    </w:p>
    <w:p w14:paraId="399DD6E7">
      <w:pPr>
        <w:wordWrap/>
        <w:spacing w:line="360" w:lineRule="auto"/>
        <w:ind w:firstLine="480" w:firstLineChars="200"/>
        <w:textAlignment w:val="auto"/>
        <w:rPr>
          <w:rFonts w:hint="eastAsia" w:ascii="宋体" w:hAnsi="宋体" w:eastAsia="宋体" w:cs="宋体"/>
          <w:color w:val="000000"/>
          <w:sz w:val="24"/>
          <w:highlight w:val="none"/>
          <w:lang w:val="en-US" w:eastAsia="zh-CN"/>
        </w:rPr>
      </w:pPr>
      <w:r>
        <w:rPr>
          <w:rFonts w:hint="eastAsia" w:ascii="宋体" w:hAnsi="宋体" w:eastAsia="宋体" w:cs="宋体"/>
          <w:color w:val="000000"/>
          <w:sz w:val="24"/>
          <w:highlight w:val="none"/>
          <w:lang w:val="en-US" w:eastAsia="zh-CN"/>
        </w:rPr>
        <w:t>2 合理规划施工周期，避免因延误或返工导致的额外成本；</w:t>
      </w:r>
    </w:p>
    <w:p w14:paraId="774A29B1">
      <w:pPr>
        <w:wordWrap/>
        <w:spacing w:line="360" w:lineRule="auto"/>
        <w:ind w:firstLine="480" w:firstLineChars="200"/>
        <w:textAlignment w:val="auto"/>
        <w:rPr>
          <w:rFonts w:hint="eastAsia" w:ascii="宋体" w:hAnsi="宋体" w:eastAsia="宋体" w:cs="宋体"/>
          <w:color w:val="000000"/>
          <w:sz w:val="24"/>
          <w:highlight w:val="none"/>
          <w:lang w:val="en-US" w:eastAsia="zh-CN"/>
        </w:rPr>
      </w:pPr>
      <w:r>
        <w:rPr>
          <w:rFonts w:hint="eastAsia" w:ascii="宋体" w:hAnsi="宋体" w:eastAsia="宋体" w:cs="宋体"/>
          <w:color w:val="000000"/>
          <w:sz w:val="24"/>
          <w:highlight w:val="none"/>
          <w:lang w:val="en-US" w:eastAsia="zh-CN"/>
        </w:rPr>
        <w:t>3 采用成熟技术和设备，平衡初期投资与长期维护成本，提升项目经济可持续性；</w:t>
      </w:r>
    </w:p>
    <w:p w14:paraId="732E59F8">
      <w:pPr>
        <w:wordWrap/>
        <w:spacing w:line="360" w:lineRule="auto"/>
        <w:ind w:firstLine="480" w:firstLineChars="200"/>
        <w:textAlignment w:val="auto"/>
        <w:rPr>
          <w:rFonts w:hint="eastAsia" w:ascii="宋体" w:hAnsi="宋体" w:eastAsia="宋体" w:cs="宋体"/>
          <w:color w:val="000000"/>
          <w:sz w:val="24"/>
          <w:highlight w:val="none"/>
          <w:lang w:val="en-US" w:eastAsia="zh-CN"/>
        </w:rPr>
      </w:pPr>
      <w:r>
        <w:rPr>
          <w:rFonts w:hint="eastAsia" w:ascii="宋体" w:hAnsi="宋体" w:eastAsia="宋体" w:cs="宋体"/>
          <w:color w:val="000000"/>
          <w:sz w:val="24"/>
          <w:highlight w:val="none"/>
          <w:lang w:val="en-US" w:eastAsia="zh-CN"/>
        </w:rPr>
        <w:t>4 根据工程设计文件、地质勘察资料、周边环境信息等，确定盾构机类型，并对盾构机进行适应性、可靠性评估。</w:t>
      </w:r>
    </w:p>
    <w:p w14:paraId="6B601FB4">
      <w:pPr>
        <w:wordWrap/>
        <w:spacing w:line="360" w:lineRule="auto"/>
        <w:jc w:val="left"/>
        <w:textAlignment w:val="auto"/>
        <w:outlineLvl w:val="9"/>
        <w:rPr>
          <w:rFonts w:hint="eastAsia" w:ascii="宋体" w:hAnsi="宋体" w:eastAsia="宋体" w:cs="宋体"/>
          <w:color w:val="000000"/>
          <w:sz w:val="24"/>
          <w:lang w:val="en-US" w:eastAsia="zh-CN"/>
        </w:rPr>
      </w:pPr>
      <w:bookmarkStart w:id="404" w:name="_Toc30940"/>
      <w:r>
        <w:rPr>
          <w:rFonts w:hint="eastAsia" w:ascii="宋体" w:hAnsi="宋体" w:cs="宋体"/>
          <w:color w:val="000000"/>
          <w:sz w:val="24"/>
          <w:lang w:eastAsia="zh-CN"/>
        </w:rPr>
        <w:t>B.2</w:t>
      </w:r>
      <w:r>
        <w:rPr>
          <w:rFonts w:hint="eastAsia" w:ascii="宋体" w:hAnsi="宋体" w:eastAsia="宋体" w:cs="宋体"/>
          <w:color w:val="000000"/>
          <w:sz w:val="24"/>
          <w:lang w:eastAsia="zh-CN"/>
        </w:rPr>
        <w:t>.</w:t>
      </w:r>
      <w:r>
        <w:rPr>
          <w:rFonts w:hint="eastAsia" w:ascii="宋体" w:hAnsi="宋体" w:cs="宋体"/>
          <w:color w:val="000000"/>
          <w:sz w:val="24"/>
          <w:lang w:val="en-US" w:eastAsia="zh-CN"/>
        </w:rPr>
        <w:t>14</w:t>
      </w:r>
      <w:r>
        <w:rPr>
          <w:rFonts w:hint="eastAsia" w:ascii="宋体" w:hAnsi="宋体" w:eastAsia="宋体" w:cs="宋体"/>
          <w:color w:val="000000"/>
          <w:sz w:val="24"/>
          <w:lang w:val="en-US" w:eastAsia="zh-CN"/>
        </w:rPr>
        <w:t xml:space="preserve"> 施工建造阶段，项目编制施工组织设计和施工技术方案，</w:t>
      </w:r>
      <w:r>
        <w:rPr>
          <w:rFonts w:hint="eastAsia" w:ascii="宋体" w:hAnsi="宋体" w:cs="宋体"/>
          <w:color w:val="000000"/>
          <w:sz w:val="24"/>
          <w:lang w:val="en-US" w:eastAsia="zh-CN"/>
        </w:rPr>
        <w:t>应按下列</w:t>
      </w:r>
      <w:r>
        <w:rPr>
          <w:rFonts w:hint="eastAsia" w:ascii="宋体" w:hAnsi="宋体" w:eastAsia="宋体" w:cs="宋体"/>
          <w:color w:val="000000"/>
          <w:sz w:val="24"/>
          <w:lang w:val="en-US" w:eastAsia="zh-CN"/>
        </w:rPr>
        <w:t>分别评价：</w:t>
      </w:r>
      <w:bookmarkEnd w:id="404"/>
    </w:p>
    <w:p w14:paraId="7DAEC42D">
      <w:pPr>
        <w:wordWrap/>
        <w:spacing w:line="360" w:lineRule="auto"/>
        <w:ind w:firstLine="480" w:firstLineChars="200"/>
        <w:textAlignment w:val="auto"/>
        <w:rPr>
          <w:rFonts w:hint="eastAsia" w:ascii="宋体" w:hAnsi="宋体" w:eastAsia="宋体" w:cs="宋体"/>
          <w:color w:val="000000"/>
          <w:sz w:val="24"/>
          <w:highlight w:val="none"/>
          <w:lang w:val="en-US" w:eastAsia="zh-CN"/>
        </w:rPr>
      </w:pPr>
      <w:r>
        <w:rPr>
          <w:rFonts w:hint="eastAsia" w:ascii="宋体" w:hAnsi="宋体" w:eastAsia="宋体" w:cs="宋体"/>
          <w:color w:val="000000"/>
          <w:sz w:val="24"/>
          <w:highlight w:val="none"/>
          <w:lang w:val="en-US" w:eastAsia="zh-CN"/>
        </w:rPr>
        <w:t>1 有经审查批准的施工组织设计和施工技术方案，并能在施工过程中有效运行；</w:t>
      </w:r>
    </w:p>
    <w:p w14:paraId="00E99F30">
      <w:pPr>
        <w:wordWrap/>
        <w:spacing w:line="360" w:lineRule="auto"/>
        <w:ind w:firstLine="480" w:firstLineChars="200"/>
        <w:textAlignment w:val="auto"/>
        <w:rPr>
          <w:rFonts w:hint="eastAsia" w:ascii="宋体" w:hAnsi="宋体" w:eastAsia="宋体" w:cs="宋体"/>
          <w:color w:val="000000"/>
          <w:sz w:val="24"/>
          <w:highlight w:val="none"/>
          <w:lang w:val="en-US" w:eastAsia="zh-CN"/>
        </w:rPr>
      </w:pPr>
      <w:r>
        <w:rPr>
          <w:rFonts w:hint="eastAsia" w:ascii="宋体" w:hAnsi="宋体" w:eastAsia="宋体" w:cs="宋体"/>
          <w:color w:val="000000"/>
          <w:sz w:val="24"/>
          <w:highlight w:val="none"/>
          <w:lang w:val="en-US" w:eastAsia="zh-CN"/>
        </w:rPr>
        <w:t>2 涉及隧道结构安全、人身安全和环境保护的内容，在施工组织设计和施工技术方案中有明确的规定和相应的措施；</w:t>
      </w:r>
    </w:p>
    <w:p w14:paraId="10E95E0B">
      <w:pPr>
        <w:wordWrap/>
        <w:spacing w:line="360" w:lineRule="auto"/>
        <w:ind w:firstLine="480" w:firstLineChars="200"/>
        <w:textAlignment w:val="auto"/>
        <w:rPr>
          <w:rFonts w:hint="eastAsia" w:ascii="宋体" w:hAnsi="宋体" w:eastAsia="宋体" w:cs="宋体"/>
          <w:color w:val="000000"/>
          <w:sz w:val="24"/>
          <w:highlight w:val="none"/>
          <w:lang w:val="en-US" w:eastAsia="zh-CN"/>
        </w:rPr>
      </w:pPr>
      <w:r>
        <w:rPr>
          <w:rFonts w:hint="eastAsia" w:ascii="宋体" w:hAnsi="宋体" w:eastAsia="宋体" w:cs="宋体"/>
          <w:color w:val="000000"/>
          <w:sz w:val="24"/>
          <w:highlight w:val="none"/>
          <w:lang w:val="en-US" w:eastAsia="zh-CN"/>
        </w:rPr>
        <w:t>3 制定标准化作业流程（如盾构始发/接收、管片拼装等），并强调对施工方案的动态优化和审批制度。</w:t>
      </w:r>
    </w:p>
    <w:p w14:paraId="74D7E55E">
      <w:pPr>
        <w:wordWrap/>
        <w:spacing w:line="360" w:lineRule="auto"/>
        <w:jc w:val="left"/>
        <w:textAlignment w:val="auto"/>
        <w:outlineLvl w:val="9"/>
        <w:rPr>
          <w:rFonts w:hint="eastAsia" w:ascii="宋体" w:hAnsi="宋体" w:eastAsia="宋体" w:cs="宋体"/>
          <w:color w:val="000000"/>
          <w:sz w:val="24"/>
          <w:lang w:val="en-US" w:eastAsia="zh-CN"/>
        </w:rPr>
      </w:pPr>
      <w:bookmarkStart w:id="405" w:name="_Toc14244"/>
      <w:r>
        <w:rPr>
          <w:rFonts w:hint="eastAsia" w:ascii="宋体" w:hAnsi="宋体" w:cs="宋体"/>
          <w:color w:val="000000"/>
          <w:sz w:val="24"/>
          <w:lang w:eastAsia="zh-CN"/>
        </w:rPr>
        <w:t>B.2</w:t>
      </w:r>
      <w:r>
        <w:rPr>
          <w:rFonts w:hint="eastAsia" w:ascii="宋体" w:hAnsi="宋体" w:eastAsia="宋体" w:cs="宋体"/>
          <w:color w:val="000000"/>
          <w:sz w:val="24"/>
          <w:lang w:eastAsia="zh-CN"/>
        </w:rPr>
        <w:t>.</w:t>
      </w:r>
      <w:r>
        <w:rPr>
          <w:rFonts w:hint="eastAsia" w:ascii="宋体" w:hAnsi="宋体" w:cs="宋体"/>
          <w:color w:val="000000"/>
          <w:sz w:val="24"/>
          <w:lang w:val="en-US" w:eastAsia="zh-CN"/>
        </w:rPr>
        <w:t>15</w:t>
      </w:r>
      <w:r>
        <w:rPr>
          <w:rFonts w:hint="eastAsia" w:ascii="宋体" w:hAnsi="宋体" w:eastAsia="宋体" w:cs="宋体"/>
          <w:color w:val="000000"/>
          <w:sz w:val="24"/>
          <w:lang w:val="en-US" w:eastAsia="zh-CN"/>
        </w:rPr>
        <w:t xml:space="preserve"> </w:t>
      </w:r>
      <w:r>
        <w:rPr>
          <w:rFonts w:hint="eastAsia" w:eastAsia="宋体"/>
          <w:color w:val="auto"/>
          <w:sz w:val="24"/>
          <w:szCs w:val="24"/>
          <w:lang w:val="en-US" w:eastAsia="zh-CN"/>
        </w:rPr>
        <w:t>施工建造阶段，</w:t>
      </w:r>
      <w:r>
        <w:rPr>
          <w:rFonts w:hint="eastAsia" w:ascii="宋体" w:hAnsi="宋体" w:eastAsia="宋体" w:cs="宋体"/>
          <w:color w:val="000000"/>
          <w:sz w:val="24"/>
          <w:lang w:eastAsia="zh-CN"/>
        </w:rPr>
        <w:t>采用信息化手段</w:t>
      </w:r>
      <w:r>
        <w:rPr>
          <w:rFonts w:hint="eastAsia" w:ascii="宋体" w:hAnsi="宋体" w:eastAsia="宋体" w:cs="宋体"/>
          <w:color w:val="000000"/>
          <w:sz w:val="24"/>
          <w:lang w:val="en-US" w:eastAsia="zh-CN"/>
        </w:rPr>
        <w:t>实现施工管理，</w:t>
      </w:r>
      <w:r>
        <w:rPr>
          <w:rFonts w:hint="eastAsia" w:ascii="宋体" w:hAnsi="宋体" w:cs="宋体"/>
          <w:color w:val="000000"/>
          <w:sz w:val="24"/>
          <w:lang w:val="en-US" w:eastAsia="zh-CN"/>
        </w:rPr>
        <w:t>应按下列</w:t>
      </w:r>
      <w:r>
        <w:rPr>
          <w:rFonts w:hint="eastAsia" w:ascii="宋体" w:hAnsi="宋体" w:eastAsia="宋体" w:cs="宋体"/>
          <w:color w:val="000000"/>
          <w:sz w:val="24"/>
          <w:lang w:val="en-US" w:eastAsia="zh-CN"/>
        </w:rPr>
        <w:t>分别评价：</w:t>
      </w:r>
      <w:bookmarkEnd w:id="405"/>
    </w:p>
    <w:p w14:paraId="6A86DF4E">
      <w:pPr>
        <w:wordWrap/>
        <w:spacing w:line="360" w:lineRule="auto"/>
        <w:ind w:firstLine="480" w:firstLineChars="200"/>
        <w:textAlignment w:val="auto"/>
        <w:rPr>
          <w:rFonts w:hint="eastAsia" w:ascii="宋体" w:hAnsi="宋体" w:eastAsia="宋体" w:cs="宋体"/>
          <w:color w:val="000000"/>
          <w:sz w:val="24"/>
          <w:highlight w:val="none"/>
          <w:lang w:val="en-US" w:eastAsia="zh-CN"/>
        </w:rPr>
      </w:pPr>
      <w:r>
        <w:rPr>
          <w:rFonts w:hint="eastAsia" w:ascii="宋体" w:hAnsi="宋体" w:eastAsia="宋体" w:cs="宋体"/>
          <w:color w:val="000000"/>
          <w:sz w:val="24"/>
          <w:highlight w:val="none"/>
          <w:lang w:val="en-US" w:eastAsia="zh-CN"/>
        </w:rPr>
        <w:t>1 施工监测数据平台实现施工全过程在线监控，线路资料、始发与接收测量、姿态测量、管片测量等测量数据实时上传，提升管理效率；</w:t>
      </w:r>
    </w:p>
    <w:p w14:paraId="7305BE60">
      <w:pPr>
        <w:wordWrap/>
        <w:spacing w:line="360" w:lineRule="auto"/>
        <w:ind w:firstLine="480" w:firstLineChars="200"/>
        <w:textAlignment w:val="auto"/>
        <w:rPr>
          <w:rFonts w:hint="eastAsia" w:ascii="宋体" w:hAnsi="宋体" w:eastAsia="宋体" w:cs="宋体"/>
          <w:color w:val="000000"/>
          <w:sz w:val="24"/>
          <w:highlight w:val="none"/>
          <w:lang w:val="en-US" w:eastAsia="zh-CN"/>
        </w:rPr>
      </w:pPr>
      <w:r>
        <w:rPr>
          <w:rFonts w:hint="eastAsia" w:ascii="宋体" w:hAnsi="宋体" w:eastAsia="宋体" w:cs="宋体"/>
          <w:color w:val="000000"/>
          <w:sz w:val="24"/>
          <w:highlight w:val="none"/>
          <w:lang w:val="en-US" w:eastAsia="zh-CN"/>
        </w:rPr>
        <w:t>2 采用BIM技术，进行管片拼装模拟施工；</w:t>
      </w:r>
    </w:p>
    <w:p w14:paraId="361868D2">
      <w:pPr>
        <w:wordWrap/>
        <w:spacing w:line="360" w:lineRule="auto"/>
        <w:ind w:firstLine="480" w:firstLineChars="200"/>
        <w:textAlignment w:val="auto"/>
        <w:rPr>
          <w:rFonts w:hint="eastAsia" w:ascii="宋体" w:hAnsi="宋体" w:eastAsia="宋体" w:cs="宋体"/>
          <w:color w:val="000000"/>
          <w:sz w:val="24"/>
          <w:highlight w:val="none"/>
          <w:lang w:val="en-US" w:eastAsia="zh-CN"/>
        </w:rPr>
      </w:pPr>
      <w:r>
        <w:rPr>
          <w:rFonts w:hint="eastAsia" w:ascii="宋体" w:hAnsi="宋体" w:eastAsia="宋体" w:cs="宋体"/>
          <w:color w:val="000000"/>
          <w:sz w:val="24"/>
          <w:highlight w:val="none"/>
          <w:lang w:val="en-US" w:eastAsia="zh-CN"/>
        </w:rPr>
        <w:t>3 通过BIM技术模拟施工流程，减少资源浪费和二次返工。</w:t>
      </w:r>
    </w:p>
    <w:p w14:paraId="344A492B">
      <w:pPr>
        <w:wordWrap/>
        <w:spacing w:line="360" w:lineRule="auto"/>
        <w:jc w:val="left"/>
        <w:textAlignment w:val="auto"/>
        <w:outlineLvl w:val="9"/>
        <w:rPr>
          <w:rFonts w:hint="eastAsia" w:ascii="宋体" w:hAnsi="宋体" w:eastAsia="宋体" w:cs="宋体"/>
          <w:color w:val="000000"/>
          <w:sz w:val="24"/>
          <w:lang w:val="en-US" w:eastAsia="zh-CN"/>
        </w:rPr>
      </w:pPr>
      <w:bookmarkStart w:id="406" w:name="_Toc28946"/>
      <w:r>
        <w:rPr>
          <w:rFonts w:hint="eastAsia" w:ascii="宋体" w:hAnsi="宋体" w:cs="宋体"/>
          <w:color w:val="000000"/>
          <w:sz w:val="24"/>
          <w:lang w:eastAsia="zh-CN"/>
        </w:rPr>
        <w:t>B.2</w:t>
      </w:r>
      <w:r>
        <w:rPr>
          <w:rFonts w:hint="eastAsia" w:ascii="宋体" w:hAnsi="宋体" w:eastAsia="宋体" w:cs="宋体"/>
          <w:color w:val="000000"/>
          <w:sz w:val="24"/>
          <w:lang w:eastAsia="zh-CN"/>
        </w:rPr>
        <w:t>.</w:t>
      </w:r>
      <w:r>
        <w:rPr>
          <w:rFonts w:hint="eastAsia" w:ascii="宋体" w:hAnsi="宋体" w:cs="宋体"/>
          <w:color w:val="000000"/>
          <w:sz w:val="24"/>
          <w:lang w:val="en-US" w:eastAsia="zh-CN"/>
        </w:rPr>
        <w:t>16</w:t>
      </w:r>
      <w:r>
        <w:rPr>
          <w:rFonts w:hint="eastAsia" w:ascii="宋体" w:hAnsi="宋体" w:eastAsia="宋体" w:cs="宋体"/>
          <w:color w:val="000000"/>
          <w:sz w:val="24"/>
          <w:lang w:val="en-US" w:eastAsia="zh-CN"/>
        </w:rPr>
        <w:t>盾构隧道在施工建造阶段、运行阶段，对结构设施和周边环境的安全状态评估与监测要求，</w:t>
      </w:r>
      <w:r>
        <w:rPr>
          <w:rFonts w:hint="eastAsia" w:ascii="宋体" w:hAnsi="宋体" w:cs="宋体"/>
          <w:color w:val="000000"/>
          <w:sz w:val="24"/>
          <w:lang w:val="en-US" w:eastAsia="zh-CN"/>
        </w:rPr>
        <w:t>应按下列</w:t>
      </w:r>
      <w:r>
        <w:rPr>
          <w:rFonts w:hint="eastAsia" w:ascii="宋体" w:hAnsi="宋体" w:eastAsia="宋体" w:cs="宋体"/>
          <w:color w:val="000000"/>
          <w:sz w:val="24"/>
          <w:lang w:val="en-US" w:eastAsia="zh-CN"/>
        </w:rPr>
        <w:t>内容分别评分：</w:t>
      </w:r>
      <w:bookmarkEnd w:id="406"/>
    </w:p>
    <w:p w14:paraId="1D3ADE75">
      <w:pPr>
        <w:wordWrap/>
        <w:spacing w:line="360" w:lineRule="auto"/>
        <w:ind w:firstLine="480" w:firstLineChars="200"/>
        <w:textAlignment w:val="auto"/>
        <w:rPr>
          <w:rFonts w:hint="eastAsia" w:ascii="宋体" w:hAnsi="宋体" w:eastAsia="宋体" w:cs="宋体"/>
          <w:color w:val="000000"/>
          <w:sz w:val="24"/>
          <w:highlight w:val="none"/>
          <w:lang w:val="en-US" w:eastAsia="zh-CN"/>
        </w:rPr>
      </w:pPr>
      <w:r>
        <w:rPr>
          <w:rFonts w:hint="eastAsia" w:ascii="宋体" w:hAnsi="宋体" w:eastAsia="宋体" w:cs="宋体"/>
          <w:color w:val="000000"/>
          <w:sz w:val="24"/>
          <w:highlight w:val="none"/>
          <w:lang w:val="en-US" w:eastAsia="zh-CN"/>
        </w:rPr>
        <w:t>1 施工建造阶段，对施工区域及沿线周边环境复杂或特殊地段的构筑物、建筑物及重要设施，进行安全评估；</w:t>
      </w:r>
    </w:p>
    <w:p w14:paraId="6FBD4F07">
      <w:pPr>
        <w:wordWrap/>
        <w:spacing w:line="360" w:lineRule="auto"/>
        <w:ind w:firstLine="480" w:firstLineChars="200"/>
        <w:textAlignment w:val="auto"/>
        <w:rPr>
          <w:rFonts w:hint="eastAsia" w:ascii="宋体" w:hAnsi="宋体" w:eastAsia="宋体" w:cs="宋体"/>
          <w:color w:val="000000"/>
          <w:sz w:val="24"/>
          <w:highlight w:val="none"/>
          <w:lang w:val="en-US" w:eastAsia="zh-CN"/>
        </w:rPr>
      </w:pPr>
      <w:r>
        <w:rPr>
          <w:rFonts w:hint="eastAsia" w:ascii="宋体" w:hAnsi="宋体" w:eastAsia="宋体" w:cs="宋体"/>
          <w:color w:val="000000"/>
          <w:sz w:val="24"/>
          <w:highlight w:val="none"/>
          <w:lang w:val="en-US" w:eastAsia="zh-CN"/>
        </w:rPr>
        <w:t>2 对盾构工程周边环境、盾构工程支护结构及岩土体施工，进行工程影响分区及监测等级划分，全过程质量监测，采集地面和隧道内监测数据，进行环境变化影响与变形动态分析；</w:t>
      </w:r>
    </w:p>
    <w:p w14:paraId="144ECC72">
      <w:pPr>
        <w:wordWrap/>
        <w:spacing w:line="360" w:lineRule="auto"/>
        <w:ind w:firstLine="480" w:firstLineChars="200"/>
        <w:textAlignment w:val="auto"/>
        <w:rPr>
          <w:rFonts w:hint="eastAsia" w:ascii="宋体" w:hAnsi="宋体" w:eastAsia="宋体" w:cs="宋体"/>
          <w:color w:val="000000"/>
          <w:sz w:val="24"/>
          <w:highlight w:val="none"/>
          <w:lang w:val="en-US" w:eastAsia="zh-CN"/>
        </w:rPr>
      </w:pPr>
      <w:r>
        <w:rPr>
          <w:rFonts w:hint="eastAsia" w:ascii="宋体" w:hAnsi="宋体" w:eastAsia="宋体" w:cs="宋体"/>
          <w:color w:val="000000"/>
          <w:sz w:val="24"/>
          <w:highlight w:val="none"/>
          <w:lang w:val="en-US" w:eastAsia="zh-CN"/>
        </w:rPr>
        <w:t>3 运行阶段，对盾构隧道结构设施和隧道结构所处的工作环境进行常规监测和特殊监测（如火灾、地震、脱轨等异常情况），依据隧道运营检查和监测结果，对隧道结构和周边环境进行安全状态评估。</w:t>
      </w:r>
    </w:p>
    <w:p w14:paraId="7CE88E95">
      <w:pPr>
        <w:wordWrap/>
        <w:spacing w:line="360" w:lineRule="auto"/>
        <w:jc w:val="left"/>
        <w:textAlignment w:val="auto"/>
        <w:outlineLvl w:val="9"/>
        <w:rPr>
          <w:rFonts w:hint="eastAsia" w:ascii="宋体" w:hAnsi="宋体" w:eastAsia="宋体" w:cs="宋体"/>
          <w:color w:val="000000"/>
          <w:sz w:val="24"/>
          <w:highlight w:val="none"/>
          <w:lang w:val="en-US" w:eastAsia="zh-CN"/>
        </w:rPr>
      </w:pPr>
      <w:bookmarkStart w:id="407" w:name="_Toc20260"/>
      <w:r>
        <w:rPr>
          <w:rFonts w:hint="eastAsia" w:ascii="宋体" w:hAnsi="宋体" w:cs="宋体"/>
          <w:color w:val="000000"/>
          <w:sz w:val="24"/>
          <w:highlight w:val="none"/>
          <w:lang w:eastAsia="zh-CN"/>
        </w:rPr>
        <w:t>B.2</w:t>
      </w:r>
      <w:r>
        <w:rPr>
          <w:rFonts w:hint="eastAsia" w:ascii="宋体" w:hAnsi="宋体" w:eastAsia="宋体" w:cs="宋体"/>
          <w:color w:val="000000"/>
          <w:sz w:val="24"/>
          <w:highlight w:val="none"/>
          <w:lang w:eastAsia="zh-CN"/>
        </w:rPr>
        <w:t>.</w:t>
      </w:r>
      <w:r>
        <w:rPr>
          <w:rFonts w:hint="eastAsia" w:ascii="宋体" w:hAnsi="宋体" w:cs="宋体"/>
          <w:color w:val="000000"/>
          <w:sz w:val="24"/>
          <w:highlight w:val="none"/>
          <w:lang w:val="en-US" w:eastAsia="zh-CN"/>
        </w:rPr>
        <w:t xml:space="preserve">17 </w:t>
      </w:r>
      <w:r>
        <w:rPr>
          <w:rFonts w:hint="eastAsia" w:ascii="宋体" w:hAnsi="宋体" w:eastAsia="宋体" w:cs="宋体"/>
          <w:color w:val="000000"/>
          <w:sz w:val="24"/>
          <w:highlight w:val="none"/>
          <w:lang w:val="en-US" w:eastAsia="zh-CN"/>
        </w:rPr>
        <w:t>施工建造阶段，对盾构隧道工程安全影响较大特殊地段处理要求，</w:t>
      </w:r>
      <w:r>
        <w:rPr>
          <w:rFonts w:hint="eastAsia" w:ascii="宋体" w:hAnsi="宋体" w:cs="宋体"/>
          <w:color w:val="000000"/>
          <w:sz w:val="24"/>
          <w:highlight w:val="none"/>
          <w:lang w:val="en-US" w:eastAsia="zh-CN"/>
        </w:rPr>
        <w:t>应按下列</w:t>
      </w:r>
      <w:r>
        <w:rPr>
          <w:rFonts w:hint="eastAsia" w:ascii="宋体" w:hAnsi="宋体" w:eastAsia="宋体" w:cs="宋体"/>
          <w:color w:val="000000"/>
          <w:sz w:val="24"/>
          <w:highlight w:val="none"/>
          <w:lang w:val="en-US" w:eastAsia="zh-CN"/>
        </w:rPr>
        <w:t>分别评价：</w:t>
      </w:r>
      <w:bookmarkEnd w:id="407"/>
    </w:p>
    <w:p w14:paraId="5AD202FA">
      <w:pPr>
        <w:wordWrap/>
        <w:spacing w:line="360" w:lineRule="auto"/>
        <w:ind w:firstLine="480" w:firstLineChars="200"/>
        <w:textAlignment w:val="auto"/>
        <w:rPr>
          <w:rFonts w:hint="eastAsia" w:ascii="宋体" w:hAnsi="宋体" w:eastAsia="宋体" w:cs="宋体"/>
          <w:color w:val="000000"/>
          <w:sz w:val="24"/>
          <w:highlight w:val="none"/>
          <w:lang w:val="en-US" w:eastAsia="zh-CN"/>
        </w:rPr>
      </w:pPr>
      <w:r>
        <w:rPr>
          <w:rFonts w:hint="eastAsia" w:ascii="宋体" w:hAnsi="宋体" w:eastAsia="宋体" w:cs="宋体"/>
          <w:color w:val="000000"/>
          <w:sz w:val="24"/>
          <w:highlight w:val="none"/>
          <w:lang w:val="en-US" w:eastAsia="zh-CN"/>
        </w:rPr>
        <w:t>1 存在特殊地质、水文地质条件复杂、施工中出现新的地质问题等情况，展开专项勘察工作，并形成专项勘察报告；</w:t>
      </w:r>
    </w:p>
    <w:p w14:paraId="027E2D56">
      <w:pPr>
        <w:wordWrap/>
        <w:spacing w:line="360" w:lineRule="auto"/>
        <w:ind w:firstLine="480" w:firstLineChars="200"/>
        <w:textAlignment w:val="auto"/>
        <w:rPr>
          <w:rFonts w:hint="eastAsia" w:ascii="宋体" w:hAnsi="宋体" w:eastAsia="宋体" w:cs="宋体"/>
          <w:color w:val="000000"/>
          <w:sz w:val="24"/>
          <w:highlight w:val="none"/>
          <w:lang w:val="en-US" w:eastAsia="zh-CN"/>
        </w:rPr>
      </w:pPr>
      <w:r>
        <w:rPr>
          <w:rFonts w:hint="eastAsia" w:ascii="宋体" w:hAnsi="宋体" w:eastAsia="宋体" w:cs="宋体"/>
          <w:color w:val="000000"/>
          <w:sz w:val="24"/>
          <w:highlight w:val="none"/>
          <w:lang w:val="en-US" w:eastAsia="zh-CN"/>
        </w:rPr>
        <w:t>2对岩溶发育区需采用三维地质雷达扫描，建立风险数据库。</w:t>
      </w:r>
    </w:p>
    <w:p w14:paraId="2078579D">
      <w:pPr>
        <w:wordWrap/>
        <w:spacing w:line="360" w:lineRule="auto"/>
        <w:ind w:firstLine="480" w:firstLineChars="200"/>
        <w:textAlignment w:val="auto"/>
        <w:rPr>
          <w:rFonts w:hint="eastAsia" w:ascii="宋体" w:hAnsi="宋体" w:eastAsia="宋体" w:cs="宋体"/>
          <w:color w:val="000000"/>
          <w:sz w:val="24"/>
          <w:highlight w:val="none"/>
          <w:lang w:val="en-US" w:eastAsia="zh-CN"/>
        </w:rPr>
      </w:pPr>
      <w:r>
        <w:rPr>
          <w:rFonts w:hint="eastAsia" w:ascii="宋体" w:hAnsi="宋体" w:eastAsia="宋体" w:cs="宋体"/>
          <w:color w:val="000000"/>
          <w:sz w:val="24"/>
          <w:highlight w:val="none"/>
          <w:lang w:val="en-US" w:eastAsia="zh-CN"/>
        </w:rPr>
        <w:t>3穿越既有线路时，沉降预警阈值从严控制至常规标准的80%。</w:t>
      </w:r>
    </w:p>
    <w:p w14:paraId="3CA46FA5">
      <w:pPr>
        <w:wordWrap/>
        <w:spacing w:line="360" w:lineRule="auto"/>
        <w:jc w:val="left"/>
        <w:textAlignment w:val="auto"/>
        <w:outlineLvl w:val="9"/>
        <w:rPr>
          <w:rFonts w:hint="eastAsia" w:ascii="宋体" w:hAnsi="宋体" w:eastAsia="宋体" w:cs="宋体"/>
          <w:color w:val="000000"/>
          <w:sz w:val="24"/>
          <w:lang w:val="en-US" w:eastAsia="zh-CN"/>
        </w:rPr>
      </w:pPr>
      <w:bookmarkStart w:id="408" w:name="_Toc4814"/>
      <w:r>
        <w:rPr>
          <w:rFonts w:hint="eastAsia" w:ascii="宋体" w:hAnsi="宋体" w:cs="宋体"/>
          <w:color w:val="000000"/>
          <w:sz w:val="24"/>
          <w:lang w:eastAsia="zh-CN"/>
        </w:rPr>
        <w:t>B.2</w:t>
      </w:r>
      <w:r>
        <w:rPr>
          <w:rFonts w:hint="eastAsia" w:ascii="宋体" w:hAnsi="宋体" w:eastAsia="宋体" w:cs="宋体"/>
          <w:color w:val="000000"/>
          <w:sz w:val="24"/>
          <w:lang w:eastAsia="zh-CN"/>
        </w:rPr>
        <w:t>.</w:t>
      </w:r>
      <w:r>
        <w:rPr>
          <w:rFonts w:hint="eastAsia" w:ascii="宋体" w:hAnsi="宋体" w:cs="宋体"/>
          <w:color w:val="000000"/>
          <w:sz w:val="24"/>
          <w:lang w:val="en-US" w:eastAsia="zh-CN"/>
        </w:rPr>
        <w:t>18</w:t>
      </w:r>
      <w:r>
        <w:rPr>
          <w:rFonts w:hint="eastAsia" w:eastAsia="宋体"/>
          <w:color w:val="auto"/>
          <w:sz w:val="24"/>
          <w:szCs w:val="24"/>
          <w:lang w:val="en-US" w:eastAsia="zh-CN"/>
        </w:rPr>
        <w:t>施工建造阶段，</w:t>
      </w:r>
      <w:r>
        <w:rPr>
          <w:rFonts w:hint="eastAsia" w:ascii="宋体" w:hAnsi="宋体" w:eastAsia="宋体" w:cs="宋体"/>
          <w:color w:val="000000"/>
          <w:sz w:val="24"/>
          <w:lang w:val="en-US" w:eastAsia="zh-CN"/>
        </w:rPr>
        <w:t>盾构隧道工程根据工程复杂程度，采取风险分级管理并形成报告，</w:t>
      </w:r>
      <w:r>
        <w:rPr>
          <w:rFonts w:hint="eastAsia" w:ascii="宋体" w:hAnsi="宋体" w:cs="宋体"/>
          <w:color w:val="000000"/>
          <w:sz w:val="24"/>
          <w:lang w:val="en-US" w:eastAsia="zh-CN"/>
        </w:rPr>
        <w:t>应按下列</w:t>
      </w:r>
      <w:r>
        <w:rPr>
          <w:rFonts w:hint="eastAsia" w:ascii="宋体" w:hAnsi="宋体" w:eastAsia="宋体" w:cs="宋体"/>
          <w:color w:val="000000"/>
          <w:sz w:val="24"/>
          <w:lang w:val="en-US" w:eastAsia="zh-CN"/>
        </w:rPr>
        <w:t>内容分别评分：</w:t>
      </w:r>
      <w:bookmarkEnd w:id="408"/>
    </w:p>
    <w:p w14:paraId="243A274E">
      <w:pPr>
        <w:wordWrap/>
        <w:spacing w:line="360" w:lineRule="auto"/>
        <w:ind w:firstLine="480" w:firstLineChars="200"/>
        <w:textAlignment w:val="auto"/>
        <w:rPr>
          <w:rFonts w:hint="eastAsia" w:ascii="宋体" w:hAnsi="宋体" w:eastAsia="宋体" w:cs="宋体"/>
          <w:color w:val="000000"/>
          <w:sz w:val="24"/>
          <w:highlight w:val="none"/>
          <w:lang w:val="en-US" w:eastAsia="zh-CN"/>
        </w:rPr>
      </w:pPr>
      <w:r>
        <w:rPr>
          <w:rFonts w:hint="eastAsia" w:ascii="宋体" w:hAnsi="宋体" w:eastAsia="宋体" w:cs="宋体"/>
          <w:color w:val="000000"/>
          <w:sz w:val="24"/>
          <w:highlight w:val="none"/>
          <w:lang w:val="en-US" w:eastAsia="zh-CN"/>
        </w:rPr>
        <w:t>1 根据工程特点、工程地质及水文地质、周边环境条件及可能造成的影响（危害）等综合情况，进行风险分级，包括工程自身风险分级，环境风险分级；</w:t>
      </w:r>
    </w:p>
    <w:p w14:paraId="032F8ACB">
      <w:pPr>
        <w:wordWrap/>
        <w:spacing w:line="360" w:lineRule="auto"/>
        <w:ind w:firstLine="480" w:firstLineChars="200"/>
        <w:textAlignment w:val="auto"/>
        <w:rPr>
          <w:rFonts w:hint="eastAsia" w:ascii="宋体" w:hAnsi="宋体" w:eastAsia="宋体" w:cs="宋体"/>
          <w:color w:val="000000"/>
          <w:sz w:val="24"/>
          <w:highlight w:val="none"/>
          <w:lang w:val="en-US" w:eastAsia="zh-CN"/>
        </w:rPr>
      </w:pPr>
      <w:r>
        <w:rPr>
          <w:rFonts w:hint="eastAsia" w:ascii="宋体" w:hAnsi="宋体" w:eastAsia="宋体" w:cs="宋体"/>
          <w:color w:val="000000"/>
          <w:sz w:val="24"/>
          <w:highlight w:val="none"/>
          <w:lang w:val="en-US" w:eastAsia="zh-CN"/>
        </w:rPr>
        <w:t>2 工程自身风险分级宜以盾构隧道相互之间的空间位置关系、地质条件适宜性以及工程部位等为基本分级条件，并根据工程地质及水文地质条件、盾构机型式等进行修正；</w:t>
      </w:r>
    </w:p>
    <w:p w14:paraId="0C59DBD7">
      <w:pPr>
        <w:wordWrap/>
        <w:spacing w:line="360" w:lineRule="auto"/>
        <w:ind w:firstLine="480" w:firstLineChars="200"/>
        <w:textAlignment w:val="auto"/>
        <w:rPr>
          <w:rFonts w:hint="eastAsia" w:ascii="宋体" w:hAnsi="宋体" w:eastAsia="宋体" w:cs="宋体"/>
          <w:color w:val="000000"/>
          <w:sz w:val="24"/>
          <w:highlight w:val="none"/>
          <w:lang w:val="en-US" w:eastAsia="zh-CN"/>
        </w:rPr>
      </w:pPr>
      <w:r>
        <w:rPr>
          <w:rFonts w:hint="eastAsia" w:ascii="宋体" w:hAnsi="宋体" w:eastAsia="宋体" w:cs="宋体"/>
          <w:color w:val="000000"/>
          <w:sz w:val="24"/>
          <w:highlight w:val="none"/>
          <w:lang w:val="en-US" w:eastAsia="zh-CN"/>
        </w:rPr>
        <w:t>3 工程环境风险分级宜根据盾构隧道结构所处的环境（如桥梁、既有建筑物或构筑物等）重要性，以及盾构隧道工程对环境影响程度大小综合确定。</w:t>
      </w:r>
    </w:p>
    <w:p w14:paraId="30C669BB">
      <w:pPr>
        <w:wordWrap/>
        <w:spacing w:line="360" w:lineRule="auto"/>
        <w:jc w:val="left"/>
        <w:textAlignment w:val="auto"/>
        <w:outlineLvl w:val="9"/>
        <w:rPr>
          <w:rFonts w:hint="eastAsia" w:ascii="宋体" w:hAnsi="宋体" w:eastAsia="宋体" w:cs="宋体"/>
          <w:color w:val="000000"/>
          <w:sz w:val="24"/>
          <w:lang w:val="en-US" w:eastAsia="zh-CN"/>
        </w:rPr>
      </w:pPr>
      <w:bookmarkStart w:id="409" w:name="_Toc30557"/>
      <w:r>
        <w:rPr>
          <w:rFonts w:hint="eastAsia" w:ascii="宋体" w:hAnsi="宋体" w:cs="宋体"/>
          <w:color w:val="000000"/>
          <w:sz w:val="24"/>
          <w:lang w:eastAsia="zh-CN"/>
        </w:rPr>
        <w:t>B.2</w:t>
      </w:r>
      <w:r>
        <w:rPr>
          <w:rFonts w:hint="eastAsia" w:ascii="宋体" w:hAnsi="宋体" w:eastAsia="宋体" w:cs="宋体"/>
          <w:color w:val="000000"/>
          <w:sz w:val="24"/>
          <w:lang w:eastAsia="zh-CN"/>
        </w:rPr>
        <w:t>.</w:t>
      </w:r>
      <w:r>
        <w:rPr>
          <w:rFonts w:hint="eastAsia" w:ascii="宋体" w:hAnsi="宋体" w:cs="宋体"/>
          <w:color w:val="000000"/>
          <w:sz w:val="24"/>
          <w:lang w:val="en-US" w:eastAsia="zh-CN"/>
        </w:rPr>
        <w:t>19</w:t>
      </w:r>
      <w:r>
        <w:rPr>
          <w:rFonts w:hint="eastAsia" w:ascii="宋体" w:hAnsi="宋体" w:eastAsia="宋体" w:cs="宋体"/>
          <w:color w:val="000000"/>
          <w:sz w:val="24"/>
          <w:lang w:val="en-US" w:eastAsia="zh-CN"/>
        </w:rPr>
        <w:t>盾构隧道工程进行风险管理展开规划设计、施工和量测，</w:t>
      </w:r>
      <w:r>
        <w:rPr>
          <w:rFonts w:hint="eastAsia" w:ascii="宋体" w:hAnsi="宋体" w:cs="宋体"/>
          <w:color w:val="000000"/>
          <w:sz w:val="24"/>
          <w:lang w:val="en-US" w:eastAsia="zh-CN"/>
        </w:rPr>
        <w:t>应按下列</w:t>
      </w:r>
      <w:r>
        <w:rPr>
          <w:rFonts w:hint="eastAsia" w:ascii="宋体" w:hAnsi="宋体" w:eastAsia="宋体" w:cs="宋体"/>
          <w:color w:val="000000"/>
          <w:sz w:val="24"/>
          <w:lang w:val="en-US" w:eastAsia="zh-CN"/>
        </w:rPr>
        <w:t>内容分别评分：</w:t>
      </w:r>
      <w:bookmarkEnd w:id="409"/>
    </w:p>
    <w:p w14:paraId="14E6F749">
      <w:pPr>
        <w:wordWrap/>
        <w:spacing w:line="360" w:lineRule="auto"/>
        <w:ind w:firstLine="480" w:firstLineChars="200"/>
        <w:textAlignment w:val="auto"/>
        <w:rPr>
          <w:rFonts w:hint="eastAsia" w:ascii="宋体" w:hAnsi="宋体" w:eastAsia="宋体" w:cs="宋体"/>
          <w:color w:val="000000"/>
          <w:sz w:val="24"/>
          <w:highlight w:val="none"/>
          <w:lang w:val="en-US" w:eastAsia="zh-CN"/>
        </w:rPr>
      </w:pPr>
      <w:r>
        <w:rPr>
          <w:rFonts w:hint="eastAsia" w:ascii="宋体" w:hAnsi="宋体" w:eastAsia="宋体" w:cs="宋体"/>
          <w:color w:val="000000"/>
          <w:sz w:val="24"/>
          <w:highlight w:val="none"/>
          <w:lang w:val="en-US" w:eastAsia="zh-CN"/>
        </w:rPr>
        <w:t>1 规划设计阶段，在风险辨识与分级的基础上，进行风险工程设计，包括环境风险工程专项设计，编制风险控制专项措施，包括监测控制措施，必要时针对专项设计方案进行安全评估；</w:t>
      </w:r>
    </w:p>
    <w:p w14:paraId="25871797">
      <w:pPr>
        <w:wordWrap/>
        <w:spacing w:line="360" w:lineRule="auto"/>
        <w:ind w:firstLine="480" w:firstLineChars="200"/>
        <w:textAlignment w:val="auto"/>
        <w:rPr>
          <w:rFonts w:hint="eastAsia" w:ascii="宋体" w:hAnsi="宋体" w:eastAsia="宋体" w:cs="宋体"/>
          <w:color w:val="000000"/>
          <w:sz w:val="24"/>
          <w:highlight w:val="none"/>
          <w:lang w:val="en-US" w:eastAsia="zh-CN"/>
        </w:rPr>
      </w:pPr>
      <w:r>
        <w:rPr>
          <w:rFonts w:hint="eastAsia" w:ascii="宋体" w:hAnsi="宋体" w:eastAsia="宋体" w:cs="宋体"/>
          <w:color w:val="000000"/>
          <w:sz w:val="24"/>
          <w:highlight w:val="none"/>
          <w:lang w:val="en-US" w:eastAsia="zh-CN"/>
        </w:rPr>
        <w:t>2 施工建造阶段，对具有较高等级的环境风险，进行检测和安全评估并形成报告；</w:t>
      </w:r>
    </w:p>
    <w:p w14:paraId="34406EA0">
      <w:pPr>
        <w:wordWrap/>
        <w:spacing w:line="360" w:lineRule="auto"/>
        <w:ind w:firstLine="480" w:firstLineChars="200"/>
        <w:textAlignment w:val="auto"/>
        <w:rPr>
          <w:rFonts w:hint="eastAsia" w:ascii="宋体" w:hAnsi="宋体" w:eastAsia="宋体" w:cs="宋体"/>
          <w:color w:val="000000"/>
          <w:sz w:val="24"/>
          <w:highlight w:val="none"/>
          <w:lang w:val="en-US" w:eastAsia="zh-CN"/>
        </w:rPr>
      </w:pPr>
      <w:r>
        <w:rPr>
          <w:rFonts w:hint="eastAsia" w:ascii="宋体" w:hAnsi="宋体" w:eastAsia="宋体" w:cs="宋体"/>
          <w:color w:val="000000"/>
          <w:sz w:val="24"/>
          <w:highlight w:val="none"/>
          <w:lang w:val="en-US" w:eastAsia="zh-CN"/>
        </w:rPr>
        <w:t>3 施工建造阶段，对环境风险工程专项设计、风险控制专项措施进行专项施工交底，施工全过程落实监测控制措施。</w:t>
      </w:r>
    </w:p>
    <w:p w14:paraId="6BFA7661">
      <w:pPr>
        <w:wordWrap/>
        <w:spacing w:line="360" w:lineRule="auto"/>
        <w:jc w:val="left"/>
        <w:textAlignment w:val="auto"/>
        <w:outlineLvl w:val="9"/>
        <w:rPr>
          <w:rFonts w:hint="eastAsia" w:ascii="宋体" w:hAnsi="宋体" w:eastAsia="宋体" w:cs="宋体"/>
          <w:color w:val="000000"/>
          <w:sz w:val="24"/>
          <w:lang w:eastAsia="zh-CN"/>
        </w:rPr>
      </w:pPr>
      <w:bookmarkStart w:id="410" w:name="_Toc8053"/>
      <w:r>
        <w:rPr>
          <w:rFonts w:hint="eastAsia" w:ascii="宋体" w:hAnsi="宋体" w:cs="宋体"/>
          <w:color w:val="000000"/>
          <w:sz w:val="24"/>
          <w:lang w:eastAsia="zh-CN"/>
        </w:rPr>
        <w:t>B.2</w:t>
      </w:r>
      <w:r>
        <w:rPr>
          <w:rFonts w:hint="eastAsia" w:ascii="宋体" w:hAnsi="宋体" w:eastAsia="宋体" w:cs="宋体"/>
          <w:color w:val="000000"/>
          <w:sz w:val="24"/>
          <w:lang w:eastAsia="zh-CN"/>
        </w:rPr>
        <w:t>.</w:t>
      </w:r>
      <w:r>
        <w:rPr>
          <w:rFonts w:hint="eastAsia" w:ascii="宋体" w:hAnsi="宋体" w:cs="宋体"/>
          <w:color w:val="000000"/>
          <w:sz w:val="24"/>
          <w:lang w:val="en-US" w:eastAsia="zh-CN"/>
        </w:rPr>
        <w:t xml:space="preserve">20 </w:t>
      </w:r>
      <w:r>
        <w:rPr>
          <w:rFonts w:hint="eastAsia" w:ascii="宋体" w:hAnsi="宋体" w:eastAsia="宋体" w:cs="宋体"/>
          <w:color w:val="auto"/>
          <w:sz w:val="24"/>
          <w:szCs w:val="24"/>
          <w:lang w:val="en-US" w:eastAsia="zh-CN"/>
        </w:rPr>
        <w:t>施工建造、运行阶段，</w:t>
      </w:r>
      <w:r>
        <w:rPr>
          <w:rFonts w:hint="eastAsia" w:ascii="宋体" w:hAnsi="宋体" w:cs="宋体"/>
          <w:color w:val="auto"/>
          <w:sz w:val="24"/>
          <w:szCs w:val="24"/>
          <w:lang w:val="en-US" w:eastAsia="zh-CN"/>
        </w:rPr>
        <w:t>应</w:t>
      </w:r>
      <w:r>
        <w:rPr>
          <w:rFonts w:hint="eastAsia" w:ascii="宋体" w:hAnsi="宋体" w:eastAsia="宋体" w:cs="宋体"/>
          <w:color w:val="000000"/>
          <w:sz w:val="24"/>
          <w:lang w:eastAsia="zh-CN"/>
        </w:rPr>
        <w:t>制定突发环境事件（如泥浆泄漏、地面塌陷、</w:t>
      </w:r>
      <w:r>
        <w:rPr>
          <w:rFonts w:hint="eastAsia" w:ascii="宋体" w:hAnsi="宋体" w:eastAsia="宋体" w:cs="宋体"/>
          <w:color w:val="000000"/>
          <w:sz w:val="24"/>
          <w:lang w:val="en-US" w:eastAsia="zh-CN"/>
        </w:rPr>
        <w:t>雨期应急、</w:t>
      </w:r>
      <w:r>
        <w:rPr>
          <w:rFonts w:hint="eastAsia" w:ascii="宋体" w:hAnsi="宋体" w:eastAsia="宋体" w:cs="宋体"/>
          <w:color w:val="000000"/>
          <w:sz w:val="24"/>
          <w:lang w:eastAsia="zh-CN"/>
        </w:rPr>
        <w:t>有害气体地段施工）的应急措施，确保快速响应，减少生态损害。</w:t>
      </w:r>
      <w:bookmarkEnd w:id="410"/>
    </w:p>
    <w:p w14:paraId="0F6E527D">
      <w:pPr>
        <w:wordWrap/>
        <w:spacing w:line="360" w:lineRule="auto"/>
        <w:jc w:val="left"/>
        <w:textAlignment w:val="auto"/>
        <w:outlineLvl w:val="9"/>
        <w:rPr>
          <w:rFonts w:hint="eastAsia" w:ascii="宋体" w:hAnsi="宋体" w:eastAsia="宋体" w:cs="宋体"/>
          <w:color w:val="000000"/>
          <w:sz w:val="24"/>
          <w:lang w:eastAsia="zh-CN"/>
        </w:rPr>
      </w:pPr>
      <w:bookmarkStart w:id="411" w:name="_Toc14478"/>
      <w:r>
        <w:rPr>
          <w:rFonts w:hint="eastAsia" w:ascii="宋体" w:hAnsi="宋体" w:cs="宋体"/>
          <w:color w:val="000000"/>
          <w:sz w:val="24"/>
          <w:lang w:eastAsia="zh-CN"/>
        </w:rPr>
        <w:t>B.2</w:t>
      </w:r>
      <w:r>
        <w:rPr>
          <w:rFonts w:hint="eastAsia" w:ascii="宋体" w:hAnsi="宋体" w:eastAsia="宋体" w:cs="宋体"/>
          <w:color w:val="000000"/>
          <w:sz w:val="24"/>
          <w:lang w:eastAsia="zh-CN"/>
        </w:rPr>
        <w:t>.</w:t>
      </w:r>
      <w:r>
        <w:rPr>
          <w:rFonts w:hint="eastAsia" w:ascii="宋体" w:hAnsi="宋体" w:cs="宋体"/>
          <w:color w:val="000000"/>
          <w:sz w:val="24"/>
          <w:lang w:val="en-US" w:eastAsia="zh-CN"/>
        </w:rPr>
        <w:t xml:space="preserve">21 </w:t>
      </w:r>
      <w:r>
        <w:rPr>
          <w:rFonts w:hint="eastAsia" w:ascii="宋体" w:hAnsi="宋体" w:eastAsia="宋体" w:cs="宋体"/>
          <w:color w:val="000000"/>
          <w:sz w:val="24"/>
          <w:lang w:eastAsia="zh-CN"/>
        </w:rPr>
        <w:t>施工前</w:t>
      </w:r>
      <w:r>
        <w:rPr>
          <w:rFonts w:hint="eastAsia" w:ascii="宋体" w:hAnsi="宋体" w:cs="宋体"/>
          <w:color w:val="000000"/>
          <w:sz w:val="24"/>
          <w:lang w:val="en-US" w:eastAsia="zh-CN"/>
        </w:rPr>
        <w:t>应</w:t>
      </w:r>
      <w:r>
        <w:rPr>
          <w:rFonts w:hint="eastAsia" w:ascii="宋体" w:hAnsi="宋体" w:eastAsia="宋体" w:cs="宋体"/>
          <w:color w:val="000000"/>
          <w:sz w:val="24"/>
          <w:lang w:eastAsia="zh-CN"/>
        </w:rPr>
        <w:t>开展全面的风险源辨识（如地质条件、既有管线、铁路地段施工等），进行环境风险详细调查，评估施工对环境风险的影响，建立风险分级管控清单，</w:t>
      </w:r>
      <w:r>
        <w:rPr>
          <w:rFonts w:hint="eastAsia" w:ascii="宋体" w:hAnsi="宋体" w:eastAsia="宋体" w:cs="宋体"/>
          <w:color w:val="000000"/>
          <w:sz w:val="24"/>
          <w:lang w:val="en-US" w:eastAsia="zh-CN"/>
        </w:rPr>
        <w:t>并制定专项施工方案，以及全过程监测预警方案，</w:t>
      </w:r>
      <w:r>
        <w:rPr>
          <w:rFonts w:hint="eastAsia" w:ascii="宋体" w:hAnsi="宋体" w:eastAsia="宋体" w:cs="宋体"/>
          <w:color w:val="000000"/>
          <w:sz w:val="24"/>
          <w:lang w:eastAsia="zh-CN"/>
        </w:rPr>
        <w:t>以满足突发异常变形或抢险等</w:t>
      </w:r>
      <w:r>
        <w:rPr>
          <w:rFonts w:hint="eastAsia" w:ascii="宋体" w:hAnsi="宋体" w:eastAsia="宋体" w:cs="宋体"/>
          <w:color w:val="000000"/>
          <w:sz w:val="24"/>
          <w:lang w:val="en-US" w:eastAsia="zh-CN"/>
        </w:rPr>
        <w:t>应急抢险施工和管理的</w:t>
      </w:r>
      <w:r>
        <w:rPr>
          <w:rFonts w:hint="eastAsia" w:ascii="宋体" w:hAnsi="宋体" w:eastAsia="宋体" w:cs="宋体"/>
          <w:color w:val="000000"/>
          <w:sz w:val="24"/>
          <w:lang w:eastAsia="zh-CN"/>
        </w:rPr>
        <w:t>需要。</w:t>
      </w:r>
      <w:bookmarkEnd w:id="411"/>
      <w:r>
        <w:rPr>
          <w:rFonts w:hint="eastAsia" w:ascii="宋体" w:hAnsi="宋体" w:eastAsia="宋体" w:cs="宋体"/>
          <w:color w:val="000000"/>
          <w:sz w:val="24"/>
          <w:lang w:eastAsia="zh-CN"/>
        </w:rPr>
        <w:t xml:space="preserve"> </w:t>
      </w:r>
    </w:p>
    <w:p w14:paraId="3C4E39C5">
      <w:pPr>
        <w:wordWrap/>
        <w:spacing w:line="360" w:lineRule="auto"/>
        <w:jc w:val="left"/>
        <w:textAlignment w:val="auto"/>
        <w:outlineLvl w:val="9"/>
        <w:rPr>
          <w:rFonts w:hint="eastAsia" w:ascii="宋体" w:hAnsi="宋体" w:eastAsia="宋体" w:cs="宋体"/>
          <w:color w:val="000000"/>
          <w:sz w:val="24"/>
          <w:lang w:eastAsia="zh-CN"/>
        </w:rPr>
      </w:pPr>
      <w:bookmarkStart w:id="412" w:name="_Toc16656"/>
      <w:r>
        <w:rPr>
          <w:rFonts w:hint="eastAsia" w:ascii="宋体" w:hAnsi="宋体" w:cs="宋体"/>
          <w:color w:val="000000"/>
          <w:sz w:val="24"/>
          <w:lang w:eastAsia="zh-CN"/>
        </w:rPr>
        <w:t>B.2</w:t>
      </w:r>
      <w:r>
        <w:rPr>
          <w:rFonts w:hint="eastAsia" w:ascii="宋体" w:hAnsi="宋体" w:eastAsia="宋体" w:cs="宋体"/>
          <w:color w:val="000000"/>
          <w:sz w:val="24"/>
          <w:lang w:eastAsia="zh-CN"/>
        </w:rPr>
        <w:t>.</w:t>
      </w:r>
      <w:r>
        <w:rPr>
          <w:rFonts w:hint="eastAsia" w:ascii="宋体" w:hAnsi="宋体" w:cs="宋体"/>
          <w:color w:val="000000"/>
          <w:sz w:val="24"/>
          <w:lang w:val="en-US" w:eastAsia="zh-CN"/>
        </w:rPr>
        <w:t xml:space="preserve">22 </w:t>
      </w:r>
      <w:r>
        <w:rPr>
          <w:rFonts w:hint="eastAsia" w:ascii="宋体" w:hAnsi="宋体" w:eastAsia="宋体" w:cs="宋体"/>
          <w:color w:val="auto"/>
          <w:sz w:val="24"/>
          <w:szCs w:val="24"/>
          <w:lang w:val="en-US" w:eastAsia="zh-CN"/>
        </w:rPr>
        <w:t>施工建造阶段，</w:t>
      </w:r>
      <w:r>
        <w:rPr>
          <w:rFonts w:hint="eastAsia" w:ascii="宋体" w:hAnsi="宋体" w:eastAsia="宋体" w:cs="宋体"/>
          <w:color w:val="000000"/>
          <w:sz w:val="24"/>
          <w:lang w:eastAsia="zh-CN"/>
        </w:rPr>
        <w:t>盾构机穿越风险前，</w:t>
      </w:r>
      <w:r>
        <w:rPr>
          <w:rFonts w:hint="eastAsia" w:ascii="宋体" w:hAnsi="宋体" w:cs="宋体"/>
          <w:color w:val="000000"/>
          <w:sz w:val="24"/>
          <w:lang w:val="en-US" w:eastAsia="zh-CN"/>
        </w:rPr>
        <w:t>应</w:t>
      </w:r>
      <w:r>
        <w:rPr>
          <w:rFonts w:hint="eastAsia" w:ascii="宋体" w:hAnsi="宋体" w:eastAsia="宋体" w:cs="宋体"/>
          <w:color w:val="000000"/>
          <w:sz w:val="24"/>
          <w:lang w:eastAsia="zh-CN"/>
        </w:rPr>
        <w:t>设置穿越试验段，以检验并调整、确定适宜的掘进参数。要求针对塌方、涌水、设备故障、</w:t>
      </w:r>
      <w:r>
        <w:rPr>
          <w:rFonts w:hint="eastAsia" w:ascii="宋体" w:hAnsi="宋体" w:eastAsia="宋体" w:cs="宋体"/>
          <w:color w:val="000000"/>
          <w:sz w:val="24"/>
          <w:lang w:val="en-US" w:eastAsia="zh-CN"/>
        </w:rPr>
        <w:t>掘进过程异常</w:t>
      </w:r>
      <w:r>
        <w:rPr>
          <w:rFonts w:hint="eastAsia" w:ascii="宋体" w:hAnsi="宋体" w:eastAsia="宋体" w:cs="宋体"/>
          <w:color w:val="000000"/>
          <w:sz w:val="24"/>
          <w:lang w:eastAsia="zh-CN"/>
        </w:rPr>
        <w:t>等高风险场景制定专项应急预案，明确响应流程和救援资源配置。</w:t>
      </w:r>
      <w:bookmarkEnd w:id="412"/>
      <w:r>
        <w:rPr>
          <w:rFonts w:hint="eastAsia" w:ascii="宋体" w:hAnsi="宋体" w:eastAsia="宋体" w:cs="宋体"/>
          <w:color w:val="000000"/>
          <w:sz w:val="24"/>
          <w:lang w:eastAsia="zh-CN"/>
        </w:rPr>
        <w:t xml:space="preserve"> </w:t>
      </w:r>
    </w:p>
    <w:p w14:paraId="235262DC">
      <w:pPr>
        <w:wordWrap/>
        <w:spacing w:line="360" w:lineRule="auto"/>
        <w:jc w:val="left"/>
        <w:textAlignment w:val="auto"/>
        <w:outlineLvl w:val="9"/>
        <w:rPr>
          <w:rFonts w:hint="eastAsia" w:ascii="宋体" w:hAnsi="宋体" w:eastAsia="宋体" w:cs="宋体"/>
          <w:color w:val="000000"/>
          <w:sz w:val="24"/>
          <w:highlight w:val="none"/>
          <w:lang w:val="en-US" w:eastAsia="zh-CN"/>
        </w:rPr>
      </w:pPr>
      <w:bookmarkStart w:id="413" w:name="_Toc21591"/>
      <w:r>
        <w:rPr>
          <w:rFonts w:hint="eastAsia" w:ascii="宋体" w:hAnsi="宋体" w:cs="宋体"/>
          <w:color w:val="000000"/>
          <w:sz w:val="24"/>
          <w:highlight w:val="none"/>
          <w:lang w:eastAsia="zh-CN"/>
        </w:rPr>
        <w:t>B.2</w:t>
      </w:r>
      <w:r>
        <w:rPr>
          <w:rFonts w:hint="eastAsia" w:ascii="宋体" w:hAnsi="宋体" w:eastAsia="宋体" w:cs="宋体"/>
          <w:color w:val="000000"/>
          <w:sz w:val="24"/>
          <w:highlight w:val="none"/>
          <w:lang w:eastAsia="zh-CN"/>
        </w:rPr>
        <w:t>.</w:t>
      </w:r>
      <w:r>
        <w:rPr>
          <w:rFonts w:hint="eastAsia" w:ascii="宋体" w:hAnsi="宋体" w:cs="宋体"/>
          <w:color w:val="000000"/>
          <w:sz w:val="24"/>
          <w:highlight w:val="none"/>
          <w:lang w:val="en-US" w:eastAsia="zh-CN"/>
        </w:rPr>
        <w:t xml:space="preserve">23 </w:t>
      </w:r>
      <w:r>
        <w:rPr>
          <w:rFonts w:hint="eastAsia" w:ascii="宋体" w:hAnsi="宋体" w:eastAsia="宋体" w:cs="宋体"/>
          <w:color w:val="auto"/>
          <w:sz w:val="24"/>
          <w:szCs w:val="24"/>
          <w:lang w:val="en-US" w:eastAsia="zh-CN"/>
        </w:rPr>
        <w:t>施工建造、运行阶段，</w:t>
      </w:r>
      <w:r>
        <w:rPr>
          <w:rFonts w:hint="eastAsia" w:ascii="宋体" w:hAnsi="宋体" w:eastAsia="宋体" w:cs="宋体"/>
          <w:color w:val="000000"/>
          <w:sz w:val="24"/>
          <w:highlight w:val="none"/>
          <w:lang w:eastAsia="zh-CN"/>
        </w:rPr>
        <w:t>定期组织应急演练，</w:t>
      </w:r>
      <w:r>
        <w:rPr>
          <w:rFonts w:hint="eastAsia" w:ascii="宋体" w:hAnsi="宋体" w:cs="宋体"/>
          <w:color w:val="000000"/>
          <w:sz w:val="24"/>
          <w:highlight w:val="none"/>
          <w:lang w:val="en-US" w:eastAsia="zh-CN"/>
        </w:rPr>
        <w:t>应按下列</w:t>
      </w:r>
      <w:r>
        <w:rPr>
          <w:rFonts w:hint="eastAsia" w:ascii="宋体" w:hAnsi="宋体" w:eastAsia="宋体" w:cs="宋体"/>
          <w:color w:val="000000"/>
          <w:sz w:val="24"/>
          <w:highlight w:val="none"/>
          <w:lang w:val="en-US" w:eastAsia="zh-CN"/>
        </w:rPr>
        <w:t>分别评价：</w:t>
      </w:r>
      <w:bookmarkEnd w:id="413"/>
    </w:p>
    <w:p w14:paraId="04AA97C6">
      <w:pPr>
        <w:wordWrap/>
        <w:spacing w:line="360" w:lineRule="auto"/>
        <w:ind w:firstLine="480" w:firstLineChars="200"/>
        <w:textAlignment w:val="auto"/>
        <w:rPr>
          <w:rFonts w:hint="eastAsia" w:ascii="宋体" w:hAnsi="宋体" w:eastAsia="宋体" w:cs="宋体"/>
          <w:color w:val="000000"/>
          <w:sz w:val="24"/>
          <w:highlight w:val="none"/>
          <w:lang w:val="en-US" w:eastAsia="zh-CN"/>
        </w:rPr>
      </w:pPr>
      <w:r>
        <w:rPr>
          <w:rFonts w:hint="eastAsia" w:ascii="宋体" w:hAnsi="宋体" w:eastAsia="宋体" w:cs="宋体"/>
          <w:color w:val="000000"/>
          <w:sz w:val="24"/>
          <w:highlight w:val="none"/>
          <w:lang w:val="en-US" w:eastAsia="zh-CN"/>
        </w:rPr>
        <w:t>1 根据项目风险情况明确应急演练频率与评估标准。高风险工点要求每季度开展全要素演练，中风险要求每半年一次演练，所有演练需包含夜间、雨雪等特殊工况场景；</w:t>
      </w:r>
    </w:p>
    <w:p w14:paraId="5E77E9BD">
      <w:pPr>
        <w:wordWrap/>
        <w:spacing w:line="360" w:lineRule="auto"/>
        <w:ind w:firstLine="480" w:firstLineChars="200"/>
        <w:textAlignment w:val="auto"/>
        <w:rPr>
          <w:rFonts w:hint="eastAsia" w:ascii="宋体" w:hAnsi="宋体" w:eastAsia="宋体" w:cs="宋体"/>
          <w:color w:val="000000"/>
          <w:sz w:val="24"/>
          <w:highlight w:val="none"/>
          <w:lang w:val="en-US" w:eastAsia="zh-CN"/>
        </w:rPr>
      </w:pPr>
      <w:r>
        <w:rPr>
          <w:rFonts w:hint="eastAsia" w:ascii="宋体" w:hAnsi="宋体" w:eastAsia="宋体" w:cs="宋体"/>
          <w:color w:val="000000"/>
          <w:sz w:val="24"/>
          <w:highlight w:val="none"/>
          <w:lang w:val="en-US" w:eastAsia="zh-CN"/>
        </w:rPr>
        <w:t>2 对演练效果进行评估和记录，持续优化应急管理体系。</w:t>
      </w:r>
    </w:p>
    <w:p w14:paraId="1787953D">
      <w:pPr>
        <w:wordWrap/>
        <w:spacing w:line="360" w:lineRule="auto"/>
        <w:jc w:val="left"/>
        <w:textAlignment w:val="auto"/>
        <w:outlineLvl w:val="9"/>
        <w:rPr>
          <w:rFonts w:hint="eastAsia" w:ascii="宋体" w:hAnsi="宋体" w:eastAsia="宋体" w:cs="宋体"/>
          <w:color w:val="000000"/>
          <w:sz w:val="24"/>
          <w:lang w:eastAsia="zh-CN"/>
        </w:rPr>
      </w:pPr>
      <w:bookmarkStart w:id="414" w:name="_Toc23439"/>
      <w:r>
        <w:rPr>
          <w:rFonts w:hint="eastAsia" w:ascii="宋体" w:hAnsi="宋体" w:cs="宋体"/>
          <w:color w:val="000000"/>
          <w:sz w:val="24"/>
          <w:lang w:eastAsia="zh-CN"/>
        </w:rPr>
        <w:t>B.2</w:t>
      </w:r>
      <w:r>
        <w:rPr>
          <w:rFonts w:hint="eastAsia" w:ascii="宋体" w:hAnsi="宋体" w:eastAsia="宋体" w:cs="宋体"/>
          <w:color w:val="000000"/>
          <w:sz w:val="24"/>
          <w:lang w:eastAsia="zh-CN"/>
        </w:rPr>
        <w:t>.</w:t>
      </w:r>
      <w:r>
        <w:rPr>
          <w:rFonts w:hint="eastAsia" w:ascii="宋体" w:hAnsi="宋体" w:cs="宋体"/>
          <w:color w:val="000000"/>
          <w:sz w:val="24"/>
          <w:lang w:val="en-US" w:eastAsia="zh-CN"/>
        </w:rPr>
        <w:t>24</w:t>
      </w:r>
      <w:r>
        <w:rPr>
          <w:rFonts w:hint="eastAsia" w:ascii="宋体" w:hAnsi="宋体" w:eastAsia="宋体" w:cs="宋体"/>
          <w:color w:val="auto"/>
          <w:sz w:val="24"/>
          <w:szCs w:val="24"/>
          <w:lang w:val="en-US" w:eastAsia="zh-CN"/>
        </w:rPr>
        <w:t>施工建造阶段，</w:t>
      </w:r>
      <w:r>
        <w:rPr>
          <w:rFonts w:hint="eastAsia" w:ascii="宋体" w:hAnsi="宋体" w:eastAsia="宋体" w:cs="宋体"/>
          <w:color w:val="000000"/>
          <w:sz w:val="24"/>
          <w:lang w:eastAsia="zh-CN"/>
        </w:rPr>
        <w:t>采用绿色施工技术（如节能盾构设备、环保注浆材料</w:t>
      </w:r>
      <w:r>
        <w:rPr>
          <w:rFonts w:hint="eastAsia" w:ascii="宋体" w:hAnsi="宋体" w:eastAsia="宋体" w:cs="宋体"/>
          <w:color w:val="000000"/>
          <w:sz w:val="24"/>
          <w:lang w:val="en-US" w:eastAsia="zh-CN"/>
        </w:rPr>
        <w:t>等</w:t>
      </w:r>
      <w:r>
        <w:rPr>
          <w:rFonts w:hint="eastAsia" w:ascii="宋体" w:hAnsi="宋体" w:eastAsia="宋体" w:cs="宋体"/>
          <w:color w:val="000000"/>
          <w:sz w:val="24"/>
          <w:lang w:eastAsia="zh-CN"/>
        </w:rPr>
        <w:t>新技术、新工艺、新方法）和数字化手段（如BIM、智能监测系统），推动工艺升级。</w:t>
      </w:r>
      <w:bookmarkEnd w:id="414"/>
      <w:r>
        <w:rPr>
          <w:rFonts w:hint="eastAsia" w:ascii="宋体" w:hAnsi="宋体" w:eastAsia="宋体" w:cs="宋体"/>
          <w:color w:val="000000"/>
          <w:sz w:val="24"/>
          <w:lang w:eastAsia="zh-CN"/>
        </w:rPr>
        <w:t xml:space="preserve">  </w:t>
      </w:r>
    </w:p>
    <w:p w14:paraId="7BE2FE3D">
      <w:pPr>
        <w:adjustRightInd/>
        <w:snapToGrid/>
        <w:spacing w:line="360" w:lineRule="auto"/>
        <w:jc w:val="left"/>
        <w:rPr>
          <w:rFonts w:hint="eastAsia" w:ascii="宋体" w:hAnsi="宋体" w:eastAsia="宋体" w:cs="宋体"/>
          <w:sz w:val="18"/>
          <w:szCs w:val="18"/>
        </w:rPr>
      </w:pPr>
      <w:bookmarkStart w:id="415" w:name="_Toc27756"/>
      <w:r>
        <w:rPr>
          <w:rFonts w:hint="eastAsia" w:ascii="宋体" w:hAnsi="宋体" w:cs="宋体"/>
          <w:color w:val="000000"/>
          <w:sz w:val="24"/>
          <w:lang w:eastAsia="zh-CN"/>
        </w:rPr>
        <w:t>B.2</w:t>
      </w:r>
      <w:r>
        <w:rPr>
          <w:rFonts w:hint="eastAsia" w:ascii="宋体" w:hAnsi="宋体" w:eastAsia="宋体" w:cs="宋体"/>
          <w:color w:val="000000"/>
          <w:sz w:val="24"/>
          <w:lang w:eastAsia="zh-CN"/>
        </w:rPr>
        <w:t>.</w:t>
      </w:r>
      <w:r>
        <w:rPr>
          <w:rFonts w:hint="eastAsia" w:ascii="宋体" w:hAnsi="宋体" w:cs="宋体"/>
          <w:color w:val="000000"/>
          <w:sz w:val="24"/>
          <w:lang w:val="en-US" w:eastAsia="zh-CN"/>
        </w:rPr>
        <w:t>25</w:t>
      </w:r>
      <w:r>
        <w:rPr>
          <w:rFonts w:hint="eastAsia" w:ascii="宋体" w:hAnsi="宋体" w:eastAsia="宋体" w:cs="宋体"/>
          <w:color w:val="auto"/>
          <w:sz w:val="24"/>
          <w:szCs w:val="24"/>
          <w:lang w:val="en-US" w:eastAsia="zh-CN"/>
        </w:rPr>
        <w:t>施工建造阶段，</w:t>
      </w:r>
      <w:r>
        <w:rPr>
          <w:rFonts w:hint="eastAsia" w:ascii="宋体" w:hAnsi="宋体" w:eastAsia="宋体" w:cs="宋体"/>
          <w:color w:val="000000"/>
          <w:sz w:val="24"/>
          <w:lang w:eastAsia="zh-CN"/>
        </w:rPr>
        <w:t>完整记录施工参数（如掘进速度、注浆压力）、监测数据（如地表沉降、隧道变形）并存档备查，建立质量与安全问题的可追溯机制，确保施工过程的可核查性和责任落实。</w:t>
      </w:r>
      <w:bookmarkEnd w:id="415"/>
    </w:p>
    <w:bookmarkEnd w:id="385"/>
    <w:bookmarkEnd w:id="386"/>
    <w:bookmarkEnd w:id="387"/>
    <w:bookmarkEnd w:id="388"/>
    <w:p w14:paraId="7841A45E">
      <w:pPr>
        <w:wordWrap/>
        <w:spacing w:line="360" w:lineRule="auto"/>
        <w:jc w:val="center"/>
        <w:textAlignment w:val="auto"/>
        <w:outlineLvl w:val="1"/>
        <w:rPr>
          <w:rFonts w:ascii="宋体" w:hAnsi="宋体" w:eastAsia="宋体" w:cs="宋体"/>
          <w:b/>
          <w:bCs/>
          <w:color w:val="auto"/>
          <w:sz w:val="30"/>
          <w:szCs w:val="30"/>
        </w:rPr>
      </w:pPr>
      <w:bookmarkStart w:id="416" w:name="_Toc20727"/>
      <w:bookmarkStart w:id="417" w:name="_Toc4474"/>
      <w:bookmarkStart w:id="418" w:name="_Toc17581"/>
      <w:bookmarkStart w:id="419" w:name="_Toc12057"/>
      <w:bookmarkStart w:id="420" w:name="_Toc12481"/>
      <w:bookmarkStart w:id="421" w:name="_Toc32440"/>
      <w:bookmarkStart w:id="422" w:name="_Toc18698"/>
      <w:bookmarkStart w:id="423" w:name="_Toc26328"/>
      <w:bookmarkStart w:id="424" w:name="_Toc28385"/>
      <w:r>
        <w:rPr>
          <w:rFonts w:hint="eastAsia" w:ascii="黑体" w:hAnsi="黑体" w:eastAsia="黑体" w:cs="黑体"/>
          <w:b/>
          <w:bCs/>
          <w:color w:val="auto"/>
          <w:sz w:val="28"/>
          <w:szCs w:val="28"/>
          <w:lang w:eastAsia="zh-CN"/>
        </w:rPr>
        <w:t>B</w:t>
      </w:r>
      <w:r>
        <w:rPr>
          <w:rFonts w:hint="eastAsia" w:ascii="黑体" w:hAnsi="黑体" w:eastAsia="黑体" w:cs="黑体"/>
          <w:b/>
          <w:bCs/>
          <w:color w:val="auto"/>
          <w:sz w:val="28"/>
          <w:szCs w:val="28"/>
          <w:lang w:val="en-US" w:eastAsia="zh-CN"/>
        </w:rPr>
        <w:t>.</w:t>
      </w:r>
      <w:r>
        <w:rPr>
          <w:rFonts w:hint="eastAsia" w:ascii="黑体" w:hAnsi="黑体" w:eastAsia="黑体" w:cs="黑体"/>
          <w:b/>
          <w:bCs/>
          <w:color w:val="auto"/>
          <w:sz w:val="28"/>
          <w:szCs w:val="28"/>
        </w:rPr>
        <w:t>3 城市公共管理与公共服务设施项目</w:t>
      </w:r>
      <w:bookmarkEnd w:id="416"/>
      <w:bookmarkEnd w:id="417"/>
      <w:r>
        <w:rPr>
          <w:rFonts w:hint="eastAsia" w:ascii="黑体" w:hAnsi="黑体" w:eastAsia="黑体" w:cs="黑体"/>
          <w:b/>
          <w:bCs/>
          <w:color w:val="auto"/>
          <w:sz w:val="28"/>
          <w:szCs w:val="28"/>
        </w:rPr>
        <w:t>专项内容评价指标</w:t>
      </w:r>
      <w:bookmarkEnd w:id="418"/>
      <w:bookmarkEnd w:id="419"/>
      <w:bookmarkEnd w:id="420"/>
      <w:bookmarkEnd w:id="421"/>
      <w:bookmarkEnd w:id="422"/>
      <w:bookmarkStart w:id="425" w:name="_Toc30185"/>
      <w:bookmarkStart w:id="426" w:name="_Toc10010"/>
    </w:p>
    <w:p w14:paraId="32AEAC9E">
      <w:pPr>
        <w:wordWrap/>
        <w:spacing w:line="360" w:lineRule="auto"/>
        <w:jc w:val="left"/>
        <w:textAlignment w:val="auto"/>
        <w:outlineLvl w:val="9"/>
        <w:rPr>
          <w:rFonts w:ascii="宋体" w:hAnsi="宋体" w:eastAsia="宋体" w:cs="宋体"/>
          <w:color w:val="auto"/>
          <w:sz w:val="24"/>
        </w:rPr>
      </w:pPr>
      <w:bookmarkStart w:id="427" w:name="_Toc24414"/>
      <w:bookmarkStart w:id="428" w:name="_Toc15252"/>
      <w:bookmarkStart w:id="429" w:name="_Toc27172"/>
      <w:bookmarkStart w:id="430" w:name="_Toc8914"/>
      <w:bookmarkStart w:id="431" w:name="_Toc16207"/>
      <w:bookmarkStart w:id="432" w:name="_Toc21089"/>
      <w:bookmarkStart w:id="433" w:name="_Toc6437"/>
      <w:bookmarkStart w:id="434" w:name="_Toc1081"/>
      <w:r>
        <w:rPr>
          <w:rFonts w:hint="eastAsia" w:ascii="宋体" w:hAnsi="宋体" w:cs="宋体"/>
          <w:color w:val="auto"/>
          <w:sz w:val="24"/>
          <w:lang w:eastAsia="zh-CN"/>
        </w:rPr>
        <w:t>B.3</w:t>
      </w:r>
      <w:r>
        <w:rPr>
          <w:rFonts w:ascii="宋体" w:hAnsi="宋体" w:eastAsia="宋体" w:cs="宋体"/>
          <w:color w:val="auto"/>
          <w:sz w:val="24"/>
        </w:rPr>
        <w:t>.1</w:t>
      </w:r>
      <w:r>
        <w:rPr>
          <w:rFonts w:hint="eastAsia" w:ascii="宋体" w:hAnsi="宋体" w:eastAsia="宋体" w:cs="宋体"/>
          <w:color w:val="auto"/>
          <w:sz w:val="24"/>
        </w:rPr>
        <w:t>运行阶段，</w:t>
      </w:r>
      <w:r>
        <w:rPr>
          <w:rFonts w:hint="eastAsia" w:ascii="宋体" w:hAnsi="宋体" w:cs="宋体"/>
          <w:color w:val="auto"/>
          <w:sz w:val="24"/>
          <w:lang w:val="en-US" w:eastAsia="zh-CN"/>
        </w:rPr>
        <w:t>应</w:t>
      </w:r>
      <w:r>
        <w:rPr>
          <w:rFonts w:ascii="宋体" w:hAnsi="宋体" w:eastAsia="宋体" w:cs="宋体"/>
          <w:color w:val="auto"/>
          <w:sz w:val="24"/>
        </w:rPr>
        <w:t>控制室内主要空气污染物的浓度，氨、甲醛、苯、总挥发性有机化合物、氡等污染物浓度比现行</w:t>
      </w:r>
      <w:r>
        <w:rPr>
          <w:rFonts w:hint="eastAsia" w:ascii="宋体" w:hAnsi="宋体" w:cs="宋体"/>
          <w:color w:val="auto"/>
          <w:sz w:val="24"/>
          <w:lang w:eastAsia="zh-CN"/>
        </w:rPr>
        <w:t>国家标准</w:t>
      </w:r>
      <w:r>
        <w:rPr>
          <w:rFonts w:ascii="宋体" w:hAnsi="宋体" w:eastAsia="宋体" w:cs="宋体"/>
          <w:color w:val="auto"/>
          <w:sz w:val="24"/>
        </w:rPr>
        <w:t>《室内空气质量标准》GB/T 18883规定限值降低20%。</w:t>
      </w:r>
      <w:bookmarkEnd w:id="427"/>
      <w:bookmarkEnd w:id="428"/>
      <w:bookmarkEnd w:id="429"/>
      <w:bookmarkEnd w:id="430"/>
      <w:bookmarkEnd w:id="431"/>
      <w:bookmarkEnd w:id="432"/>
      <w:bookmarkEnd w:id="433"/>
      <w:bookmarkEnd w:id="434"/>
    </w:p>
    <w:p w14:paraId="0EC29E86">
      <w:pPr>
        <w:wordWrap/>
        <w:spacing w:line="360" w:lineRule="auto"/>
        <w:jc w:val="left"/>
        <w:textAlignment w:val="auto"/>
        <w:outlineLvl w:val="9"/>
        <w:rPr>
          <w:rFonts w:hint="eastAsia" w:ascii="宋体" w:hAnsi="宋体" w:eastAsia="宋体" w:cs="宋体"/>
          <w:strike w:val="0"/>
          <w:color w:val="auto"/>
          <w:sz w:val="24"/>
        </w:rPr>
      </w:pPr>
      <w:bookmarkStart w:id="435" w:name="_Toc18637"/>
      <w:bookmarkStart w:id="436" w:name="_Toc11852"/>
      <w:bookmarkStart w:id="437" w:name="_Toc22050"/>
      <w:r>
        <w:rPr>
          <w:rFonts w:hint="eastAsia" w:ascii="宋体" w:hAnsi="宋体" w:cs="宋体"/>
          <w:strike w:val="0"/>
          <w:color w:val="auto"/>
          <w:sz w:val="24"/>
          <w:lang w:eastAsia="zh-CN"/>
        </w:rPr>
        <w:t>B.3</w:t>
      </w:r>
      <w:r>
        <w:rPr>
          <w:rFonts w:hint="eastAsia" w:ascii="宋体" w:hAnsi="宋体" w:eastAsia="宋体" w:cs="宋体"/>
          <w:strike w:val="0"/>
          <w:color w:val="auto"/>
          <w:sz w:val="24"/>
        </w:rPr>
        <w:t>.2 规划设计阶段，材料选择</w:t>
      </w:r>
      <w:r>
        <w:rPr>
          <w:rFonts w:hint="eastAsia" w:ascii="宋体" w:hAnsi="宋体" w:cs="宋体"/>
          <w:strike w:val="0"/>
          <w:color w:val="auto"/>
          <w:sz w:val="24"/>
          <w:lang w:val="en-US" w:eastAsia="zh-CN"/>
        </w:rPr>
        <w:t>应按下列</w:t>
      </w:r>
      <w:r>
        <w:rPr>
          <w:rFonts w:hint="eastAsia" w:ascii="宋体" w:hAnsi="宋体" w:eastAsia="宋体" w:cs="宋体"/>
          <w:strike w:val="0"/>
          <w:color w:val="auto"/>
          <w:sz w:val="24"/>
          <w:lang w:val="en-US" w:eastAsia="zh-CN"/>
        </w:rPr>
        <w:t>内容</w:t>
      </w:r>
      <w:r>
        <w:rPr>
          <w:rFonts w:hint="eastAsia" w:ascii="宋体" w:hAnsi="宋体" w:eastAsia="宋体" w:cs="宋体"/>
          <w:strike w:val="0"/>
          <w:color w:val="auto"/>
          <w:sz w:val="24"/>
        </w:rPr>
        <w:t>分别评分：</w:t>
      </w:r>
      <w:bookmarkEnd w:id="435"/>
      <w:bookmarkEnd w:id="436"/>
      <w:bookmarkEnd w:id="437"/>
      <w:r>
        <w:rPr>
          <w:rFonts w:hint="eastAsia" w:ascii="宋体" w:hAnsi="宋体" w:eastAsia="宋体" w:cs="宋体"/>
          <w:strike w:val="0"/>
          <w:color w:val="auto"/>
          <w:sz w:val="24"/>
        </w:rPr>
        <w:t xml:space="preserve"> </w:t>
      </w:r>
    </w:p>
    <w:p w14:paraId="1106B36A">
      <w:pPr>
        <w:wordWrap/>
        <w:spacing w:line="360" w:lineRule="auto"/>
        <w:ind w:firstLine="480" w:firstLineChars="200"/>
        <w:jc w:val="left"/>
        <w:textAlignment w:val="auto"/>
        <w:outlineLvl w:val="9"/>
        <w:rPr>
          <w:rFonts w:hint="eastAsia" w:ascii="宋体" w:hAnsi="宋体" w:eastAsia="宋体" w:cs="宋体"/>
          <w:strike w:val="0"/>
          <w:color w:val="auto"/>
          <w:sz w:val="24"/>
        </w:rPr>
      </w:pPr>
      <w:bookmarkStart w:id="438" w:name="_Toc4493"/>
      <w:bookmarkStart w:id="439" w:name="_Toc18165"/>
      <w:bookmarkStart w:id="440" w:name="_Toc26248"/>
      <w:r>
        <w:rPr>
          <w:rFonts w:hint="eastAsia" w:ascii="宋体" w:hAnsi="宋体" w:eastAsia="宋体" w:cs="宋体"/>
          <w:strike w:val="0"/>
          <w:color w:val="auto"/>
          <w:sz w:val="24"/>
        </w:rPr>
        <w:t>1 建筑结构材料优先选用高强与高性能混凝土、耐候与耐火结构钢、耐久木材等；</w:t>
      </w:r>
      <w:bookmarkEnd w:id="438"/>
      <w:bookmarkEnd w:id="439"/>
      <w:bookmarkEnd w:id="440"/>
    </w:p>
    <w:p w14:paraId="732268AE">
      <w:pPr>
        <w:wordWrap/>
        <w:spacing w:line="360" w:lineRule="auto"/>
        <w:ind w:firstLine="480" w:firstLineChars="200"/>
        <w:jc w:val="left"/>
        <w:textAlignment w:val="auto"/>
        <w:outlineLvl w:val="9"/>
        <w:rPr>
          <w:rFonts w:hint="eastAsia" w:ascii="宋体" w:hAnsi="宋体" w:eastAsia="宋体" w:cs="宋体"/>
          <w:strike w:val="0"/>
          <w:color w:val="auto"/>
          <w:sz w:val="24"/>
        </w:rPr>
      </w:pPr>
      <w:bookmarkStart w:id="441" w:name="_Toc18890"/>
      <w:bookmarkStart w:id="442" w:name="_Toc11236"/>
      <w:bookmarkStart w:id="443" w:name="_Toc30828"/>
      <w:r>
        <w:rPr>
          <w:rFonts w:hint="eastAsia" w:ascii="宋体" w:hAnsi="宋体" w:eastAsia="宋体" w:cs="宋体"/>
          <w:strike w:val="0"/>
          <w:color w:val="auto"/>
          <w:sz w:val="24"/>
        </w:rPr>
        <w:t>2 外饰面材料、室内装饰装修材料、防水和密封材料等选用耐久性好、易维护的材料；</w:t>
      </w:r>
      <w:bookmarkEnd w:id="441"/>
      <w:bookmarkEnd w:id="442"/>
      <w:bookmarkEnd w:id="443"/>
    </w:p>
    <w:p w14:paraId="2552C98C">
      <w:pPr>
        <w:wordWrap/>
        <w:spacing w:line="360" w:lineRule="auto"/>
        <w:ind w:firstLine="480" w:firstLineChars="200"/>
        <w:jc w:val="left"/>
        <w:textAlignment w:val="auto"/>
        <w:outlineLvl w:val="9"/>
        <w:rPr>
          <w:rFonts w:hint="eastAsia" w:ascii="宋体" w:hAnsi="宋体" w:eastAsia="宋体" w:cs="宋体"/>
          <w:strike w:val="0"/>
          <w:color w:val="auto"/>
          <w:sz w:val="24"/>
        </w:rPr>
      </w:pPr>
      <w:bookmarkStart w:id="444" w:name="_Toc24264"/>
      <w:bookmarkStart w:id="445" w:name="_Toc29136"/>
      <w:bookmarkStart w:id="446" w:name="_Toc30761"/>
      <w:r>
        <w:rPr>
          <w:rFonts w:hint="eastAsia" w:ascii="宋体" w:hAnsi="宋体" w:eastAsia="宋体" w:cs="宋体"/>
          <w:strike w:val="0"/>
          <w:color w:val="auto"/>
          <w:sz w:val="24"/>
        </w:rPr>
        <w:t>3 建筑门窗、幕墙及其配件的力学性能、热工性能和耐久性等符合相应产品标准规定，并满足设计使用年限要求；</w:t>
      </w:r>
      <w:bookmarkEnd w:id="444"/>
      <w:bookmarkEnd w:id="445"/>
      <w:bookmarkEnd w:id="446"/>
    </w:p>
    <w:p w14:paraId="512C8C2C">
      <w:pPr>
        <w:wordWrap/>
        <w:spacing w:line="360" w:lineRule="auto"/>
        <w:ind w:firstLine="480" w:firstLineChars="200"/>
        <w:jc w:val="left"/>
        <w:textAlignment w:val="auto"/>
        <w:outlineLvl w:val="9"/>
        <w:rPr>
          <w:rFonts w:hint="eastAsia" w:ascii="宋体" w:hAnsi="宋体" w:eastAsia="宋体" w:cs="宋体"/>
          <w:strike w:val="0"/>
          <w:color w:val="auto"/>
          <w:sz w:val="24"/>
        </w:rPr>
      </w:pPr>
      <w:bookmarkStart w:id="447" w:name="_Toc30456"/>
      <w:bookmarkStart w:id="448" w:name="_Toc18709"/>
      <w:bookmarkStart w:id="449" w:name="_Toc26918"/>
      <w:r>
        <w:rPr>
          <w:rFonts w:hint="eastAsia" w:ascii="宋体" w:hAnsi="宋体" w:eastAsia="宋体" w:cs="宋体"/>
          <w:strike w:val="0"/>
          <w:color w:val="auto"/>
          <w:sz w:val="24"/>
        </w:rPr>
        <w:t>4 管材、管线、管件应选用耐腐蚀、抗老化、耐久性能好的材料，活动配件选用长寿命产品，并考虑部品之间合理的寿命匹配性</w:t>
      </w:r>
      <w:r>
        <w:rPr>
          <w:rFonts w:hint="eastAsia" w:ascii="宋体" w:hAnsi="宋体" w:eastAsia="宋体" w:cs="宋体"/>
          <w:strike w:val="0"/>
          <w:color w:val="auto"/>
          <w:sz w:val="24"/>
          <w:lang w:eastAsia="zh-CN"/>
        </w:rPr>
        <w:t>，</w:t>
      </w:r>
      <w:r>
        <w:rPr>
          <w:rFonts w:hint="eastAsia" w:ascii="宋体" w:hAnsi="宋体" w:eastAsia="宋体" w:cs="宋体"/>
          <w:strike w:val="0"/>
          <w:color w:val="auto"/>
          <w:sz w:val="24"/>
        </w:rPr>
        <w:t>不同使用寿命的部品组合时，构造便于分别拆换、更新和升级；</w:t>
      </w:r>
      <w:bookmarkEnd w:id="447"/>
      <w:bookmarkEnd w:id="448"/>
      <w:bookmarkEnd w:id="449"/>
    </w:p>
    <w:p w14:paraId="1D35E7D4">
      <w:pPr>
        <w:wordWrap/>
        <w:spacing w:line="360" w:lineRule="auto"/>
        <w:ind w:firstLine="480" w:firstLineChars="200"/>
        <w:jc w:val="left"/>
        <w:textAlignment w:val="auto"/>
        <w:outlineLvl w:val="9"/>
        <w:rPr>
          <w:rFonts w:ascii="宋体" w:hAnsi="宋体" w:eastAsia="宋体" w:cs="宋体"/>
          <w:strike/>
          <w:color w:val="auto"/>
          <w:sz w:val="24"/>
        </w:rPr>
      </w:pPr>
      <w:bookmarkStart w:id="450" w:name="_Toc29342"/>
      <w:bookmarkStart w:id="451" w:name="_Toc21570"/>
      <w:bookmarkStart w:id="452" w:name="_Toc213"/>
      <w:r>
        <w:rPr>
          <w:rFonts w:hint="eastAsia" w:ascii="宋体" w:hAnsi="宋体" w:eastAsia="宋体" w:cs="宋体"/>
          <w:strike w:val="0"/>
          <w:color w:val="auto"/>
          <w:sz w:val="24"/>
        </w:rPr>
        <w:t>5 合理选用电梯和自动扶梯，并采取电梯群控、扶梯自动启停等节能控制措施。</w:t>
      </w:r>
      <w:bookmarkEnd w:id="450"/>
      <w:bookmarkEnd w:id="451"/>
      <w:bookmarkEnd w:id="452"/>
    </w:p>
    <w:p w14:paraId="7B34404B">
      <w:pPr>
        <w:wordWrap/>
        <w:spacing w:line="360" w:lineRule="auto"/>
        <w:jc w:val="left"/>
        <w:textAlignment w:val="auto"/>
        <w:outlineLvl w:val="9"/>
        <w:rPr>
          <w:rFonts w:hint="eastAsia" w:ascii="宋体" w:hAnsi="宋体" w:eastAsia="宋体" w:cs="宋体"/>
          <w:strike w:val="0"/>
          <w:color w:val="auto"/>
          <w:sz w:val="24"/>
        </w:rPr>
      </w:pPr>
      <w:bookmarkStart w:id="453" w:name="_Toc27811"/>
      <w:bookmarkStart w:id="454" w:name="_Toc23297"/>
      <w:bookmarkStart w:id="455" w:name="_Toc10410"/>
      <w:r>
        <w:rPr>
          <w:rFonts w:hint="eastAsia" w:ascii="宋体" w:hAnsi="宋体" w:cs="宋体"/>
          <w:strike w:val="0"/>
          <w:color w:val="auto"/>
          <w:sz w:val="24"/>
          <w:lang w:eastAsia="zh-CN"/>
        </w:rPr>
        <w:t>B.3</w:t>
      </w:r>
      <w:r>
        <w:rPr>
          <w:rFonts w:hint="eastAsia" w:ascii="宋体" w:hAnsi="宋体" w:eastAsia="宋体" w:cs="宋体"/>
          <w:strike w:val="0"/>
          <w:color w:val="auto"/>
          <w:sz w:val="24"/>
        </w:rPr>
        <w:t>.</w:t>
      </w:r>
      <w:r>
        <w:rPr>
          <w:rFonts w:hint="eastAsia" w:ascii="宋体" w:hAnsi="宋体" w:cs="宋体"/>
          <w:strike w:val="0"/>
          <w:color w:val="auto"/>
          <w:sz w:val="24"/>
          <w:lang w:val="en-US" w:eastAsia="zh-CN"/>
        </w:rPr>
        <w:t>3</w:t>
      </w:r>
      <w:r>
        <w:rPr>
          <w:rFonts w:hint="eastAsia" w:ascii="宋体" w:hAnsi="宋体" w:eastAsia="宋体" w:cs="宋体"/>
          <w:strike w:val="0"/>
          <w:color w:val="auto"/>
          <w:sz w:val="24"/>
        </w:rPr>
        <w:t xml:space="preserve"> 施工建造阶段，材料高效利用，</w:t>
      </w:r>
      <w:r>
        <w:rPr>
          <w:rFonts w:hint="eastAsia" w:ascii="宋体" w:hAnsi="宋体" w:cs="宋体"/>
          <w:strike w:val="0"/>
          <w:color w:val="auto"/>
          <w:sz w:val="24"/>
          <w:lang w:eastAsia="zh-CN"/>
        </w:rPr>
        <w:t>应按下列</w:t>
      </w:r>
      <w:r>
        <w:rPr>
          <w:rFonts w:hint="eastAsia" w:ascii="宋体" w:hAnsi="宋体" w:eastAsia="宋体" w:cs="宋体"/>
          <w:strike w:val="0"/>
          <w:color w:val="auto"/>
          <w:sz w:val="24"/>
        </w:rPr>
        <w:t>内容评分：</w:t>
      </w:r>
      <w:bookmarkEnd w:id="453"/>
      <w:bookmarkEnd w:id="454"/>
      <w:bookmarkEnd w:id="455"/>
    </w:p>
    <w:p w14:paraId="23F8CA11">
      <w:pPr>
        <w:wordWrap/>
        <w:spacing w:line="360" w:lineRule="auto"/>
        <w:ind w:firstLine="480" w:firstLineChars="200"/>
        <w:jc w:val="left"/>
        <w:textAlignment w:val="auto"/>
        <w:outlineLvl w:val="9"/>
        <w:rPr>
          <w:rFonts w:hint="eastAsia" w:ascii="宋体" w:hAnsi="宋体" w:eastAsia="宋体" w:cs="宋体"/>
          <w:strike w:val="0"/>
          <w:color w:val="auto"/>
          <w:sz w:val="24"/>
        </w:rPr>
      </w:pPr>
      <w:bookmarkStart w:id="456" w:name="_Toc27776"/>
      <w:bookmarkStart w:id="457" w:name="_Toc20642"/>
      <w:bookmarkStart w:id="458" w:name="_Toc6805"/>
      <w:r>
        <w:rPr>
          <w:rFonts w:hint="eastAsia" w:ascii="宋体" w:hAnsi="宋体" w:eastAsia="宋体" w:cs="宋体"/>
          <w:strike w:val="0"/>
          <w:color w:val="auto"/>
          <w:sz w:val="24"/>
        </w:rPr>
        <w:t>1 在满足设计要求的前提下，充分考虑施工临时设施与永久性设施的结合利用；</w:t>
      </w:r>
      <w:bookmarkEnd w:id="456"/>
      <w:bookmarkEnd w:id="457"/>
      <w:bookmarkEnd w:id="458"/>
    </w:p>
    <w:p w14:paraId="3B98972B">
      <w:pPr>
        <w:wordWrap/>
        <w:spacing w:line="360" w:lineRule="auto"/>
        <w:ind w:firstLine="480" w:firstLineChars="200"/>
        <w:jc w:val="left"/>
        <w:textAlignment w:val="auto"/>
        <w:outlineLvl w:val="9"/>
        <w:rPr>
          <w:rFonts w:hint="eastAsia" w:ascii="宋体" w:hAnsi="宋体" w:eastAsia="宋体" w:cs="宋体"/>
          <w:strike w:val="0"/>
          <w:color w:val="auto"/>
          <w:sz w:val="24"/>
        </w:rPr>
      </w:pPr>
      <w:bookmarkStart w:id="459" w:name="_Toc24835"/>
      <w:bookmarkStart w:id="460" w:name="_Toc24300"/>
      <w:bookmarkStart w:id="461" w:name="_Toc13628"/>
      <w:r>
        <w:rPr>
          <w:rFonts w:hint="eastAsia" w:ascii="宋体" w:hAnsi="宋体" w:eastAsia="宋体" w:cs="宋体"/>
          <w:strike w:val="0"/>
          <w:color w:val="auto"/>
          <w:sz w:val="24"/>
        </w:rPr>
        <w:t>2 推广使用新型模架体系，提高施工临时设施和周转材料的工业化程度和周转次数；</w:t>
      </w:r>
      <w:bookmarkEnd w:id="459"/>
      <w:bookmarkEnd w:id="460"/>
      <w:bookmarkEnd w:id="461"/>
    </w:p>
    <w:p w14:paraId="493EABA6">
      <w:pPr>
        <w:wordWrap/>
        <w:spacing w:line="360" w:lineRule="auto"/>
        <w:ind w:firstLine="480" w:firstLineChars="200"/>
        <w:jc w:val="left"/>
        <w:textAlignment w:val="auto"/>
        <w:outlineLvl w:val="9"/>
        <w:rPr>
          <w:rFonts w:ascii="宋体" w:hAnsi="宋体" w:eastAsia="宋体" w:cs="宋体"/>
          <w:strike w:val="0"/>
          <w:color w:val="auto"/>
          <w:sz w:val="24"/>
        </w:rPr>
      </w:pPr>
      <w:bookmarkStart w:id="462" w:name="_Toc19728"/>
      <w:bookmarkStart w:id="463" w:name="_Toc3008"/>
      <w:bookmarkStart w:id="464" w:name="_Toc8960"/>
      <w:r>
        <w:rPr>
          <w:rFonts w:hint="eastAsia" w:ascii="宋体" w:hAnsi="宋体" w:eastAsia="宋体" w:cs="宋体"/>
          <w:strike w:val="0"/>
          <w:color w:val="auto"/>
          <w:sz w:val="24"/>
        </w:rPr>
        <w:t>3 部品部件安装采用与其相匹配的工具化、标准化工装系统，采用适用的安装工法，制定合理的安装工序，减少现场支模和脚手架搭建。</w:t>
      </w:r>
      <w:bookmarkEnd w:id="462"/>
      <w:bookmarkEnd w:id="463"/>
      <w:bookmarkEnd w:id="464"/>
    </w:p>
    <w:p w14:paraId="5FC01EFF">
      <w:pPr>
        <w:wordWrap/>
        <w:spacing w:line="360" w:lineRule="auto"/>
        <w:jc w:val="left"/>
        <w:textAlignment w:val="auto"/>
        <w:outlineLvl w:val="9"/>
        <w:rPr>
          <w:rFonts w:hint="eastAsia" w:ascii="宋体" w:hAnsi="宋体" w:eastAsia="宋体" w:cs="宋体"/>
          <w:color w:val="auto"/>
          <w:sz w:val="24"/>
        </w:rPr>
      </w:pPr>
      <w:bookmarkStart w:id="465" w:name="_Toc28374"/>
      <w:bookmarkStart w:id="466" w:name="_Toc28086"/>
      <w:bookmarkStart w:id="467" w:name="_Toc8222"/>
      <w:r>
        <w:rPr>
          <w:rFonts w:hint="eastAsia" w:ascii="宋体" w:hAnsi="宋体" w:cs="宋体"/>
          <w:color w:val="auto"/>
          <w:sz w:val="24"/>
          <w:lang w:eastAsia="zh-CN"/>
        </w:rPr>
        <w:t>B.3</w:t>
      </w:r>
      <w:r>
        <w:rPr>
          <w:rFonts w:hint="eastAsia" w:ascii="宋体" w:hAnsi="宋体" w:eastAsia="宋体" w:cs="宋体"/>
          <w:color w:val="auto"/>
          <w:sz w:val="24"/>
        </w:rPr>
        <w:t>.</w:t>
      </w:r>
      <w:r>
        <w:rPr>
          <w:rFonts w:hint="eastAsia" w:ascii="宋体" w:hAnsi="宋体" w:cs="宋体"/>
          <w:color w:val="auto"/>
          <w:sz w:val="24"/>
          <w:lang w:val="en-US" w:eastAsia="zh-CN"/>
        </w:rPr>
        <w:t>4</w:t>
      </w:r>
      <w:r>
        <w:rPr>
          <w:rFonts w:hint="eastAsia" w:ascii="宋体" w:hAnsi="宋体" w:eastAsia="宋体" w:cs="宋体"/>
          <w:color w:val="auto"/>
          <w:sz w:val="24"/>
        </w:rPr>
        <w:t xml:space="preserve"> 采用适宜技术和有效措施提高土地利用效率，</w:t>
      </w:r>
      <w:r>
        <w:rPr>
          <w:rFonts w:hint="eastAsia" w:ascii="宋体" w:hAnsi="宋体" w:cs="宋体"/>
          <w:color w:val="auto"/>
          <w:sz w:val="24"/>
          <w:lang w:eastAsia="zh-CN"/>
        </w:rPr>
        <w:t>应按下列</w:t>
      </w:r>
      <w:r>
        <w:rPr>
          <w:rFonts w:hint="eastAsia" w:ascii="宋体" w:hAnsi="宋体" w:eastAsia="宋体" w:cs="宋体"/>
          <w:color w:val="auto"/>
          <w:sz w:val="24"/>
        </w:rPr>
        <w:t>内容分别评分：</w:t>
      </w:r>
      <w:bookmarkEnd w:id="465"/>
      <w:bookmarkEnd w:id="466"/>
      <w:bookmarkEnd w:id="467"/>
      <w:r>
        <w:rPr>
          <w:rFonts w:hint="eastAsia" w:ascii="宋体" w:hAnsi="宋体" w:eastAsia="宋体" w:cs="宋体"/>
          <w:color w:val="auto"/>
          <w:sz w:val="24"/>
        </w:rPr>
        <w:t xml:space="preserve"> </w:t>
      </w:r>
    </w:p>
    <w:p w14:paraId="04D4238C">
      <w:pPr>
        <w:wordWrap/>
        <w:spacing w:line="360" w:lineRule="auto"/>
        <w:ind w:firstLine="480" w:firstLineChars="200"/>
        <w:jc w:val="left"/>
        <w:textAlignment w:val="auto"/>
        <w:outlineLvl w:val="9"/>
        <w:rPr>
          <w:rFonts w:hint="eastAsia" w:ascii="宋体" w:hAnsi="宋体" w:eastAsia="宋体" w:cs="宋体"/>
          <w:color w:val="auto"/>
          <w:sz w:val="24"/>
        </w:rPr>
      </w:pPr>
      <w:bookmarkStart w:id="468" w:name="_Toc8626"/>
      <w:bookmarkStart w:id="469" w:name="_Toc28738"/>
      <w:bookmarkStart w:id="470" w:name="_Toc21598"/>
      <w:r>
        <w:rPr>
          <w:rFonts w:hint="eastAsia" w:ascii="宋体" w:hAnsi="宋体" w:eastAsia="宋体" w:cs="宋体"/>
          <w:color w:val="auto"/>
          <w:sz w:val="24"/>
        </w:rPr>
        <w:t>1 规划设计阶段，充分利用地下、地上空间，提高土地有效利用率</w:t>
      </w:r>
      <w:r>
        <w:rPr>
          <w:rFonts w:hint="eastAsia" w:ascii="宋体" w:hAnsi="宋体" w:eastAsia="宋体" w:cs="宋体"/>
          <w:color w:val="auto"/>
          <w:sz w:val="24"/>
          <w:lang w:eastAsia="zh-CN"/>
        </w:rPr>
        <w:t>；</w:t>
      </w:r>
      <w:bookmarkEnd w:id="468"/>
      <w:bookmarkEnd w:id="469"/>
      <w:bookmarkEnd w:id="470"/>
    </w:p>
    <w:p w14:paraId="170AF555">
      <w:pPr>
        <w:wordWrap/>
        <w:spacing w:line="360" w:lineRule="auto"/>
        <w:ind w:firstLine="480" w:firstLineChars="200"/>
        <w:jc w:val="left"/>
        <w:textAlignment w:val="auto"/>
        <w:outlineLvl w:val="9"/>
        <w:rPr>
          <w:rFonts w:hint="eastAsia" w:ascii="宋体" w:hAnsi="宋体" w:eastAsia="宋体" w:cs="宋体"/>
          <w:color w:val="auto"/>
          <w:sz w:val="24"/>
        </w:rPr>
      </w:pPr>
      <w:bookmarkStart w:id="471" w:name="_Toc9355"/>
      <w:bookmarkStart w:id="472" w:name="_Toc3419"/>
      <w:bookmarkStart w:id="473" w:name="_Toc29483"/>
      <w:r>
        <w:rPr>
          <w:rFonts w:hint="eastAsia" w:ascii="宋体" w:hAnsi="宋体" w:eastAsia="宋体" w:cs="宋体"/>
          <w:color w:val="auto"/>
          <w:sz w:val="24"/>
        </w:rPr>
        <w:t>2 施工建造阶段，科学功能分区，合理确定施工、办公、生活服务设施等区域，并充分利用场地空间设置绿化用地；各项设施的布置紧凑、合理，人行与货运交通明确便捷，互不干扰，提升项目施工现场的可达性；充分利用原有建（构）筑物、道路、管线等。</w:t>
      </w:r>
      <w:bookmarkEnd w:id="471"/>
      <w:bookmarkEnd w:id="472"/>
      <w:bookmarkEnd w:id="473"/>
    </w:p>
    <w:p w14:paraId="27CD56B1">
      <w:pPr>
        <w:wordWrap/>
        <w:spacing w:line="360" w:lineRule="auto"/>
        <w:jc w:val="left"/>
        <w:textAlignment w:val="auto"/>
        <w:outlineLvl w:val="9"/>
        <w:rPr>
          <w:rFonts w:hint="eastAsia" w:ascii="宋体" w:hAnsi="宋体" w:eastAsia="宋体" w:cs="宋体"/>
          <w:color w:val="auto"/>
          <w:sz w:val="24"/>
          <w:highlight w:val="none"/>
          <w:lang w:eastAsia="zh-CN"/>
        </w:rPr>
      </w:pPr>
      <w:bookmarkStart w:id="474" w:name="_Toc17289"/>
      <w:bookmarkStart w:id="475" w:name="_Toc7595"/>
      <w:bookmarkStart w:id="476" w:name="_Toc17267"/>
      <w:r>
        <w:rPr>
          <w:rFonts w:hint="eastAsia" w:ascii="宋体" w:hAnsi="宋体" w:cs="宋体"/>
          <w:color w:val="auto"/>
          <w:sz w:val="24"/>
          <w:highlight w:val="none"/>
          <w:lang w:eastAsia="zh-CN"/>
        </w:rPr>
        <w:t>B.3</w:t>
      </w:r>
      <w:r>
        <w:rPr>
          <w:rFonts w:hint="eastAsia" w:ascii="宋体" w:hAnsi="宋体" w:eastAsia="宋体" w:cs="宋体"/>
          <w:color w:val="auto"/>
          <w:sz w:val="24"/>
          <w:highlight w:val="none"/>
        </w:rPr>
        <w:t>.</w:t>
      </w:r>
      <w:r>
        <w:rPr>
          <w:rFonts w:hint="eastAsia" w:ascii="宋体" w:hAnsi="宋体" w:cs="宋体"/>
          <w:color w:val="auto"/>
          <w:sz w:val="24"/>
          <w:highlight w:val="none"/>
          <w:lang w:val="en-US" w:eastAsia="zh-CN"/>
        </w:rPr>
        <w:t>5</w:t>
      </w:r>
      <w:r>
        <w:rPr>
          <w:rFonts w:hint="eastAsia" w:ascii="宋体" w:hAnsi="宋体" w:eastAsia="宋体" w:cs="宋体"/>
          <w:color w:val="auto"/>
          <w:sz w:val="24"/>
          <w:highlight w:val="none"/>
        </w:rPr>
        <w:t xml:space="preserve"> </w:t>
      </w:r>
      <w:r>
        <w:rPr>
          <w:rFonts w:hint="eastAsia" w:ascii="宋体" w:hAnsi="宋体" w:eastAsia="宋体" w:cs="宋体"/>
          <w:i w:val="0"/>
          <w:iCs w:val="0"/>
          <w:caps w:val="0"/>
          <w:color w:val="auto"/>
          <w:spacing w:val="0"/>
          <w:sz w:val="24"/>
          <w:szCs w:val="24"/>
          <w:highlight w:val="none"/>
        </w:rPr>
        <w:t>政府性资金参与投资建设的</w:t>
      </w:r>
      <w:r>
        <w:rPr>
          <w:rFonts w:hint="eastAsia" w:ascii="宋体" w:hAnsi="宋体" w:eastAsia="宋体" w:cs="宋体"/>
          <w:i w:val="0"/>
          <w:iCs w:val="0"/>
          <w:caps w:val="0"/>
          <w:color w:val="auto"/>
          <w:spacing w:val="0"/>
          <w:sz w:val="24"/>
          <w:szCs w:val="24"/>
          <w:highlight w:val="none"/>
          <w:lang w:eastAsia="zh-CN"/>
        </w:rPr>
        <w:t>社会性公共房屋</w:t>
      </w:r>
      <w:r>
        <w:rPr>
          <w:rFonts w:hint="eastAsia" w:ascii="宋体" w:hAnsi="宋体" w:eastAsia="宋体" w:cs="宋体"/>
          <w:i w:val="0"/>
          <w:iCs w:val="0"/>
          <w:caps w:val="0"/>
          <w:color w:val="auto"/>
          <w:spacing w:val="0"/>
          <w:sz w:val="24"/>
          <w:szCs w:val="24"/>
          <w:highlight w:val="none"/>
        </w:rPr>
        <w:t>建筑</w:t>
      </w:r>
      <w:r>
        <w:rPr>
          <w:rFonts w:hint="eastAsia" w:ascii="宋体" w:hAnsi="宋体" w:cs="宋体"/>
          <w:i w:val="0"/>
          <w:iCs w:val="0"/>
          <w:caps w:val="0"/>
          <w:color w:val="auto"/>
          <w:spacing w:val="0"/>
          <w:sz w:val="24"/>
          <w:szCs w:val="24"/>
          <w:highlight w:val="none"/>
          <w:lang w:val="en-US" w:eastAsia="zh-CN"/>
        </w:rPr>
        <w:t>应</w:t>
      </w:r>
      <w:r>
        <w:rPr>
          <w:rFonts w:hint="eastAsia" w:ascii="宋体" w:hAnsi="宋体" w:eastAsia="宋体" w:cs="宋体"/>
          <w:i w:val="0"/>
          <w:iCs w:val="0"/>
          <w:caps w:val="0"/>
          <w:color w:val="auto"/>
          <w:spacing w:val="0"/>
          <w:sz w:val="24"/>
          <w:szCs w:val="24"/>
          <w:highlight w:val="none"/>
        </w:rPr>
        <w:t>执行绿色建筑二星级以上标准</w:t>
      </w:r>
      <w:r>
        <w:rPr>
          <w:rFonts w:hint="eastAsia" w:ascii="宋体" w:hAnsi="宋体" w:cs="宋体"/>
          <w:i w:val="0"/>
          <w:iCs w:val="0"/>
          <w:caps w:val="0"/>
          <w:color w:val="auto"/>
          <w:spacing w:val="0"/>
          <w:sz w:val="24"/>
          <w:szCs w:val="24"/>
          <w:highlight w:val="none"/>
          <w:lang w:eastAsia="zh-CN"/>
        </w:rPr>
        <w:t>。</w:t>
      </w:r>
      <w:bookmarkEnd w:id="474"/>
      <w:bookmarkEnd w:id="475"/>
      <w:bookmarkEnd w:id="476"/>
    </w:p>
    <w:p w14:paraId="18CD70A8">
      <w:pPr>
        <w:wordWrap/>
        <w:spacing w:line="360" w:lineRule="auto"/>
        <w:jc w:val="left"/>
        <w:textAlignment w:val="auto"/>
        <w:outlineLvl w:val="9"/>
        <w:rPr>
          <w:rFonts w:hint="eastAsia" w:ascii="宋体" w:hAnsi="宋体" w:eastAsia="宋体" w:cs="宋体"/>
          <w:color w:val="auto"/>
          <w:sz w:val="24"/>
        </w:rPr>
      </w:pPr>
      <w:bookmarkStart w:id="477" w:name="_Toc24989"/>
      <w:bookmarkStart w:id="478" w:name="_Toc21134"/>
      <w:bookmarkStart w:id="479" w:name="_Toc31606"/>
      <w:r>
        <w:rPr>
          <w:rFonts w:hint="eastAsia" w:ascii="宋体" w:hAnsi="宋体" w:cs="宋体"/>
          <w:color w:val="auto"/>
          <w:sz w:val="24"/>
          <w:lang w:eastAsia="zh-CN"/>
        </w:rPr>
        <w:t>B.3</w:t>
      </w:r>
      <w:r>
        <w:rPr>
          <w:rFonts w:hint="eastAsia" w:ascii="宋体" w:hAnsi="宋体" w:eastAsia="宋体" w:cs="宋体"/>
          <w:color w:val="auto"/>
          <w:sz w:val="24"/>
        </w:rPr>
        <w:t>.</w:t>
      </w:r>
      <w:r>
        <w:rPr>
          <w:rFonts w:hint="eastAsia" w:ascii="宋体" w:hAnsi="宋体" w:cs="宋体"/>
          <w:color w:val="auto"/>
          <w:sz w:val="24"/>
          <w:lang w:val="en-US" w:eastAsia="zh-CN"/>
        </w:rPr>
        <w:t>6</w:t>
      </w:r>
      <w:r>
        <w:rPr>
          <w:rFonts w:hint="eastAsia" w:ascii="宋体" w:hAnsi="宋体" w:eastAsia="宋体" w:cs="宋体"/>
          <w:color w:val="auto"/>
          <w:sz w:val="24"/>
        </w:rPr>
        <w:t xml:space="preserve"> 提升项目结构安全与耐久性，增强项目韧性与抗灾性能，</w:t>
      </w:r>
      <w:r>
        <w:rPr>
          <w:rFonts w:hint="eastAsia" w:ascii="宋体" w:hAnsi="宋体" w:cs="宋体"/>
          <w:color w:val="auto"/>
          <w:sz w:val="24"/>
          <w:lang w:eastAsia="zh-CN"/>
        </w:rPr>
        <w:t>应按下列</w:t>
      </w:r>
      <w:r>
        <w:rPr>
          <w:rFonts w:hint="eastAsia" w:ascii="宋体" w:hAnsi="宋体" w:eastAsia="宋体" w:cs="宋体"/>
          <w:color w:val="auto"/>
          <w:sz w:val="24"/>
        </w:rPr>
        <w:t>内容分别评分：</w:t>
      </w:r>
      <w:bookmarkEnd w:id="477"/>
      <w:bookmarkEnd w:id="478"/>
      <w:bookmarkEnd w:id="479"/>
    </w:p>
    <w:p w14:paraId="7109BA55">
      <w:pPr>
        <w:wordWrap/>
        <w:spacing w:line="360" w:lineRule="auto"/>
        <w:ind w:firstLine="480" w:firstLineChars="200"/>
        <w:jc w:val="left"/>
        <w:textAlignment w:val="auto"/>
        <w:outlineLvl w:val="9"/>
        <w:rPr>
          <w:rFonts w:hint="eastAsia" w:ascii="宋体" w:hAnsi="宋体" w:eastAsia="宋体" w:cs="宋体"/>
          <w:color w:val="auto"/>
          <w:sz w:val="24"/>
        </w:rPr>
      </w:pPr>
      <w:bookmarkStart w:id="480" w:name="_Toc10481"/>
      <w:bookmarkStart w:id="481" w:name="_Toc4484"/>
      <w:bookmarkStart w:id="482" w:name="_Toc23965"/>
      <w:r>
        <w:rPr>
          <w:rFonts w:hint="eastAsia" w:ascii="宋体" w:hAnsi="宋体" w:eastAsia="宋体" w:cs="宋体"/>
          <w:color w:val="auto"/>
          <w:sz w:val="24"/>
        </w:rPr>
        <w:t>1 采用先进适用技术，提升项目结构安全性、耐久性；</w:t>
      </w:r>
      <w:bookmarkEnd w:id="480"/>
      <w:bookmarkEnd w:id="481"/>
      <w:bookmarkEnd w:id="482"/>
    </w:p>
    <w:p w14:paraId="556894AE">
      <w:pPr>
        <w:wordWrap/>
        <w:spacing w:line="360" w:lineRule="auto"/>
        <w:ind w:firstLine="480" w:firstLineChars="200"/>
        <w:jc w:val="left"/>
        <w:textAlignment w:val="auto"/>
        <w:outlineLvl w:val="9"/>
        <w:rPr>
          <w:rFonts w:hint="eastAsia" w:ascii="宋体" w:hAnsi="宋体" w:eastAsia="宋体" w:cs="宋体"/>
          <w:color w:val="auto"/>
          <w:sz w:val="24"/>
        </w:rPr>
      </w:pPr>
      <w:bookmarkStart w:id="483" w:name="_Toc29762"/>
      <w:bookmarkStart w:id="484" w:name="_Toc3937"/>
      <w:bookmarkStart w:id="485" w:name="_Toc29458"/>
      <w:r>
        <w:rPr>
          <w:rFonts w:hint="eastAsia" w:ascii="宋体" w:hAnsi="宋体" w:eastAsia="宋体" w:cs="宋体"/>
          <w:color w:val="auto"/>
          <w:sz w:val="24"/>
        </w:rPr>
        <w:t>2 对大型、大跨度公共项目采用智能化手段，建立完善的结构监测体系，对结构安全进行监测。</w:t>
      </w:r>
      <w:bookmarkEnd w:id="423"/>
      <w:bookmarkEnd w:id="424"/>
      <w:bookmarkEnd w:id="425"/>
      <w:bookmarkEnd w:id="426"/>
      <w:bookmarkEnd w:id="483"/>
      <w:bookmarkEnd w:id="484"/>
      <w:bookmarkEnd w:id="485"/>
    </w:p>
    <w:p w14:paraId="0E78320B">
      <w:pPr>
        <w:wordWrap/>
        <w:spacing w:line="360" w:lineRule="auto"/>
        <w:jc w:val="center"/>
        <w:textAlignment w:val="auto"/>
        <w:outlineLvl w:val="1"/>
        <w:rPr>
          <w:rFonts w:hint="eastAsia" w:ascii="黑体" w:hAnsi="黑体" w:eastAsia="黑体" w:cs="黑体"/>
          <w:b/>
          <w:bCs/>
          <w:color w:val="auto"/>
          <w:sz w:val="28"/>
          <w:szCs w:val="28"/>
          <w:lang w:val="en-US" w:eastAsia="zh-CN"/>
        </w:rPr>
      </w:pPr>
      <w:bookmarkStart w:id="486" w:name="_Toc2475"/>
      <w:bookmarkStart w:id="487" w:name="_Toc27917"/>
      <w:bookmarkStart w:id="488" w:name="_Toc12165"/>
      <w:bookmarkStart w:id="489" w:name="_Toc32166"/>
      <w:bookmarkStart w:id="490" w:name="_Toc1307"/>
      <w:bookmarkStart w:id="491" w:name="_Toc3860"/>
      <w:bookmarkStart w:id="492" w:name="_Toc22694"/>
      <w:r>
        <w:rPr>
          <w:rFonts w:hint="eastAsia" w:ascii="黑体" w:hAnsi="黑体" w:eastAsia="黑体" w:cs="黑体"/>
          <w:b/>
          <w:bCs/>
          <w:color w:val="auto"/>
          <w:sz w:val="28"/>
          <w:szCs w:val="28"/>
          <w:lang w:eastAsia="zh-CN"/>
        </w:rPr>
        <w:t>B</w:t>
      </w:r>
      <w:r>
        <w:rPr>
          <w:rFonts w:hint="eastAsia" w:ascii="黑体" w:hAnsi="黑体" w:eastAsia="黑体" w:cs="黑体"/>
          <w:b/>
          <w:bCs/>
          <w:color w:val="auto"/>
          <w:sz w:val="28"/>
          <w:szCs w:val="28"/>
          <w:lang w:val="en-US" w:eastAsia="zh-CN"/>
        </w:rPr>
        <w:t>.</w:t>
      </w:r>
      <w:r>
        <w:rPr>
          <w:rFonts w:hint="eastAsia" w:ascii="黑体" w:hAnsi="黑体" w:eastAsia="黑体" w:cs="黑体"/>
          <w:b/>
          <w:bCs/>
          <w:color w:val="auto"/>
          <w:sz w:val="28"/>
          <w:szCs w:val="28"/>
        </w:rPr>
        <w:t>4 城市污水、垃圾处理设施项目</w:t>
      </w:r>
      <w:bookmarkEnd w:id="486"/>
      <w:bookmarkEnd w:id="487"/>
      <w:r>
        <w:rPr>
          <w:rFonts w:hint="eastAsia" w:ascii="黑体" w:hAnsi="黑体" w:eastAsia="黑体" w:cs="黑体"/>
          <w:b/>
          <w:bCs/>
          <w:color w:val="auto"/>
          <w:sz w:val="28"/>
          <w:szCs w:val="28"/>
        </w:rPr>
        <w:t>专项内容评价指标</w:t>
      </w:r>
      <w:bookmarkEnd w:id="488"/>
      <w:bookmarkEnd w:id="489"/>
      <w:bookmarkEnd w:id="490"/>
      <w:bookmarkEnd w:id="491"/>
      <w:bookmarkEnd w:id="492"/>
    </w:p>
    <w:p w14:paraId="00E5D284">
      <w:pPr>
        <w:wordWrap/>
        <w:spacing w:line="360" w:lineRule="auto"/>
        <w:jc w:val="left"/>
        <w:textAlignment w:val="auto"/>
        <w:outlineLvl w:val="9"/>
        <w:rPr>
          <w:rFonts w:ascii="宋体" w:hAnsi="宋体" w:eastAsia="宋体" w:cs="宋体"/>
          <w:color w:val="auto"/>
          <w:sz w:val="24"/>
        </w:rPr>
      </w:pPr>
      <w:bookmarkStart w:id="493" w:name="_Toc5996"/>
      <w:bookmarkStart w:id="494" w:name="_Toc5930"/>
      <w:bookmarkStart w:id="495" w:name="_Toc14321"/>
      <w:bookmarkStart w:id="496" w:name="_Toc26261"/>
      <w:bookmarkStart w:id="497" w:name="_Toc8475"/>
      <w:bookmarkStart w:id="498" w:name="_Toc24637"/>
      <w:bookmarkStart w:id="499" w:name="_Toc21811"/>
      <w:bookmarkStart w:id="500" w:name="_Toc29028"/>
      <w:r>
        <w:rPr>
          <w:rFonts w:hint="eastAsia" w:ascii="宋体" w:hAnsi="宋体" w:cs="宋体"/>
          <w:color w:val="auto"/>
          <w:sz w:val="24"/>
          <w:lang w:eastAsia="zh-CN"/>
        </w:rPr>
        <w:t>B.4</w:t>
      </w:r>
      <w:r>
        <w:rPr>
          <w:rFonts w:ascii="宋体" w:hAnsi="宋体" w:eastAsia="宋体" w:cs="宋体"/>
          <w:color w:val="auto"/>
          <w:sz w:val="24"/>
        </w:rPr>
        <w:t>.</w:t>
      </w:r>
      <w:r>
        <w:rPr>
          <w:rFonts w:hint="eastAsia" w:ascii="宋体" w:hAnsi="宋体" w:eastAsia="宋体" w:cs="宋体"/>
          <w:color w:val="auto"/>
          <w:sz w:val="24"/>
        </w:rPr>
        <w:t>1</w:t>
      </w:r>
      <w:r>
        <w:rPr>
          <w:rFonts w:ascii="宋体" w:hAnsi="宋体" w:eastAsia="宋体" w:cs="宋体"/>
          <w:color w:val="auto"/>
          <w:sz w:val="24"/>
        </w:rPr>
        <w:t xml:space="preserve"> 污</w:t>
      </w:r>
      <w:r>
        <w:rPr>
          <w:rFonts w:hint="eastAsia" w:ascii="宋体" w:hAnsi="宋体" w:eastAsia="宋体" w:cs="宋体"/>
          <w:color w:val="auto"/>
          <w:sz w:val="24"/>
          <w:lang w:val="en-US" w:eastAsia="zh-CN"/>
        </w:rPr>
        <w:t>水</w:t>
      </w:r>
      <w:r>
        <w:rPr>
          <w:rFonts w:ascii="宋体" w:hAnsi="宋体" w:eastAsia="宋体" w:cs="宋体"/>
          <w:color w:val="auto"/>
          <w:sz w:val="24"/>
        </w:rPr>
        <w:t>、废水排放应满足国家和地方标准允许的限值，无污染地下水的安全风险，</w:t>
      </w:r>
      <w:r>
        <w:rPr>
          <w:rFonts w:hint="eastAsia" w:ascii="宋体" w:hAnsi="宋体" w:cs="宋体"/>
          <w:color w:val="auto"/>
          <w:sz w:val="24"/>
          <w:lang w:eastAsia="zh-CN"/>
        </w:rPr>
        <w:t>应按下列</w:t>
      </w:r>
      <w:r>
        <w:rPr>
          <w:rFonts w:hint="eastAsia" w:ascii="宋体" w:hAnsi="宋体" w:eastAsia="宋体" w:cs="宋体"/>
          <w:color w:val="auto"/>
          <w:sz w:val="24"/>
          <w:lang w:val="en-US" w:eastAsia="zh-CN"/>
        </w:rPr>
        <w:t>内容</w:t>
      </w:r>
      <w:r>
        <w:rPr>
          <w:rFonts w:ascii="宋体" w:hAnsi="宋体" w:eastAsia="宋体" w:cs="宋体"/>
          <w:color w:val="auto"/>
          <w:sz w:val="24"/>
        </w:rPr>
        <w:t>分别评分：</w:t>
      </w:r>
      <w:bookmarkEnd w:id="493"/>
      <w:bookmarkEnd w:id="494"/>
      <w:bookmarkEnd w:id="495"/>
      <w:bookmarkEnd w:id="496"/>
      <w:bookmarkEnd w:id="497"/>
      <w:bookmarkEnd w:id="498"/>
      <w:bookmarkEnd w:id="499"/>
      <w:bookmarkEnd w:id="500"/>
    </w:p>
    <w:p w14:paraId="08EF782D">
      <w:pPr>
        <w:wordWrap/>
        <w:spacing w:line="360" w:lineRule="auto"/>
        <w:ind w:firstLine="480" w:firstLineChars="200"/>
        <w:textAlignment w:val="auto"/>
        <w:rPr>
          <w:rFonts w:hint="eastAsia"/>
          <w:color w:val="auto"/>
          <w:sz w:val="24"/>
        </w:rPr>
      </w:pPr>
      <w:r>
        <w:rPr>
          <w:rFonts w:hint="eastAsia"/>
          <w:color w:val="auto"/>
          <w:sz w:val="24"/>
        </w:rPr>
        <w:t>1 规划设计阶段，根据当地实际情况和污水水质特点，选择合适的处理工艺，确保污水得到有效处理，污水处理工艺运行稳定；</w:t>
      </w:r>
    </w:p>
    <w:p w14:paraId="609798E7">
      <w:pPr>
        <w:wordWrap/>
        <w:spacing w:line="360" w:lineRule="auto"/>
        <w:ind w:firstLine="480" w:firstLineChars="200"/>
        <w:textAlignment w:val="auto"/>
        <w:rPr>
          <w:color w:val="auto"/>
          <w:sz w:val="24"/>
        </w:rPr>
      </w:pPr>
      <w:r>
        <w:rPr>
          <w:rFonts w:hint="eastAsia"/>
          <w:color w:val="auto"/>
          <w:sz w:val="24"/>
        </w:rPr>
        <w:t>2 运行阶段，定期检查和维护设施，确保各项工作正常运行，无因设施失效或故障导致水污染的情况；运行期间无因渗漏污染地下水情况。</w:t>
      </w:r>
    </w:p>
    <w:p w14:paraId="2E133CFF">
      <w:pPr>
        <w:wordWrap/>
        <w:spacing w:line="360" w:lineRule="auto"/>
        <w:jc w:val="left"/>
        <w:textAlignment w:val="auto"/>
        <w:outlineLvl w:val="9"/>
        <w:rPr>
          <w:rFonts w:ascii="宋体" w:hAnsi="宋体" w:eastAsia="宋体" w:cs="宋体"/>
          <w:color w:val="auto"/>
          <w:sz w:val="24"/>
        </w:rPr>
      </w:pPr>
      <w:bookmarkStart w:id="501" w:name="_Toc20737"/>
      <w:bookmarkStart w:id="502" w:name="_Toc1173"/>
      <w:bookmarkStart w:id="503" w:name="_Toc2096"/>
      <w:bookmarkStart w:id="504" w:name="_Toc16054"/>
      <w:bookmarkStart w:id="505" w:name="_Toc28775"/>
      <w:bookmarkStart w:id="506" w:name="_Toc31907"/>
      <w:bookmarkStart w:id="507" w:name="_Toc10162"/>
      <w:bookmarkStart w:id="508" w:name="_Toc13028"/>
      <w:r>
        <w:rPr>
          <w:rFonts w:hint="eastAsia" w:ascii="宋体" w:hAnsi="宋体" w:cs="宋体"/>
          <w:color w:val="auto"/>
          <w:sz w:val="24"/>
          <w:lang w:eastAsia="zh-CN"/>
        </w:rPr>
        <w:t>B.4</w:t>
      </w:r>
      <w:r>
        <w:rPr>
          <w:rFonts w:ascii="宋体" w:hAnsi="宋体" w:eastAsia="宋体" w:cs="宋体"/>
          <w:color w:val="auto"/>
          <w:sz w:val="24"/>
        </w:rPr>
        <w:t>.2 温室气体排放控制，</w:t>
      </w:r>
      <w:r>
        <w:rPr>
          <w:rFonts w:hint="eastAsia" w:ascii="宋体" w:hAnsi="宋体" w:cs="宋体"/>
          <w:color w:val="auto"/>
          <w:sz w:val="24"/>
          <w:lang w:eastAsia="zh-CN"/>
        </w:rPr>
        <w:t>应按下列</w:t>
      </w:r>
      <w:r>
        <w:rPr>
          <w:rFonts w:hint="eastAsia" w:ascii="宋体" w:hAnsi="宋体" w:eastAsia="宋体" w:cs="宋体"/>
          <w:color w:val="auto"/>
          <w:sz w:val="24"/>
          <w:lang w:eastAsia="zh-CN"/>
        </w:rPr>
        <w:t>内容</w:t>
      </w:r>
      <w:r>
        <w:rPr>
          <w:rFonts w:ascii="宋体" w:hAnsi="宋体" w:eastAsia="宋体" w:cs="宋体"/>
          <w:color w:val="auto"/>
          <w:sz w:val="24"/>
        </w:rPr>
        <w:t>分别评分：</w:t>
      </w:r>
      <w:bookmarkEnd w:id="501"/>
      <w:bookmarkEnd w:id="502"/>
      <w:bookmarkEnd w:id="503"/>
      <w:bookmarkEnd w:id="504"/>
      <w:bookmarkEnd w:id="505"/>
      <w:bookmarkEnd w:id="506"/>
      <w:bookmarkEnd w:id="507"/>
      <w:bookmarkEnd w:id="508"/>
    </w:p>
    <w:p w14:paraId="6637D5E5">
      <w:pPr>
        <w:wordWrap/>
        <w:spacing w:line="360" w:lineRule="auto"/>
        <w:ind w:firstLine="480" w:firstLineChars="200"/>
        <w:textAlignment w:val="auto"/>
        <w:rPr>
          <w:color w:val="auto"/>
          <w:sz w:val="24"/>
        </w:rPr>
      </w:pPr>
      <w:r>
        <w:rPr>
          <w:color w:val="auto"/>
          <w:sz w:val="24"/>
        </w:rPr>
        <w:t xml:space="preserve">1 </w:t>
      </w:r>
      <w:r>
        <w:rPr>
          <w:rFonts w:hint="eastAsia"/>
          <w:color w:val="auto"/>
          <w:sz w:val="24"/>
        </w:rPr>
        <w:t>规划设计阶段，</w:t>
      </w:r>
      <w:r>
        <w:rPr>
          <w:color w:val="auto"/>
          <w:sz w:val="24"/>
        </w:rPr>
        <w:t>采用先进、高效、稳定、低碳的污水、污泥、烟气处理技术和设备，减少温室气体排放；</w:t>
      </w:r>
    </w:p>
    <w:p w14:paraId="63A6C80E">
      <w:pPr>
        <w:wordWrap/>
        <w:spacing w:line="360" w:lineRule="auto"/>
        <w:ind w:firstLine="480" w:firstLineChars="200"/>
        <w:textAlignment w:val="auto"/>
        <w:rPr>
          <w:color w:val="auto"/>
          <w:sz w:val="24"/>
          <w:highlight w:val="none"/>
        </w:rPr>
      </w:pPr>
      <w:bookmarkStart w:id="509" w:name="_Toc7871"/>
      <w:bookmarkStart w:id="510" w:name="_Toc5367"/>
      <w:bookmarkStart w:id="511" w:name="_Toc18150"/>
      <w:bookmarkStart w:id="512" w:name="_Toc32755"/>
      <w:r>
        <w:rPr>
          <w:color w:val="auto"/>
          <w:sz w:val="24"/>
          <w:highlight w:val="none"/>
        </w:rPr>
        <w:t xml:space="preserve">2 </w:t>
      </w:r>
      <w:r>
        <w:rPr>
          <w:rFonts w:hint="eastAsia"/>
          <w:color w:val="auto"/>
          <w:sz w:val="24"/>
          <w:highlight w:val="none"/>
        </w:rPr>
        <w:t>运行阶段，采取有效措施，</w:t>
      </w:r>
      <w:r>
        <w:rPr>
          <w:color w:val="auto"/>
          <w:sz w:val="24"/>
          <w:highlight w:val="none"/>
        </w:rPr>
        <w:t>减少甲烷等温室气体的排放。</w:t>
      </w:r>
    </w:p>
    <w:bookmarkEnd w:id="509"/>
    <w:bookmarkEnd w:id="510"/>
    <w:bookmarkEnd w:id="511"/>
    <w:bookmarkEnd w:id="512"/>
    <w:p w14:paraId="7BBCC13E">
      <w:pPr>
        <w:wordWrap/>
        <w:spacing w:line="360" w:lineRule="auto"/>
        <w:jc w:val="left"/>
        <w:textAlignment w:val="auto"/>
        <w:outlineLvl w:val="9"/>
        <w:rPr>
          <w:rFonts w:ascii="宋体" w:hAnsi="宋体" w:eastAsia="宋体" w:cs="宋体"/>
          <w:color w:val="auto"/>
          <w:sz w:val="24"/>
        </w:rPr>
      </w:pPr>
      <w:bookmarkStart w:id="513" w:name="_Toc28696"/>
      <w:bookmarkStart w:id="514" w:name="_Toc32706"/>
      <w:bookmarkStart w:id="515" w:name="_Toc9406"/>
      <w:bookmarkStart w:id="516" w:name="_Toc10647"/>
      <w:bookmarkStart w:id="517" w:name="_Toc3672"/>
      <w:bookmarkStart w:id="518" w:name="_Toc29983"/>
      <w:bookmarkStart w:id="519" w:name="_Toc565"/>
      <w:bookmarkStart w:id="520" w:name="_Toc27275"/>
      <w:r>
        <w:rPr>
          <w:rFonts w:hint="eastAsia" w:ascii="宋体" w:hAnsi="宋体" w:cs="宋体"/>
          <w:color w:val="auto"/>
          <w:sz w:val="24"/>
          <w:lang w:eastAsia="zh-CN"/>
        </w:rPr>
        <w:t>B.4</w:t>
      </w:r>
      <w:r>
        <w:rPr>
          <w:rFonts w:ascii="宋体" w:hAnsi="宋体" w:eastAsia="宋体" w:cs="宋体"/>
          <w:color w:val="auto"/>
          <w:sz w:val="24"/>
        </w:rPr>
        <w:t>.</w:t>
      </w:r>
      <w:r>
        <w:rPr>
          <w:rFonts w:hint="eastAsia" w:ascii="宋体" w:hAnsi="宋体" w:cs="宋体"/>
          <w:color w:val="auto"/>
          <w:sz w:val="24"/>
          <w:lang w:val="en-US" w:eastAsia="zh-CN"/>
        </w:rPr>
        <w:t>3</w:t>
      </w:r>
      <w:r>
        <w:rPr>
          <w:rFonts w:ascii="宋体" w:hAnsi="宋体" w:eastAsia="宋体" w:cs="宋体"/>
          <w:color w:val="auto"/>
          <w:sz w:val="24"/>
        </w:rPr>
        <w:t xml:space="preserve"> </w:t>
      </w:r>
      <w:r>
        <w:rPr>
          <w:rFonts w:hint="eastAsia" w:ascii="宋体" w:hAnsi="宋体" w:eastAsia="宋体" w:cs="宋体"/>
          <w:color w:val="auto"/>
          <w:sz w:val="24"/>
          <w:lang w:eastAsia="zh-CN"/>
        </w:rPr>
        <w:t>规划设计</w:t>
      </w:r>
      <w:r>
        <w:rPr>
          <w:rFonts w:hint="eastAsia" w:ascii="宋体" w:hAnsi="宋体" w:eastAsia="宋体" w:cs="宋体"/>
          <w:color w:val="auto"/>
          <w:sz w:val="24"/>
        </w:rPr>
        <w:t>和运行阶段，</w:t>
      </w:r>
      <w:r>
        <w:rPr>
          <w:rFonts w:hint="eastAsia" w:ascii="宋体" w:hAnsi="宋体" w:eastAsia="宋体" w:cs="宋体"/>
          <w:color w:val="auto"/>
          <w:sz w:val="24"/>
          <w:lang w:val="en-US" w:eastAsia="zh-CN"/>
        </w:rPr>
        <w:t>采取</w:t>
      </w:r>
      <w:r>
        <w:rPr>
          <w:rFonts w:ascii="宋体" w:hAnsi="宋体" w:eastAsia="宋体" w:cs="宋体"/>
          <w:color w:val="auto"/>
          <w:sz w:val="24"/>
        </w:rPr>
        <w:t>措施提高</w:t>
      </w:r>
      <w:r>
        <w:rPr>
          <w:rFonts w:hint="eastAsia" w:ascii="宋体" w:hAnsi="宋体" w:eastAsia="宋体" w:cs="宋体"/>
          <w:color w:val="auto"/>
          <w:sz w:val="24"/>
          <w:lang w:val="en-US" w:eastAsia="zh-CN"/>
        </w:rPr>
        <w:t>节水效果和</w:t>
      </w:r>
      <w:r>
        <w:rPr>
          <w:rFonts w:ascii="宋体" w:hAnsi="宋体" w:eastAsia="宋体" w:cs="宋体"/>
          <w:color w:val="auto"/>
          <w:sz w:val="24"/>
        </w:rPr>
        <w:t>再生水循环利用率，</w:t>
      </w:r>
      <w:r>
        <w:rPr>
          <w:rFonts w:hint="eastAsia" w:ascii="宋体" w:hAnsi="宋体" w:cs="宋体"/>
          <w:color w:val="auto"/>
          <w:sz w:val="24"/>
          <w:lang w:eastAsia="zh-CN"/>
        </w:rPr>
        <w:t>应按下列</w:t>
      </w:r>
      <w:r>
        <w:rPr>
          <w:rFonts w:hint="eastAsia" w:ascii="宋体" w:hAnsi="宋体" w:eastAsia="宋体" w:cs="宋体"/>
          <w:color w:val="auto"/>
          <w:sz w:val="24"/>
          <w:lang w:eastAsia="zh-CN"/>
        </w:rPr>
        <w:t>内容</w:t>
      </w:r>
      <w:r>
        <w:rPr>
          <w:rFonts w:ascii="宋体" w:hAnsi="宋体" w:eastAsia="宋体" w:cs="宋体"/>
          <w:color w:val="auto"/>
          <w:sz w:val="24"/>
        </w:rPr>
        <w:t>分别评分：</w:t>
      </w:r>
      <w:bookmarkEnd w:id="513"/>
      <w:bookmarkEnd w:id="514"/>
      <w:bookmarkEnd w:id="515"/>
      <w:bookmarkEnd w:id="516"/>
      <w:bookmarkEnd w:id="517"/>
      <w:bookmarkEnd w:id="518"/>
      <w:bookmarkEnd w:id="519"/>
      <w:bookmarkEnd w:id="520"/>
    </w:p>
    <w:p w14:paraId="1AADBBC5">
      <w:pPr>
        <w:wordWrap/>
        <w:spacing w:line="360" w:lineRule="auto"/>
        <w:ind w:firstLine="480" w:firstLineChars="200"/>
        <w:textAlignment w:val="auto"/>
        <w:rPr>
          <w:rFonts w:hint="eastAsia"/>
          <w:color w:val="auto"/>
          <w:sz w:val="24"/>
        </w:rPr>
      </w:pPr>
      <w:r>
        <w:rPr>
          <w:rFonts w:hint="eastAsia"/>
          <w:color w:val="auto"/>
          <w:sz w:val="24"/>
        </w:rPr>
        <w:t xml:space="preserve">1 </w:t>
      </w:r>
      <w:r>
        <w:rPr>
          <w:rFonts w:hint="eastAsia"/>
          <w:color w:val="auto"/>
          <w:sz w:val="24"/>
          <w:lang w:val="en-US" w:eastAsia="zh-CN"/>
        </w:rPr>
        <w:t>对</w:t>
      </w:r>
      <w:r>
        <w:rPr>
          <w:rFonts w:hint="eastAsia"/>
          <w:color w:val="auto"/>
          <w:sz w:val="24"/>
        </w:rPr>
        <w:t>项目产生的废水</w:t>
      </w:r>
      <w:r>
        <w:rPr>
          <w:rFonts w:hint="eastAsia"/>
          <w:color w:val="auto"/>
          <w:sz w:val="24"/>
          <w:lang w:val="en-US" w:eastAsia="zh-CN"/>
        </w:rPr>
        <w:t>集中</w:t>
      </w:r>
      <w:r>
        <w:rPr>
          <w:rFonts w:hint="eastAsia"/>
          <w:color w:val="auto"/>
          <w:sz w:val="24"/>
        </w:rPr>
        <w:t>处理，达标回用率不低于90%；</w:t>
      </w:r>
    </w:p>
    <w:p w14:paraId="18BAF7A1">
      <w:pPr>
        <w:wordWrap/>
        <w:spacing w:line="360" w:lineRule="auto"/>
        <w:ind w:firstLine="480" w:firstLineChars="200"/>
        <w:textAlignment w:val="auto"/>
        <w:rPr>
          <w:color w:val="auto"/>
          <w:sz w:val="24"/>
        </w:rPr>
      </w:pPr>
      <w:r>
        <w:rPr>
          <w:color w:val="auto"/>
          <w:sz w:val="24"/>
        </w:rPr>
        <w:t>2 锅炉冷却采用的循环水系统，设置旁滤，提高循环水的浓缩倍数，减少补充水量，实现节水效果。</w:t>
      </w:r>
    </w:p>
    <w:p w14:paraId="08506655">
      <w:pPr>
        <w:wordWrap/>
        <w:spacing w:line="360" w:lineRule="auto"/>
        <w:jc w:val="left"/>
        <w:textAlignment w:val="auto"/>
        <w:outlineLvl w:val="9"/>
        <w:rPr>
          <w:rFonts w:ascii="宋体" w:hAnsi="宋体" w:eastAsia="宋体" w:cs="宋体"/>
          <w:color w:val="auto"/>
          <w:sz w:val="24"/>
        </w:rPr>
      </w:pPr>
      <w:bookmarkStart w:id="521" w:name="_Toc5714"/>
      <w:bookmarkStart w:id="522" w:name="_Toc4659"/>
      <w:bookmarkStart w:id="523" w:name="_Toc24448"/>
      <w:bookmarkStart w:id="524" w:name="_Toc11048"/>
      <w:bookmarkStart w:id="525" w:name="_Toc7915"/>
      <w:bookmarkStart w:id="526" w:name="_Toc5918"/>
      <w:bookmarkStart w:id="527" w:name="_Toc11020"/>
      <w:bookmarkStart w:id="528" w:name="_Toc10445"/>
      <w:r>
        <w:rPr>
          <w:rFonts w:hint="eastAsia" w:ascii="宋体" w:hAnsi="宋体" w:cs="宋体"/>
          <w:color w:val="auto"/>
          <w:sz w:val="24"/>
          <w:lang w:eastAsia="zh-CN"/>
        </w:rPr>
        <w:t>B.4</w:t>
      </w:r>
      <w:r>
        <w:rPr>
          <w:rFonts w:ascii="宋体" w:hAnsi="宋体" w:eastAsia="宋体" w:cs="宋体"/>
          <w:color w:val="auto"/>
          <w:sz w:val="24"/>
        </w:rPr>
        <w:t>.</w:t>
      </w:r>
      <w:r>
        <w:rPr>
          <w:rFonts w:hint="eastAsia" w:ascii="宋体" w:hAnsi="宋体" w:cs="宋体"/>
          <w:color w:val="auto"/>
          <w:sz w:val="24"/>
          <w:lang w:val="en-US" w:eastAsia="zh-CN"/>
        </w:rPr>
        <w:t>4</w:t>
      </w:r>
      <w:r>
        <w:rPr>
          <w:rFonts w:ascii="宋体" w:hAnsi="宋体" w:eastAsia="宋体" w:cs="宋体"/>
          <w:color w:val="auto"/>
          <w:sz w:val="24"/>
        </w:rPr>
        <w:t xml:space="preserve"> 垃圾处理采用高效的系统和设备节约能源，</w:t>
      </w:r>
      <w:r>
        <w:rPr>
          <w:rFonts w:hint="eastAsia" w:ascii="宋体" w:hAnsi="宋体" w:cs="宋体"/>
          <w:color w:val="auto"/>
          <w:sz w:val="24"/>
          <w:lang w:eastAsia="zh-CN"/>
        </w:rPr>
        <w:t>应按下列</w:t>
      </w:r>
      <w:r>
        <w:rPr>
          <w:rFonts w:hint="eastAsia" w:ascii="宋体" w:hAnsi="宋体" w:eastAsia="宋体" w:cs="宋体"/>
          <w:color w:val="auto"/>
          <w:sz w:val="24"/>
          <w:lang w:eastAsia="zh-CN"/>
        </w:rPr>
        <w:t>内容</w:t>
      </w:r>
      <w:r>
        <w:rPr>
          <w:rFonts w:ascii="宋体" w:hAnsi="宋体" w:eastAsia="宋体" w:cs="宋体"/>
          <w:color w:val="auto"/>
          <w:sz w:val="24"/>
        </w:rPr>
        <w:t>分别评分：</w:t>
      </w:r>
      <w:bookmarkEnd w:id="521"/>
      <w:bookmarkEnd w:id="522"/>
      <w:bookmarkEnd w:id="523"/>
      <w:bookmarkEnd w:id="524"/>
      <w:bookmarkEnd w:id="525"/>
      <w:bookmarkEnd w:id="526"/>
      <w:bookmarkEnd w:id="527"/>
      <w:bookmarkEnd w:id="528"/>
    </w:p>
    <w:p w14:paraId="03030DD1">
      <w:pPr>
        <w:wordWrap/>
        <w:spacing w:line="360" w:lineRule="auto"/>
        <w:ind w:firstLine="480" w:firstLineChars="200"/>
        <w:jc w:val="left"/>
        <w:textAlignment w:val="auto"/>
        <w:outlineLvl w:val="9"/>
        <w:rPr>
          <w:rFonts w:hint="eastAsia" w:ascii="宋体" w:hAnsi="宋体" w:eastAsia="宋体" w:cs="宋体"/>
          <w:color w:val="auto"/>
          <w:sz w:val="24"/>
          <w:lang w:eastAsia="zh-CN"/>
        </w:rPr>
      </w:pPr>
      <w:bookmarkStart w:id="529" w:name="_Toc25262"/>
      <w:bookmarkStart w:id="530" w:name="_Toc11697"/>
      <w:bookmarkStart w:id="531" w:name="_Toc18068"/>
      <w:bookmarkStart w:id="532" w:name="_Toc15684"/>
      <w:bookmarkStart w:id="533" w:name="_Toc21822"/>
      <w:bookmarkStart w:id="534" w:name="_Toc24555"/>
      <w:bookmarkStart w:id="535" w:name="_Toc29147"/>
      <w:bookmarkStart w:id="536" w:name="_Toc816"/>
      <w:r>
        <w:rPr>
          <w:rFonts w:hint="eastAsia" w:ascii="宋体" w:hAnsi="宋体" w:eastAsia="宋体" w:cs="宋体"/>
          <w:color w:val="auto"/>
          <w:sz w:val="24"/>
          <w:lang w:eastAsia="zh-CN"/>
        </w:rPr>
        <w:t xml:space="preserve">1 </w:t>
      </w:r>
      <w:r>
        <w:rPr>
          <w:rFonts w:hint="eastAsia" w:ascii="宋体" w:hAnsi="宋体" w:eastAsia="宋体" w:cs="宋体"/>
          <w:color w:val="auto"/>
          <w:sz w:val="24"/>
          <w:lang w:val="en-US" w:eastAsia="zh-CN"/>
        </w:rPr>
        <w:t>规划设计、运行阶段，</w:t>
      </w:r>
      <w:r>
        <w:rPr>
          <w:rFonts w:hint="eastAsia" w:ascii="宋体" w:hAnsi="宋体" w:eastAsia="宋体" w:cs="宋体"/>
          <w:color w:val="auto"/>
          <w:sz w:val="24"/>
          <w:lang w:eastAsia="zh-CN"/>
        </w:rPr>
        <w:t>选择除尘效率高、吸收剂消耗量低、系统压降小的烟气处理装置；一、二次风机、引风机、水泵、电机等设备选用变频节能产品，并符合相关的用能产品经济运行标准要求，达到经济运行的状态；选用低损耗的节能型厂用变压器；烟</w:t>
      </w:r>
      <w:r>
        <w:rPr>
          <w:rFonts w:hint="eastAsia" w:ascii="宋体" w:hAnsi="宋体" w:eastAsia="宋体" w:cs="宋体"/>
          <w:color w:val="auto"/>
          <w:sz w:val="24"/>
          <w:lang w:val="en-US" w:eastAsia="zh-CN"/>
        </w:rPr>
        <w:t>管</w:t>
      </w:r>
      <w:r>
        <w:rPr>
          <w:rFonts w:hint="eastAsia" w:ascii="宋体" w:hAnsi="宋体" w:eastAsia="宋体" w:cs="宋体"/>
          <w:color w:val="auto"/>
          <w:sz w:val="24"/>
          <w:lang w:eastAsia="zh-CN"/>
        </w:rPr>
        <w:t>、风管道布置流向合理，以降低管道阻力，节省风机电耗；</w:t>
      </w:r>
      <w:bookmarkEnd w:id="529"/>
      <w:bookmarkEnd w:id="530"/>
      <w:bookmarkEnd w:id="531"/>
    </w:p>
    <w:p w14:paraId="5DAD91CC">
      <w:pPr>
        <w:wordWrap/>
        <w:spacing w:line="360" w:lineRule="auto"/>
        <w:ind w:firstLine="480" w:firstLineChars="200"/>
        <w:jc w:val="left"/>
        <w:textAlignment w:val="auto"/>
        <w:outlineLvl w:val="9"/>
        <w:rPr>
          <w:rFonts w:hint="eastAsia" w:ascii="宋体" w:hAnsi="宋体" w:eastAsia="宋体" w:cs="宋体"/>
          <w:color w:val="auto"/>
          <w:sz w:val="24"/>
          <w:lang w:eastAsia="zh-CN"/>
        </w:rPr>
      </w:pPr>
      <w:bookmarkStart w:id="537" w:name="_Toc11184"/>
      <w:bookmarkStart w:id="538" w:name="_Toc17384"/>
      <w:bookmarkStart w:id="539" w:name="_Toc351"/>
      <w:r>
        <w:rPr>
          <w:rFonts w:hint="eastAsia" w:ascii="宋体" w:hAnsi="宋体" w:eastAsia="宋体" w:cs="宋体"/>
          <w:color w:val="auto"/>
          <w:sz w:val="24"/>
          <w:lang w:val="en-US" w:eastAsia="zh-CN"/>
        </w:rPr>
        <w:t>2</w:t>
      </w:r>
      <w:r>
        <w:rPr>
          <w:rFonts w:hint="eastAsia" w:ascii="宋体" w:hAnsi="宋体" w:eastAsia="宋体" w:cs="宋体"/>
          <w:color w:val="auto"/>
          <w:sz w:val="24"/>
          <w:lang w:eastAsia="zh-CN"/>
        </w:rPr>
        <w:t xml:space="preserve"> </w:t>
      </w:r>
      <w:r>
        <w:rPr>
          <w:rFonts w:hint="eastAsia" w:ascii="宋体" w:hAnsi="宋体" w:eastAsia="宋体" w:cs="宋体"/>
          <w:color w:val="auto"/>
          <w:sz w:val="24"/>
          <w:lang w:val="en-US" w:eastAsia="zh-CN"/>
        </w:rPr>
        <w:t>运行阶段，</w:t>
      </w:r>
      <w:r>
        <w:rPr>
          <w:rFonts w:hint="eastAsia" w:ascii="宋体" w:hAnsi="宋体" w:eastAsia="宋体" w:cs="宋体"/>
          <w:color w:val="auto"/>
          <w:sz w:val="24"/>
          <w:lang w:eastAsia="zh-CN"/>
        </w:rPr>
        <w:t>热工控制采用DCS控制系统，以实现最佳控制状态，提高系统热效率。</w:t>
      </w:r>
      <w:bookmarkEnd w:id="537"/>
      <w:bookmarkEnd w:id="538"/>
      <w:bookmarkEnd w:id="539"/>
    </w:p>
    <w:p w14:paraId="23C57849">
      <w:pPr>
        <w:wordWrap/>
        <w:spacing w:line="360" w:lineRule="auto"/>
        <w:jc w:val="left"/>
        <w:textAlignment w:val="auto"/>
        <w:outlineLvl w:val="9"/>
        <w:rPr>
          <w:rFonts w:ascii="宋体" w:hAnsi="宋体" w:eastAsia="宋体" w:cs="宋体"/>
          <w:color w:val="auto"/>
          <w:sz w:val="24"/>
        </w:rPr>
      </w:pPr>
      <w:bookmarkStart w:id="540" w:name="_Toc25548"/>
      <w:bookmarkStart w:id="541" w:name="_Toc7951"/>
      <w:bookmarkStart w:id="542" w:name="_Toc10435"/>
      <w:r>
        <w:rPr>
          <w:rFonts w:hint="eastAsia" w:ascii="宋体" w:hAnsi="宋体" w:cs="宋体"/>
          <w:color w:val="auto"/>
          <w:sz w:val="24"/>
          <w:lang w:eastAsia="zh-CN"/>
        </w:rPr>
        <w:t>B.4</w:t>
      </w:r>
      <w:r>
        <w:rPr>
          <w:rFonts w:ascii="宋体" w:hAnsi="宋体" w:eastAsia="宋体" w:cs="宋体"/>
          <w:color w:val="auto"/>
          <w:sz w:val="24"/>
        </w:rPr>
        <w:t>.</w:t>
      </w:r>
      <w:r>
        <w:rPr>
          <w:rFonts w:hint="eastAsia" w:ascii="宋体" w:hAnsi="宋体" w:cs="宋体"/>
          <w:color w:val="auto"/>
          <w:sz w:val="24"/>
          <w:lang w:val="en-US" w:eastAsia="zh-CN"/>
        </w:rPr>
        <w:t>5</w:t>
      </w:r>
      <w:r>
        <w:rPr>
          <w:rFonts w:ascii="宋体" w:hAnsi="宋体" w:eastAsia="宋体" w:cs="宋体"/>
          <w:color w:val="auto"/>
          <w:sz w:val="24"/>
        </w:rPr>
        <w:t xml:space="preserve"> 污水处理设施采用高效的系统和设备节约能源，</w:t>
      </w:r>
      <w:r>
        <w:rPr>
          <w:rFonts w:hint="eastAsia" w:ascii="宋体" w:hAnsi="宋体" w:cs="宋体"/>
          <w:color w:val="auto"/>
          <w:sz w:val="24"/>
          <w:lang w:eastAsia="zh-CN"/>
        </w:rPr>
        <w:t>应按下列</w:t>
      </w:r>
      <w:r>
        <w:rPr>
          <w:rFonts w:hint="eastAsia" w:ascii="宋体" w:hAnsi="宋体" w:eastAsia="宋体" w:cs="宋体"/>
          <w:color w:val="auto"/>
          <w:sz w:val="24"/>
          <w:lang w:eastAsia="zh-CN"/>
        </w:rPr>
        <w:t>内容</w:t>
      </w:r>
      <w:r>
        <w:rPr>
          <w:rFonts w:ascii="宋体" w:hAnsi="宋体" w:eastAsia="宋体" w:cs="宋体"/>
          <w:color w:val="auto"/>
          <w:sz w:val="24"/>
        </w:rPr>
        <w:t>分别评分：</w:t>
      </w:r>
      <w:bookmarkEnd w:id="532"/>
      <w:bookmarkEnd w:id="533"/>
      <w:bookmarkEnd w:id="534"/>
      <w:bookmarkEnd w:id="535"/>
      <w:bookmarkEnd w:id="536"/>
      <w:bookmarkEnd w:id="540"/>
      <w:bookmarkEnd w:id="541"/>
      <w:bookmarkEnd w:id="542"/>
    </w:p>
    <w:p w14:paraId="571B3EEF">
      <w:pPr>
        <w:wordWrap/>
        <w:spacing w:line="360" w:lineRule="auto"/>
        <w:ind w:firstLine="480" w:firstLineChars="200"/>
        <w:textAlignment w:val="auto"/>
        <w:rPr>
          <w:color w:val="auto"/>
          <w:sz w:val="24"/>
        </w:rPr>
      </w:pPr>
      <w:r>
        <w:rPr>
          <w:color w:val="auto"/>
          <w:sz w:val="24"/>
        </w:rPr>
        <w:t>1 采用精确曝气技术，实现溶解氧的精确控制，</w:t>
      </w:r>
      <w:r>
        <w:rPr>
          <w:rFonts w:hint="eastAsia"/>
          <w:color w:val="auto"/>
          <w:sz w:val="24"/>
        </w:rPr>
        <w:t>降低曝气系统能耗</w:t>
      </w:r>
      <w:r>
        <w:rPr>
          <w:color w:val="auto"/>
          <w:sz w:val="24"/>
        </w:rPr>
        <w:t>；</w:t>
      </w:r>
    </w:p>
    <w:p w14:paraId="73BAD328">
      <w:pPr>
        <w:wordWrap/>
        <w:spacing w:line="360" w:lineRule="auto"/>
        <w:ind w:firstLine="480" w:firstLineChars="200"/>
        <w:textAlignment w:val="auto"/>
        <w:rPr>
          <w:color w:val="auto"/>
          <w:sz w:val="24"/>
        </w:rPr>
      </w:pPr>
      <w:r>
        <w:rPr>
          <w:color w:val="auto"/>
          <w:sz w:val="24"/>
        </w:rPr>
        <w:t>2 电动机系统、泵系统、通风系统、电力变压器等通用耗能设备符合能效标准中节能评价值的要求和相关的用能产品经济运行标准要求；</w:t>
      </w:r>
    </w:p>
    <w:p w14:paraId="6D5C4C9C">
      <w:pPr>
        <w:wordWrap/>
        <w:spacing w:line="360" w:lineRule="auto"/>
        <w:ind w:firstLine="480" w:firstLineChars="200"/>
        <w:textAlignment w:val="auto"/>
        <w:rPr>
          <w:color w:val="auto"/>
          <w:sz w:val="24"/>
        </w:rPr>
      </w:pPr>
      <w:r>
        <w:rPr>
          <w:color w:val="auto"/>
          <w:sz w:val="24"/>
        </w:rPr>
        <w:t>3 采用水源热泵的形式供冷供暖；</w:t>
      </w:r>
    </w:p>
    <w:p w14:paraId="5C201ADE">
      <w:pPr>
        <w:wordWrap/>
        <w:spacing w:line="360" w:lineRule="auto"/>
        <w:ind w:firstLine="480" w:firstLineChars="200"/>
        <w:textAlignment w:val="auto"/>
        <w:rPr>
          <w:color w:val="auto"/>
          <w:sz w:val="24"/>
        </w:rPr>
      </w:pPr>
      <w:r>
        <w:rPr>
          <w:color w:val="auto"/>
          <w:sz w:val="24"/>
        </w:rPr>
        <w:t>4 采用高效生物降解反应器，增强节能减排潜力。</w:t>
      </w:r>
    </w:p>
    <w:p w14:paraId="71D5E281">
      <w:pPr>
        <w:wordWrap/>
        <w:spacing w:line="360" w:lineRule="auto"/>
        <w:jc w:val="left"/>
        <w:textAlignment w:val="auto"/>
        <w:outlineLvl w:val="9"/>
        <w:rPr>
          <w:rFonts w:ascii="宋体" w:hAnsi="宋体" w:eastAsia="宋体" w:cs="宋体"/>
          <w:color w:val="auto"/>
          <w:sz w:val="24"/>
        </w:rPr>
      </w:pPr>
      <w:bookmarkStart w:id="543" w:name="_Toc16744"/>
      <w:bookmarkStart w:id="544" w:name="_Toc13947"/>
      <w:bookmarkStart w:id="545" w:name="_Toc10151"/>
      <w:bookmarkStart w:id="546" w:name="_Toc27604"/>
      <w:bookmarkStart w:id="547" w:name="_Toc10823"/>
      <w:bookmarkStart w:id="548" w:name="_Toc10488"/>
      <w:bookmarkStart w:id="549" w:name="_Toc3827"/>
      <w:bookmarkStart w:id="550" w:name="_Toc8502"/>
      <w:r>
        <w:rPr>
          <w:rFonts w:hint="eastAsia" w:ascii="宋体" w:hAnsi="宋体" w:cs="宋体"/>
          <w:color w:val="auto"/>
          <w:sz w:val="24"/>
          <w:lang w:eastAsia="zh-CN"/>
        </w:rPr>
        <w:t>B.4</w:t>
      </w:r>
      <w:r>
        <w:rPr>
          <w:rFonts w:ascii="宋体" w:hAnsi="宋体" w:eastAsia="宋体" w:cs="宋体"/>
          <w:color w:val="auto"/>
          <w:sz w:val="24"/>
        </w:rPr>
        <w:t>.</w:t>
      </w:r>
      <w:r>
        <w:rPr>
          <w:rFonts w:hint="eastAsia" w:ascii="宋体" w:hAnsi="宋体" w:cs="宋体"/>
          <w:color w:val="auto"/>
          <w:sz w:val="24"/>
          <w:lang w:val="en-US" w:eastAsia="zh-CN"/>
        </w:rPr>
        <w:t>6</w:t>
      </w:r>
      <w:r>
        <w:rPr>
          <w:rFonts w:ascii="宋体" w:hAnsi="宋体" w:eastAsia="宋体" w:cs="宋体"/>
          <w:color w:val="auto"/>
          <w:sz w:val="24"/>
        </w:rPr>
        <w:t xml:space="preserve"> </w:t>
      </w:r>
      <w:r>
        <w:rPr>
          <w:rFonts w:hint="eastAsia" w:ascii="宋体" w:hAnsi="宋体" w:eastAsia="宋体" w:cs="宋体"/>
          <w:color w:val="auto"/>
          <w:sz w:val="24"/>
          <w:lang w:eastAsia="zh-CN"/>
        </w:rPr>
        <w:t>规划设计</w:t>
      </w:r>
      <w:r>
        <w:rPr>
          <w:rFonts w:hint="eastAsia" w:ascii="宋体" w:hAnsi="宋体" w:eastAsia="宋体" w:cs="宋体"/>
          <w:color w:val="auto"/>
          <w:sz w:val="24"/>
        </w:rPr>
        <w:t>和运行阶段，</w:t>
      </w:r>
      <w:r>
        <w:rPr>
          <w:rFonts w:ascii="宋体" w:hAnsi="宋体" w:eastAsia="宋体" w:cs="宋体"/>
          <w:color w:val="auto"/>
          <w:sz w:val="24"/>
        </w:rPr>
        <w:t>污水、垃圾处理设施</w:t>
      </w:r>
      <w:r>
        <w:rPr>
          <w:rFonts w:hint="eastAsia" w:ascii="宋体" w:hAnsi="宋体" w:cs="宋体"/>
          <w:color w:val="auto"/>
          <w:sz w:val="24"/>
          <w:lang w:val="en-US" w:eastAsia="zh-CN"/>
        </w:rPr>
        <w:t>应</w:t>
      </w:r>
      <w:r>
        <w:rPr>
          <w:rFonts w:ascii="宋体" w:hAnsi="宋体" w:eastAsia="宋体" w:cs="宋体"/>
          <w:color w:val="auto"/>
          <w:sz w:val="24"/>
        </w:rPr>
        <w:t>通过热电联产、工业余热等实现厂区供热。</w:t>
      </w:r>
      <w:bookmarkEnd w:id="543"/>
      <w:bookmarkEnd w:id="544"/>
      <w:bookmarkEnd w:id="545"/>
      <w:bookmarkEnd w:id="546"/>
      <w:bookmarkEnd w:id="547"/>
      <w:bookmarkEnd w:id="548"/>
      <w:bookmarkEnd w:id="549"/>
      <w:bookmarkEnd w:id="550"/>
    </w:p>
    <w:p w14:paraId="50D4E82C">
      <w:pPr>
        <w:wordWrap/>
        <w:spacing w:line="360" w:lineRule="auto"/>
        <w:jc w:val="left"/>
        <w:textAlignment w:val="auto"/>
        <w:outlineLvl w:val="9"/>
        <w:rPr>
          <w:rFonts w:ascii="宋体" w:hAnsi="宋体" w:eastAsia="宋体" w:cs="宋体"/>
          <w:color w:val="auto"/>
          <w:sz w:val="24"/>
        </w:rPr>
      </w:pPr>
      <w:bookmarkStart w:id="551" w:name="_Toc20725"/>
      <w:bookmarkStart w:id="552" w:name="_Toc21484"/>
      <w:bookmarkStart w:id="553" w:name="_Toc439"/>
      <w:bookmarkStart w:id="554" w:name="_Toc17822"/>
      <w:bookmarkStart w:id="555" w:name="_Toc29590"/>
      <w:bookmarkStart w:id="556" w:name="_Toc30089"/>
      <w:bookmarkStart w:id="557" w:name="_Toc28424"/>
      <w:bookmarkStart w:id="558" w:name="_Toc28179"/>
      <w:r>
        <w:rPr>
          <w:rFonts w:hint="eastAsia" w:ascii="宋体" w:hAnsi="宋体" w:cs="宋体"/>
          <w:color w:val="auto"/>
          <w:sz w:val="24"/>
          <w:lang w:eastAsia="zh-CN"/>
        </w:rPr>
        <w:t>B.4</w:t>
      </w:r>
      <w:r>
        <w:rPr>
          <w:rFonts w:ascii="宋体" w:hAnsi="宋体" w:eastAsia="宋体" w:cs="宋体"/>
          <w:color w:val="auto"/>
          <w:sz w:val="24"/>
        </w:rPr>
        <w:t>.</w:t>
      </w:r>
      <w:r>
        <w:rPr>
          <w:rFonts w:hint="eastAsia" w:ascii="宋体" w:hAnsi="宋体" w:cs="宋体"/>
          <w:color w:val="auto"/>
          <w:sz w:val="24"/>
          <w:lang w:val="en-US" w:eastAsia="zh-CN"/>
        </w:rPr>
        <w:t>7</w:t>
      </w:r>
      <w:r>
        <w:rPr>
          <w:rFonts w:ascii="宋体" w:hAnsi="宋体" w:eastAsia="宋体" w:cs="宋体"/>
          <w:color w:val="auto"/>
          <w:sz w:val="24"/>
        </w:rPr>
        <w:t xml:space="preserve"> </w:t>
      </w:r>
      <w:r>
        <w:rPr>
          <w:rFonts w:hint="eastAsia" w:ascii="宋体" w:hAnsi="宋体" w:eastAsia="宋体" w:cs="宋体"/>
          <w:color w:val="auto"/>
          <w:sz w:val="24"/>
          <w:lang w:eastAsia="zh-CN"/>
        </w:rPr>
        <w:t>规划设计阶段</w:t>
      </w:r>
      <w:r>
        <w:rPr>
          <w:rFonts w:hint="eastAsia" w:ascii="宋体" w:hAnsi="宋体" w:eastAsia="宋体" w:cs="宋体"/>
          <w:color w:val="auto"/>
          <w:sz w:val="24"/>
        </w:rPr>
        <w:t>，</w:t>
      </w:r>
      <w:r>
        <w:rPr>
          <w:rFonts w:ascii="宋体" w:hAnsi="宋体" w:eastAsia="宋体" w:cs="宋体"/>
          <w:color w:val="auto"/>
          <w:sz w:val="24"/>
          <w:highlight w:val="none"/>
        </w:rPr>
        <w:t>污水、</w:t>
      </w:r>
      <w:r>
        <w:rPr>
          <w:rFonts w:ascii="宋体" w:hAnsi="宋体" w:eastAsia="宋体" w:cs="宋体"/>
          <w:color w:val="auto"/>
          <w:sz w:val="24"/>
        </w:rPr>
        <w:t>垃圾处理设施</w:t>
      </w:r>
      <w:r>
        <w:rPr>
          <w:rFonts w:hint="eastAsia" w:ascii="宋体" w:hAnsi="宋体" w:cs="宋体"/>
          <w:color w:val="auto"/>
          <w:sz w:val="24"/>
          <w:lang w:val="en-US" w:eastAsia="zh-CN"/>
        </w:rPr>
        <w:t>应</w:t>
      </w:r>
      <w:r>
        <w:rPr>
          <w:rFonts w:ascii="宋体" w:hAnsi="宋体" w:eastAsia="宋体" w:cs="宋体"/>
          <w:color w:val="auto"/>
          <w:sz w:val="24"/>
        </w:rPr>
        <w:t>选用耐用性和抗腐蚀性的材料。</w:t>
      </w:r>
      <w:bookmarkEnd w:id="551"/>
      <w:bookmarkEnd w:id="552"/>
      <w:bookmarkEnd w:id="553"/>
      <w:bookmarkEnd w:id="554"/>
      <w:bookmarkEnd w:id="555"/>
      <w:bookmarkEnd w:id="556"/>
      <w:bookmarkEnd w:id="557"/>
      <w:bookmarkEnd w:id="558"/>
    </w:p>
    <w:p w14:paraId="6A539EE6">
      <w:pPr>
        <w:wordWrap/>
        <w:spacing w:line="360" w:lineRule="auto"/>
        <w:jc w:val="center"/>
        <w:textAlignment w:val="auto"/>
        <w:outlineLvl w:val="1"/>
        <w:rPr>
          <w:rFonts w:hint="eastAsia" w:ascii="黑体" w:hAnsi="黑体" w:eastAsia="黑体" w:cs="黑体"/>
          <w:b/>
          <w:bCs/>
          <w:color w:val="auto"/>
          <w:sz w:val="28"/>
          <w:szCs w:val="28"/>
        </w:rPr>
      </w:pPr>
      <w:bookmarkStart w:id="559" w:name="_Toc28393"/>
      <w:bookmarkStart w:id="560" w:name="_Toc5475"/>
      <w:bookmarkStart w:id="561" w:name="_Toc23321"/>
      <w:bookmarkStart w:id="562" w:name="_Toc21729"/>
      <w:bookmarkStart w:id="563" w:name="_Toc16345"/>
      <w:bookmarkStart w:id="564" w:name="_Toc11327"/>
      <w:bookmarkStart w:id="565" w:name="_Toc8695"/>
      <w:r>
        <w:rPr>
          <w:rFonts w:hint="eastAsia" w:ascii="黑体" w:hAnsi="黑体" w:eastAsia="黑体" w:cs="黑体"/>
          <w:b/>
          <w:bCs/>
          <w:color w:val="auto"/>
          <w:sz w:val="28"/>
          <w:szCs w:val="28"/>
        </w:rPr>
        <w:t>B</w:t>
      </w:r>
      <w:r>
        <w:rPr>
          <w:rFonts w:hint="eastAsia" w:ascii="黑体" w:hAnsi="黑体" w:eastAsia="黑体" w:cs="黑体"/>
          <w:b/>
          <w:bCs/>
          <w:color w:val="auto"/>
          <w:sz w:val="28"/>
          <w:szCs w:val="28"/>
          <w:lang w:val="en-US" w:eastAsia="zh-CN"/>
        </w:rPr>
        <w:t>.</w:t>
      </w:r>
      <w:r>
        <w:rPr>
          <w:rFonts w:hint="eastAsia" w:ascii="黑体" w:hAnsi="黑体" w:eastAsia="黑体" w:cs="黑体"/>
          <w:b/>
          <w:bCs/>
          <w:color w:val="auto"/>
          <w:sz w:val="28"/>
          <w:szCs w:val="28"/>
        </w:rPr>
        <w:t>5 城市生态修复与功能完善工程项目</w:t>
      </w:r>
      <w:bookmarkEnd w:id="559"/>
      <w:bookmarkEnd w:id="560"/>
      <w:r>
        <w:rPr>
          <w:rFonts w:hint="eastAsia" w:ascii="黑体" w:hAnsi="黑体" w:eastAsia="黑体" w:cs="黑体"/>
          <w:b/>
          <w:bCs/>
          <w:color w:val="auto"/>
          <w:sz w:val="28"/>
          <w:szCs w:val="28"/>
        </w:rPr>
        <w:t>专项内容评价指标</w:t>
      </w:r>
      <w:bookmarkEnd w:id="561"/>
      <w:bookmarkEnd w:id="562"/>
      <w:bookmarkEnd w:id="563"/>
      <w:bookmarkEnd w:id="564"/>
      <w:bookmarkEnd w:id="565"/>
    </w:p>
    <w:p w14:paraId="158FC405">
      <w:pPr>
        <w:wordWrap/>
        <w:spacing w:line="360" w:lineRule="auto"/>
        <w:jc w:val="left"/>
        <w:textAlignment w:val="auto"/>
        <w:outlineLvl w:val="9"/>
        <w:rPr>
          <w:rFonts w:hint="eastAsia" w:ascii="宋体" w:hAnsi="宋体" w:eastAsia="宋体" w:cs="宋体"/>
          <w:color w:val="auto"/>
          <w:sz w:val="24"/>
        </w:rPr>
      </w:pPr>
      <w:bookmarkStart w:id="566" w:name="_Toc6486"/>
      <w:bookmarkStart w:id="567" w:name="_Toc20026"/>
      <w:bookmarkStart w:id="568" w:name="_Toc12933"/>
      <w:r>
        <w:rPr>
          <w:rFonts w:hint="eastAsia" w:ascii="宋体" w:hAnsi="宋体" w:cs="宋体"/>
          <w:color w:val="auto"/>
          <w:sz w:val="24"/>
          <w:lang w:eastAsia="zh-CN"/>
        </w:rPr>
        <w:t>B.5</w:t>
      </w:r>
      <w:r>
        <w:rPr>
          <w:rFonts w:hint="eastAsia" w:ascii="宋体" w:hAnsi="宋体" w:eastAsia="宋体" w:cs="宋体"/>
          <w:color w:val="auto"/>
          <w:sz w:val="24"/>
        </w:rPr>
        <w:t>.1项目区域水体修复，</w:t>
      </w:r>
      <w:r>
        <w:rPr>
          <w:rFonts w:hint="eastAsia" w:ascii="宋体" w:hAnsi="宋体" w:cs="宋体"/>
          <w:color w:val="auto"/>
          <w:sz w:val="24"/>
          <w:lang w:eastAsia="zh-CN"/>
        </w:rPr>
        <w:t>应按下列</w:t>
      </w:r>
      <w:r>
        <w:rPr>
          <w:rFonts w:hint="eastAsia" w:ascii="宋体" w:hAnsi="宋体" w:eastAsia="宋体" w:cs="宋体"/>
          <w:color w:val="auto"/>
          <w:sz w:val="24"/>
        </w:rPr>
        <w:t>内容评分：</w:t>
      </w:r>
      <w:bookmarkEnd w:id="566"/>
      <w:bookmarkEnd w:id="567"/>
      <w:bookmarkEnd w:id="568"/>
    </w:p>
    <w:p w14:paraId="115B5434">
      <w:pPr>
        <w:wordWrap/>
        <w:spacing w:line="360" w:lineRule="auto"/>
        <w:ind w:firstLine="480" w:firstLineChars="200"/>
        <w:jc w:val="left"/>
        <w:textAlignment w:val="auto"/>
        <w:outlineLvl w:val="9"/>
        <w:rPr>
          <w:rFonts w:hint="eastAsia" w:ascii="宋体" w:hAnsi="宋体" w:eastAsia="宋体" w:cs="宋体"/>
          <w:color w:val="auto"/>
          <w:sz w:val="24"/>
        </w:rPr>
      </w:pPr>
      <w:bookmarkStart w:id="569" w:name="_Toc23845"/>
      <w:bookmarkStart w:id="570" w:name="_Toc16127"/>
      <w:bookmarkStart w:id="571" w:name="_Toc1530"/>
      <w:r>
        <w:rPr>
          <w:rFonts w:hint="eastAsia" w:ascii="宋体" w:hAnsi="宋体" w:eastAsia="宋体" w:cs="宋体"/>
          <w:color w:val="auto"/>
          <w:sz w:val="24"/>
        </w:rPr>
        <w:t>1 在保护城市水体自然形态的前提下，结合海绵城市建设开展以控源截污为基础的城市水体生态修复，保护水生态环境，恢复水生态系统功能，改善水体水质，提高水环境质量，拓展亲水空间；</w:t>
      </w:r>
      <w:bookmarkEnd w:id="569"/>
      <w:bookmarkEnd w:id="570"/>
      <w:bookmarkEnd w:id="571"/>
    </w:p>
    <w:p w14:paraId="6D81888F">
      <w:pPr>
        <w:wordWrap/>
        <w:spacing w:line="360" w:lineRule="auto"/>
        <w:ind w:firstLine="480" w:firstLineChars="200"/>
        <w:jc w:val="left"/>
        <w:textAlignment w:val="auto"/>
        <w:outlineLvl w:val="9"/>
        <w:rPr>
          <w:rFonts w:hint="eastAsia" w:ascii="宋体" w:hAnsi="宋体" w:eastAsia="宋体" w:cs="宋体"/>
          <w:color w:val="auto"/>
          <w:sz w:val="24"/>
          <w:lang w:eastAsia="zh-CN"/>
        </w:rPr>
      </w:pPr>
      <w:bookmarkStart w:id="572" w:name="_Toc25866"/>
      <w:bookmarkStart w:id="573" w:name="_Toc30226"/>
      <w:bookmarkStart w:id="574" w:name="_Toc12016"/>
      <w:r>
        <w:rPr>
          <w:rFonts w:hint="eastAsia" w:ascii="宋体" w:hAnsi="宋体" w:eastAsia="宋体" w:cs="宋体"/>
          <w:color w:val="auto"/>
          <w:sz w:val="24"/>
        </w:rPr>
        <w:t>2 水体岸线自然化率≥85%</w:t>
      </w:r>
      <w:r>
        <w:rPr>
          <w:rFonts w:hint="eastAsia" w:ascii="宋体" w:hAnsi="宋体" w:cs="宋体"/>
          <w:color w:val="auto"/>
          <w:sz w:val="24"/>
          <w:lang w:eastAsia="zh-CN"/>
        </w:rPr>
        <w:t>；</w:t>
      </w:r>
      <w:bookmarkEnd w:id="572"/>
      <w:bookmarkEnd w:id="573"/>
      <w:bookmarkEnd w:id="574"/>
    </w:p>
    <w:p w14:paraId="30F446AB">
      <w:pPr>
        <w:wordWrap/>
        <w:spacing w:line="360" w:lineRule="auto"/>
        <w:ind w:firstLine="480" w:firstLineChars="200"/>
        <w:jc w:val="left"/>
        <w:textAlignment w:val="auto"/>
        <w:outlineLvl w:val="9"/>
        <w:rPr>
          <w:rFonts w:hint="eastAsia" w:ascii="宋体" w:hAnsi="宋体" w:eastAsia="宋体" w:cs="宋体"/>
          <w:color w:val="auto"/>
          <w:sz w:val="24"/>
        </w:rPr>
      </w:pPr>
      <w:bookmarkStart w:id="575" w:name="_Toc6868"/>
      <w:bookmarkStart w:id="576" w:name="_Toc2641"/>
      <w:bookmarkStart w:id="577" w:name="_Toc23061"/>
      <w:r>
        <w:rPr>
          <w:rFonts w:hint="eastAsia" w:ascii="宋体" w:hAnsi="宋体" w:eastAsia="宋体" w:cs="宋体"/>
          <w:color w:val="auto"/>
          <w:sz w:val="24"/>
        </w:rPr>
        <w:t>3 无黑臭水体；</w:t>
      </w:r>
      <w:bookmarkEnd w:id="575"/>
      <w:bookmarkEnd w:id="576"/>
      <w:bookmarkEnd w:id="577"/>
    </w:p>
    <w:p w14:paraId="55266BD1">
      <w:pPr>
        <w:wordWrap/>
        <w:spacing w:line="360" w:lineRule="auto"/>
        <w:ind w:firstLine="480" w:firstLineChars="200"/>
        <w:jc w:val="left"/>
        <w:textAlignment w:val="auto"/>
        <w:outlineLvl w:val="9"/>
        <w:rPr>
          <w:rFonts w:hint="eastAsia" w:ascii="宋体" w:hAnsi="宋体" w:eastAsia="宋体" w:cs="宋体"/>
          <w:color w:val="auto"/>
          <w:sz w:val="24"/>
        </w:rPr>
      </w:pPr>
      <w:bookmarkStart w:id="578" w:name="_Toc181"/>
      <w:bookmarkStart w:id="579" w:name="_Toc29742"/>
      <w:bookmarkStart w:id="580" w:name="_Toc23732"/>
      <w:r>
        <w:rPr>
          <w:rFonts w:hint="eastAsia" w:ascii="宋体" w:hAnsi="宋体" w:eastAsia="宋体" w:cs="宋体"/>
          <w:color w:val="auto"/>
          <w:sz w:val="24"/>
        </w:rPr>
        <w:t>4 地表水环境质量达到批准执行的城市水环境质量标准。</w:t>
      </w:r>
      <w:bookmarkEnd w:id="578"/>
      <w:bookmarkEnd w:id="579"/>
      <w:bookmarkEnd w:id="580"/>
    </w:p>
    <w:p w14:paraId="130BE33B">
      <w:pPr>
        <w:wordWrap/>
        <w:spacing w:line="360" w:lineRule="auto"/>
        <w:jc w:val="left"/>
        <w:textAlignment w:val="auto"/>
        <w:outlineLvl w:val="9"/>
        <w:rPr>
          <w:rFonts w:hint="eastAsia" w:ascii="宋体" w:hAnsi="宋体" w:eastAsia="宋体" w:cs="宋体"/>
          <w:color w:val="auto"/>
          <w:sz w:val="24"/>
        </w:rPr>
      </w:pPr>
      <w:bookmarkStart w:id="581" w:name="_Toc1594"/>
      <w:bookmarkStart w:id="582" w:name="_Toc7261"/>
      <w:bookmarkStart w:id="583" w:name="_Toc14272"/>
      <w:r>
        <w:rPr>
          <w:rFonts w:hint="eastAsia" w:ascii="宋体" w:hAnsi="宋体" w:cs="宋体"/>
          <w:color w:val="auto"/>
          <w:sz w:val="24"/>
          <w:lang w:eastAsia="zh-CN"/>
        </w:rPr>
        <w:t>B.5</w:t>
      </w:r>
      <w:r>
        <w:rPr>
          <w:rFonts w:ascii="宋体" w:hAnsi="宋体" w:eastAsia="宋体" w:cs="宋体"/>
          <w:color w:val="auto"/>
          <w:sz w:val="24"/>
        </w:rPr>
        <w:t>.</w:t>
      </w:r>
      <w:r>
        <w:rPr>
          <w:rFonts w:hint="eastAsia" w:ascii="宋体" w:hAnsi="宋体" w:eastAsia="宋体" w:cs="宋体"/>
          <w:color w:val="auto"/>
          <w:sz w:val="24"/>
        </w:rPr>
        <w:t>2</w:t>
      </w:r>
      <w:r>
        <w:rPr>
          <w:rFonts w:ascii="宋体" w:hAnsi="宋体" w:eastAsia="宋体" w:cs="宋体"/>
          <w:color w:val="auto"/>
          <w:sz w:val="24"/>
        </w:rPr>
        <w:t xml:space="preserve"> 项目区域棕地生态修复，</w:t>
      </w:r>
      <w:r>
        <w:rPr>
          <w:rFonts w:hint="eastAsia" w:ascii="宋体" w:hAnsi="宋体" w:cs="宋体"/>
          <w:color w:val="auto"/>
          <w:sz w:val="24"/>
          <w:lang w:eastAsia="zh-CN"/>
        </w:rPr>
        <w:t>应按下列</w:t>
      </w:r>
      <w:r>
        <w:rPr>
          <w:rFonts w:hint="eastAsia" w:ascii="宋体" w:hAnsi="宋体" w:eastAsia="宋体" w:cs="宋体"/>
          <w:color w:val="auto"/>
          <w:sz w:val="24"/>
        </w:rPr>
        <w:t>内容</w:t>
      </w:r>
      <w:r>
        <w:rPr>
          <w:rFonts w:ascii="宋体" w:hAnsi="宋体" w:eastAsia="宋体" w:cs="宋体"/>
          <w:color w:val="auto"/>
          <w:sz w:val="24"/>
        </w:rPr>
        <w:t>分别评分：</w:t>
      </w:r>
      <w:bookmarkEnd w:id="581"/>
      <w:bookmarkEnd w:id="582"/>
      <w:bookmarkEnd w:id="583"/>
    </w:p>
    <w:p w14:paraId="3C48F46B">
      <w:pPr>
        <w:wordWrap/>
        <w:spacing w:line="360" w:lineRule="auto"/>
        <w:ind w:firstLine="480" w:firstLineChars="200"/>
        <w:textAlignment w:val="auto"/>
        <w:rPr>
          <w:color w:val="auto"/>
          <w:sz w:val="24"/>
        </w:rPr>
      </w:pPr>
      <w:r>
        <w:rPr>
          <w:color w:val="auto"/>
          <w:sz w:val="24"/>
        </w:rPr>
        <w:t xml:space="preserve">1 </w:t>
      </w:r>
      <w:r>
        <w:rPr>
          <w:rFonts w:hint="eastAsia" w:ascii="宋体" w:hAnsi="宋体" w:eastAsia="宋体" w:cs="宋体"/>
          <w:color w:val="auto"/>
          <w:sz w:val="24"/>
        </w:rPr>
        <w:t>规划设计和施工建造阶段，</w:t>
      </w:r>
      <w:r>
        <w:rPr>
          <w:color w:val="auto"/>
          <w:sz w:val="24"/>
        </w:rPr>
        <w:t>分析棕地</w:t>
      </w:r>
      <w:r>
        <w:rPr>
          <w:rFonts w:hint="eastAsia"/>
          <w:color w:val="auto"/>
          <w:sz w:val="24"/>
        </w:rPr>
        <w:t>受损</w:t>
      </w:r>
      <w:r>
        <w:rPr>
          <w:color w:val="auto"/>
          <w:sz w:val="24"/>
        </w:rPr>
        <w:t>的成因、程度、场地现状及其周边环境</w:t>
      </w:r>
      <w:r>
        <w:rPr>
          <w:rFonts w:hint="eastAsia"/>
          <w:color w:val="auto"/>
          <w:sz w:val="24"/>
        </w:rPr>
        <w:t>；</w:t>
      </w:r>
      <w:r>
        <w:rPr>
          <w:color w:val="auto"/>
          <w:sz w:val="24"/>
        </w:rPr>
        <w:t>运用生物、物理、化学等技术改良土壤，消除场地安全隐患</w:t>
      </w:r>
      <w:r>
        <w:rPr>
          <w:rFonts w:hint="eastAsia"/>
          <w:color w:val="auto"/>
          <w:sz w:val="24"/>
        </w:rPr>
        <w:t>；</w:t>
      </w:r>
      <w:r>
        <w:rPr>
          <w:color w:val="auto"/>
          <w:sz w:val="24"/>
        </w:rPr>
        <w:t>选择种植具有吸收降解功能、抗逆性强的植物，恢复植被群落，重建生态系统；</w:t>
      </w:r>
    </w:p>
    <w:p w14:paraId="1A70E049">
      <w:pPr>
        <w:wordWrap/>
        <w:spacing w:line="360" w:lineRule="auto"/>
        <w:ind w:firstLine="480" w:firstLineChars="200"/>
        <w:textAlignment w:val="auto"/>
        <w:rPr>
          <w:color w:val="auto"/>
          <w:sz w:val="24"/>
        </w:rPr>
      </w:pPr>
      <w:r>
        <w:rPr>
          <w:color w:val="auto"/>
          <w:sz w:val="24"/>
        </w:rPr>
        <w:t xml:space="preserve">2 </w:t>
      </w:r>
      <w:r>
        <w:rPr>
          <w:rFonts w:hint="eastAsia" w:ascii="宋体" w:hAnsi="宋体" w:eastAsia="宋体" w:cs="宋体"/>
          <w:color w:val="auto"/>
          <w:sz w:val="24"/>
        </w:rPr>
        <w:t>运行阶段，</w:t>
      </w:r>
      <w:r>
        <w:rPr>
          <w:color w:val="auto"/>
          <w:sz w:val="24"/>
        </w:rPr>
        <w:t>棕地修复成果维护保持率≥98%。</w:t>
      </w:r>
    </w:p>
    <w:p w14:paraId="2F80EE68">
      <w:pPr>
        <w:wordWrap/>
        <w:spacing w:line="360" w:lineRule="auto"/>
        <w:jc w:val="left"/>
        <w:textAlignment w:val="auto"/>
        <w:outlineLvl w:val="9"/>
        <w:rPr>
          <w:rFonts w:hint="eastAsia" w:ascii="宋体" w:hAnsi="宋体" w:eastAsia="宋体" w:cs="宋体"/>
          <w:color w:val="auto"/>
          <w:sz w:val="24"/>
        </w:rPr>
      </w:pPr>
      <w:bookmarkStart w:id="584" w:name="_Toc22239"/>
      <w:bookmarkStart w:id="585" w:name="_Toc7498"/>
      <w:bookmarkStart w:id="586" w:name="_Toc19381"/>
      <w:r>
        <w:rPr>
          <w:rFonts w:hint="eastAsia" w:ascii="宋体" w:hAnsi="宋体" w:cs="宋体"/>
          <w:color w:val="auto"/>
          <w:sz w:val="24"/>
          <w:lang w:eastAsia="zh-CN"/>
        </w:rPr>
        <w:t>B.5</w:t>
      </w:r>
      <w:r>
        <w:rPr>
          <w:rFonts w:ascii="宋体" w:hAnsi="宋体" w:eastAsia="宋体" w:cs="宋体"/>
          <w:color w:val="auto"/>
          <w:sz w:val="24"/>
        </w:rPr>
        <w:t>.</w:t>
      </w:r>
      <w:r>
        <w:rPr>
          <w:rFonts w:hint="eastAsia" w:ascii="宋体" w:hAnsi="宋体" w:eastAsia="宋体" w:cs="宋体"/>
          <w:color w:val="auto"/>
          <w:sz w:val="24"/>
        </w:rPr>
        <w:t>3</w:t>
      </w:r>
      <w:r>
        <w:rPr>
          <w:rFonts w:ascii="宋体" w:hAnsi="宋体" w:eastAsia="宋体" w:cs="宋体"/>
          <w:color w:val="auto"/>
          <w:sz w:val="24"/>
        </w:rPr>
        <w:t xml:space="preserve"> 项目区域破损山体生态修复，</w:t>
      </w:r>
      <w:r>
        <w:rPr>
          <w:rFonts w:hint="eastAsia" w:ascii="宋体" w:hAnsi="宋体" w:cs="宋体"/>
          <w:color w:val="auto"/>
          <w:sz w:val="24"/>
          <w:lang w:eastAsia="zh-CN"/>
        </w:rPr>
        <w:t>应按下列</w:t>
      </w:r>
      <w:r>
        <w:rPr>
          <w:rFonts w:hint="eastAsia" w:ascii="宋体" w:hAnsi="宋体" w:eastAsia="宋体" w:cs="宋体"/>
          <w:color w:val="auto"/>
          <w:sz w:val="24"/>
        </w:rPr>
        <w:t>内容</w:t>
      </w:r>
      <w:r>
        <w:rPr>
          <w:rFonts w:ascii="宋体" w:hAnsi="宋体" w:eastAsia="宋体" w:cs="宋体"/>
          <w:color w:val="auto"/>
          <w:sz w:val="24"/>
        </w:rPr>
        <w:t>分别评分：</w:t>
      </w:r>
      <w:bookmarkEnd w:id="584"/>
      <w:bookmarkEnd w:id="585"/>
      <w:bookmarkEnd w:id="586"/>
    </w:p>
    <w:p w14:paraId="41F00CFB">
      <w:pPr>
        <w:wordWrap/>
        <w:spacing w:line="360" w:lineRule="auto"/>
        <w:ind w:firstLine="480" w:firstLineChars="200"/>
        <w:textAlignment w:val="auto"/>
        <w:rPr>
          <w:color w:val="auto"/>
          <w:sz w:val="24"/>
        </w:rPr>
      </w:pPr>
      <w:r>
        <w:rPr>
          <w:color w:val="auto"/>
          <w:sz w:val="24"/>
        </w:rPr>
        <w:t xml:space="preserve">1 </w:t>
      </w:r>
      <w:r>
        <w:rPr>
          <w:rFonts w:hint="eastAsia" w:ascii="宋体" w:hAnsi="宋体" w:eastAsia="宋体" w:cs="宋体"/>
          <w:color w:val="auto"/>
          <w:sz w:val="24"/>
        </w:rPr>
        <w:t>规划设计和施工建造阶段，</w:t>
      </w:r>
      <w:r>
        <w:rPr>
          <w:color w:val="auto"/>
          <w:sz w:val="24"/>
        </w:rPr>
        <w:t>根据山体受损情况，采取相应的修坡整形、矿坑回填等工程措施，解决受损山体的安全隐患，恢复山体自然形态</w:t>
      </w:r>
      <w:r>
        <w:rPr>
          <w:rFonts w:hint="eastAsia"/>
          <w:color w:val="auto"/>
          <w:sz w:val="24"/>
        </w:rPr>
        <w:t>；</w:t>
      </w:r>
      <w:r>
        <w:rPr>
          <w:color w:val="auto"/>
          <w:sz w:val="24"/>
        </w:rPr>
        <w:t>保护山体原有植被，种植乡土、适生植物，重建山体植被群落；</w:t>
      </w:r>
    </w:p>
    <w:p w14:paraId="312163C2">
      <w:pPr>
        <w:wordWrap/>
        <w:spacing w:line="360" w:lineRule="auto"/>
        <w:ind w:firstLine="480" w:firstLineChars="200"/>
        <w:textAlignment w:val="auto"/>
        <w:rPr>
          <w:rFonts w:hint="eastAsia" w:ascii="宋体" w:hAnsi="宋体" w:eastAsia="宋体" w:cs="宋体"/>
          <w:color w:val="auto"/>
          <w:sz w:val="24"/>
        </w:rPr>
      </w:pPr>
      <w:r>
        <w:rPr>
          <w:color w:val="auto"/>
          <w:sz w:val="24"/>
        </w:rPr>
        <w:t xml:space="preserve">2 </w:t>
      </w:r>
      <w:r>
        <w:rPr>
          <w:rFonts w:hint="eastAsia" w:ascii="宋体" w:hAnsi="宋体" w:eastAsia="宋体" w:cs="宋体"/>
          <w:color w:val="auto"/>
          <w:sz w:val="24"/>
        </w:rPr>
        <w:t>运行阶段，</w:t>
      </w:r>
      <w:r>
        <w:rPr>
          <w:color w:val="auto"/>
          <w:sz w:val="24"/>
        </w:rPr>
        <w:t>破损山体生态修复成果维护保持率≥</w:t>
      </w:r>
      <w:r>
        <w:rPr>
          <w:rFonts w:hint="eastAsia"/>
          <w:color w:val="auto"/>
          <w:sz w:val="24"/>
        </w:rPr>
        <w:t>95</w:t>
      </w:r>
      <w:r>
        <w:rPr>
          <w:color w:val="auto"/>
          <w:sz w:val="24"/>
        </w:rPr>
        <w:t>%</w:t>
      </w:r>
      <w:r>
        <w:rPr>
          <w:rFonts w:ascii="宋体" w:hAnsi="宋体" w:eastAsia="宋体" w:cs="宋体"/>
          <w:color w:val="auto"/>
          <w:sz w:val="24"/>
        </w:rPr>
        <w:t>。</w:t>
      </w:r>
    </w:p>
    <w:p w14:paraId="56FC4361">
      <w:pPr>
        <w:wordWrap/>
        <w:spacing w:line="360" w:lineRule="auto"/>
        <w:jc w:val="left"/>
        <w:textAlignment w:val="auto"/>
        <w:outlineLvl w:val="9"/>
        <w:rPr>
          <w:rFonts w:hint="eastAsia" w:ascii="宋体" w:hAnsi="宋体" w:eastAsia="宋体" w:cs="宋体"/>
          <w:color w:val="auto"/>
          <w:sz w:val="24"/>
        </w:rPr>
      </w:pPr>
      <w:bookmarkStart w:id="587" w:name="_Toc12161"/>
      <w:bookmarkStart w:id="588" w:name="_Toc14373"/>
      <w:bookmarkStart w:id="589" w:name="_Toc27227"/>
      <w:r>
        <w:rPr>
          <w:rFonts w:hint="eastAsia" w:ascii="宋体" w:hAnsi="宋体" w:cs="宋体"/>
          <w:color w:val="auto"/>
          <w:sz w:val="24"/>
          <w:lang w:eastAsia="zh-CN"/>
        </w:rPr>
        <w:t>B.5</w:t>
      </w:r>
      <w:r>
        <w:rPr>
          <w:rFonts w:ascii="宋体" w:hAnsi="宋体" w:eastAsia="宋体" w:cs="宋体"/>
          <w:color w:val="auto"/>
          <w:sz w:val="24"/>
        </w:rPr>
        <w:t>.</w:t>
      </w:r>
      <w:r>
        <w:rPr>
          <w:rFonts w:hint="eastAsia" w:ascii="宋体" w:hAnsi="宋体" w:eastAsia="宋体" w:cs="宋体"/>
          <w:color w:val="auto"/>
          <w:sz w:val="24"/>
        </w:rPr>
        <w:t>4</w:t>
      </w:r>
      <w:r>
        <w:rPr>
          <w:rFonts w:ascii="宋体" w:hAnsi="宋体" w:eastAsia="宋体" w:cs="宋体"/>
          <w:color w:val="auto"/>
          <w:sz w:val="24"/>
        </w:rPr>
        <w:t xml:space="preserve"> </w:t>
      </w:r>
      <w:r>
        <w:rPr>
          <w:rFonts w:hint="eastAsia" w:ascii="宋体" w:hAnsi="宋体" w:eastAsia="宋体" w:cs="宋体"/>
          <w:color w:val="auto"/>
          <w:sz w:val="24"/>
        </w:rPr>
        <w:t>运行阶段，相关指标满足要求，</w:t>
      </w:r>
      <w:r>
        <w:rPr>
          <w:rFonts w:hint="eastAsia" w:ascii="宋体" w:hAnsi="宋体" w:cs="宋体"/>
          <w:color w:val="auto"/>
          <w:sz w:val="24"/>
          <w:lang w:eastAsia="zh-CN"/>
        </w:rPr>
        <w:t>应按下列</w:t>
      </w:r>
      <w:r>
        <w:rPr>
          <w:rFonts w:hint="eastAsia" w:ascii="宋体" w:hAnsi="宋体" w:eastAsia="宋体" w:cs="宋体"/>
          <w:color w:val="auto"/>
          <w:sz w:val="24"/>
        </w:rPr>
        <w:t>内容评分：</w:t>
      </w:r>
      <w:bookmarkEnd w:id="587"/>
      <w:bookmarkEnd w:id="588"/>
      <w:bookmarkEnd w:id="589"/>
    </w:p>
    <w:p w14:paraId="336368D2">
      <w:pPr>
        <w:wordWrap/>
        <w:spacing w:line="360" w:lineRule="auto"/>
        <w:ind w:firstLine="480" w:firstLineChars="200"/>
        <w:jc w:val="left"/>
        <w:textAlignment w:val="auto"/>
        <w:outlineLvl w:val="9"/>
        <w:rPr>
          <w:rFonts w:hint="eastAsia" w:ascii="宋体" w:hAnsi="宋体" w:eastAsia="宋体" w:cs="宋体"/>
          <w:color w:val="auto"/>
          <w:sz w:val="24"/>
        </w:rPr>
      </w:pPr>
      <w:bookmarkStart w:id="590" w:name="_Toc26910"/>
      <w:bookmarkStart w:id="591" w:name="_Toc29468"/>
      <w:bookmarkStart w:id="592" w:name="_Toc28944"/>
      <w:r>
        <w:rPr>
          <w:rFonts w:hint="eastAsia" w:ascii="宋体" w:hAnsi="宋体" w:eastAsia="宋体" w:cs="宋体"/>
          <w:color w:val="auto"/>
          <w:sz w:val="24"/>
        </w:rPr>
        <w:t xml:space="preserve">1 </w:t>
      </w:r>
      <w:r>
        <w:rPr>
          <w:rFonts w:ascii="宋体" w:hAnsi="宋体" w:eastAsia="宋体" w:cs="宋体"/>
          <w:color w:val="auto"/>
          <w:sz w:val="24"/>
        </w:rPr>
        <w:t>生态环境状况指数（EI）达到55</w:t>
      </w:r>
      <w:r>
        <w:rPr>
          <w:rFonts w:hint="eastAsia" w:ascii="宋体" w:hAnsi="宋体" w:cs="宋体"/>
          <w:color w:val="auto"/>
          <w:sz w:val="24"/>
          <w:lang w:val="en-US" w:eastAsia="zh-CN"/>
        </w:rPr>
        <w:t>至</w:t>
      </w:r>
      <w:r>
        <w:rPr>
          <w:rFonts w:ascii="宋体" w:hAnsi="宋体" w:eastAsia="宋体" w:cs="宋体"/>
          <w:color w:val="auto"/>
          <w:sz w:val="24"/>
        </w:rPr>
        <w:t>75</w:t>
      </w:r>
      <w:r>
        <w:rPr>
          <w:rFonts w:hint="eastAsia" w:ascii="宋体" w:hAnsi="宋体" w:eastAsia="宋体" w:cs="宋体"/>
          <w:color w:val="auto"/>
          <w:sz w:val="24"/>
        </w:rPr>
        <w:t>；</w:t>
      </w:r>
      <w:bookmarkEnd w:id="590"/>
      <w:bookmarkEnd w:id="591"/>
      <w:bookmarkEnd w:id="592"/>
    </w:p>
    <w:p w14:paraId="2C5357E8">
      <w:pPr>
        <w:wordWrap/>
        <w:spacing w:line="360" w:lineRule="auto"/>
        <w:ind w:firstLine="480" w:firstLineChars="200"/>
        <w:jc w:val="left"/>
        <w:textAlignment w:val="auto"/>
        <w:outlineLvl w:val="9"/>
        <w:rPr>
          <w:rFonts w:hint="eastAsia" w:ascii="宋体" w:hAnsi="宋体" w:eastAsia="宋体" w:cs="宋体"/>
          <w:color w:val="auto"/>
          <w:sz w:val="24"/>
        </w:rPr>
      </w:pPr>
      <w:bookmarkStart w:id="593" w:name="_Toc7782"/>
      <w:bookmarkStart w:id="594" w:name="_Toc18478"/>
      <w:bookmarkStart w:id="595" w:name="_Toc12880"/>
      <w:r>
        <w:rPr>
          <w:rFonts w:hint="eastAsia" w:ascii="宋体" w:hAnsi="宋体" w:eastAsia="宋体" w:cs="宋体"/>
          <w:color w:val="auto"/>
          <w:sz w:val="24"/>
        </w:rPr>
        <w:t>2 项目区域生物多样性指数（BI）达到30</w:t>
      </w:r>
      <w:r>
        <w:rPr>
          <w:rFonts w:hint="eastAsia" w:ascii="宋体" w:hAnsi="宋体" w:cs="宋体"/>
          <w:color w:val="auto"/>
          <w:sz w:val="24"/>
          <w:lang w:val="en-US" w:eastAsia="zh-CN"/>
        </w:rPr>
        <w:t>至</w:t>
      </w:r>
      <w:r>
        <w:rPr>
          <w:rFonts w:hint="eastAsia" w:ascii="宋体" w:hAnsi="宋体" w:eastAsia="宋体" w:cs="宋体"/>
          <w:color w:val="auto"/>
          <w:sz w:val="24"/>
        </w:rPr>
        <w:t>60。</w:t>
      </w:r>
      <w:bookmarkEnd w:id="593"/>
      <w:bookmarkEnd w:id="594"/>
      <w:bookmarkEnd w:id="595"/>
    </w:p>
    <w:p w14:paraId="0E6B6650">
      <w:pPr>
        <w:wordWrap/>
        <w:spacing w:line="360" w:lineRule="auto"/>
        <w:ind w:firstLine="480" w:firstLineChars="200"/>
        <w:jc w:val="left"/>
        <w:textAlignment w:val="auto"/>
        <w:outlineLvl w:val="9"/>
        <w:rPr>
          <w:rFonts w:hint="eastAsia" w:ascii="宋体" w:hAnsi="宋体" w:eastAsia="宋体" w:cs="宋体"/>
          <w:color w:val="auto"/>
          <w:sz w:val="24"/>
        </w:rPr>
      </w:pPr>
      <w:bookmarkStart w:id="596" w:name="_Toc17399"/>
      <w:bookmarkStart w:id="597" w:name="_Toc28788"/>
      <w:bookmarkStart w:id="598" w:name="_Toc4504"/>
      <w:r>
        <w:rPr>
          <w:rFonts w:hint="eastAsia" w:ascii="宋体" w:hAnsi="宋体" w:eastAsia="宋体" w:cs="宋体"/>
          <w:color w:val="auto"/>
          <w:sz w:val="24"/>
        </w:rPr>
        <w:t>3 城市热岛效应强度≤2.5℃≤2℃。</w:t>
      </w:r>
      <w:bookmarkEnd w:id="596"/>
      <w:bookmarkEnd w:id="597"/>
      <w:bookmarkEnd w:id="598"/>
    </w:p>
    <w:p w14:paraId="2A4EC711">
      <w:pPr>
        <w:wordWrap/>
        <w:spacing w:line="360" w:lineRule="auto"/>
        <w:ind w:firstLine="480" w:firstLineChars="200"/>
        <w:jc w:val="left"/>
        <w:textAlignment w:val="auto"/>
        <w:outlineLvl w:val="9"/>
        <w:rPr>
          <w:rFonts w:hint="eastAsia" w:ascii="宋体" w:hAnsi="宋体" w:eastAsia="宋体" w:cs="宋体"/>
          <w:color w:val="auto"/>
          <w:sz w:val="24"/>
        </w:rPr>
      </w:pPr>
      <w:bookmarkStart w:id="599" w:name="_Toc20679"/>
      <w:bookmarkStart w:id="600" w:name="_Toc3998"/>
      <w:bookmarkStart w:id="601" w:name="_Toc5510"/>
      <w:r>
        <w:rPr>
          <w:rFonts w:hint="eastAsia" w:ascii="宋体" w:hAnsi="宋体" w:eastAsia="宋体" w:cs="宋体"/>
          <w:color w:val="auto"/>
          <w:sz w:val="24"/>
        </w:rPr>
        <w:t>4 项目建成区绿化覆盖率达到37%</w:t>
      </w:r>
      <w:r>
        <w:rPr>
          <w:rFonts w:hint="eastAsia" w:ascii="宋体" w:hAnsi="宋体" w:cs="宋体"/>
          <w:color w:val="auto"/>
          <w:sz w:val="24"/>
          <w:lang w:val="en-US" w:eastAsia="zh-CN"/>
        </w:rPr>
        <w:t>至</w:t>
      </w:r>
      <w:r>
        <w:rPr>
          <w:rFonts w:hint="eastAsia" w:ascii="宋体" w:hAnsi="宋体" w:eastAsia="宋体" w:cs="宋体"/>
          <w:color w:val="auto"/>
          <w:sz w:val="24"/>
        </w:rPr>
        <w:t>42%。</w:t>
      </w:r>
      <w:bookmarkEnd w:id="599"/>
      <w:bookmarkEnd w:id="600"/>
      <w:bookmarkEnd w:id="601"/>
    </w:p>
    <w:p w14:paraId="31CC396A">
      <w:pPr>
        <w:wordWrap/>
        <w:spacing w:line="360" w:lineRule="auto"/>
        <w:jc w:val="left"/>
        <w:textAlignment w:val="auto"/>
        <w:outlineLvl w:val="9"/>
        <w:rPr>
          <w:rFonts w:hint="eastAsia" w:ascii="宋体" w:hAnsi="宋体" w:eastAsia="宋体" w:cs="宋体"/>
          <w:color w:val="auto"/>
          <w:sz w:val="24"/>
        </w:rPr>
      </w:pPr>
      <w:bookmarkStart w:id="602" w:name="_Toc12850"/>
      <w:bookmarkStart w:id="603" w:name="_Toc5937"/>
      <w:bookmarkStart w:id="604" w:name="_Toc13615"/>
      <w:r>
        <w:rPr>
          <w:rFonts w:hint="eastAsia" w:ascii="宋体" w:hAnsi="宋体" w:cs="宋体"/>
          <w:color w:val="auto"/>
          <w:sz w:val="24"/>
          <w:lang w:eastAsia="zh-CN"/>
        </w:rPr>
        <w:t>B.5</w:t>
      </w:r>
      <w:r>
        <w:rPr>
          <w:rFonts w:hint="eastAsia" w:ascii="宋体" w:hAnsi="宋体" w:eastAsia="宋体" w:cs="宋体"/>
          <w:color w:val="auto"/>
          <w:sz w:val="24"/>
        </w:rPr>
        <w:t>.</w:t>
      </w:r>
      <w:r>
        <w:rPr>
          <w:rFonts w:hint="eastAsia" w:ascii="宋体" w:hAnsi="宋体" w:cs="宋体"/>
          <w:color w:val="auto"/>
          <w:sz w:val="24"/>
          <w:lang w:val="en-US" w:eastAsia="zh-CN"/>
        </w:rPr>
        <w:t>5</w:t>
      </w:r>
      <w:r>
        <w:rPr>
          <w:rFonts w:hint="eastAsia" w:ascii="宋体" w:hAnsi="宋体" w:eastAsia="宋体" w:cs="宋体"/>
          <w:color w:val="auto"/>
          <w:sz w:val="24"/>
        </w:rPr>
        <w:t xml:space="preserve"> </w:t>
      </w:r>
      <w:r>
        <w:rPr>
          <w:rFonts w:hint="eastAsia" w:ascii="宋体" w:hAnsi="宋体" w:cs="宋体"/>
          <w:color w:val="auto"/>
          <w:sz w:val="24"/>
          <w:lang w:val="en-US" w:eastAsia="zh-CN"/>
        </w:rPr>
        <w:t>应</w:t>
      </w:r>
      <w:r>
        <w:rPr>
          <w:rFonts w:hint="eastAsia" w:ascii="宋体" w:hAnsi="宋体" w:eastAsia="宋体" w:cs="宋体"/>
          <w:color w:val="auto"/>
          <w:sz w:val="24"/>
        </w:rPr>
        <w:t>建立生态修复工程项目信息化管理与数字化监测管理制度。</w:t>
      </w:r>
      <w:bookmarkEnd w:id="602"/>
      <w:bookmarkEnd w:id="603"/>
      <w:bookmarkEnd w:id="604"/>
    </w:p>
    <w:p w14:paraId="21DE3587">
      <w:pPr>
        <w:wordWrap/>
        <w:spacing w:line="360" w:lineRule="auto"/>
        <w:jc w:val="left"/>
        <w:textAlignment w:val="auto"/>
        <w:outlineLvl w:val="9"/>
        <w:rPr>
          <w:rFonts w:hint="eastAsia" w:ascii="宋体" w:hAnsi="宋体" w:eastAsia="宋体" w:cs="宋体"/>
          <w:color w:val="auto"/>
          <w:sz w:val="24"/>
        </w:rPr>
      </w:pPr>
      <w:bookmarkStart w:id="605" w:name="_Toc24987"/>
      <w:bookmarkStart w:id="606" w:name="_Toc6895"/>
      <w:bookmarkStart w:id="607" w:name="_Toc220"/>
      <w:r>
        <w:rPr>
          <w:rFonts w:hint="eastAsia" w:ascii="宋体" w:hAnsi="宋体" w:cs="宋体"/>
          <w:color w:val="auto"/>
          <w:sz w:val="24"/>
          <w:lang w:eastAsia="zh-CN"/>
        </w:rPr>
        <w:t>B.5</w:t>
      </w:r>
      <w:r>
        <w:rPr>
          <w:rFonts w:hint="eastAsia" w:ascii="宋体" w:hAnsi="宋体" w:eastAsia="宋体" w:cs="宋体"/>
          <w:color w:val="auto"/>
          <w:sz w:val="24"/>
        </w:rPr>
        <w:t>.</w:t>
      </w:r>
      <w:r>
        <w:rPr>
          <w:rFonts w:hint="eastAsia" w:ascii="宋体" w:hAnsi="宋体" w:cs="宋体"/>
          <w:color w:val="auto"/>
          <w:sz w:val="24"/>
          <w:lang w:val="en-US" w:eastAsia="zh-CN"/>
        </w:rPr>
        <w:t>6</w:t>
      </w:r>
      <w:r>
        <w:rPr>
          <w:rFonts w:hint="eastAsia" w:ascii="宋体" w:hAnsi="宋体" w:eastAsia="宋体" w:cs="宋体"/>
          <w:color w:val="auto"/>
          <w:sz w:val="24"/>
        </w:rPr>
        <w:t xml:space="preserve"> 对项目实施数字化管理，</w:t>
      </w:r>
      <w:r>
        <w:rPr>
          <w:rFonts w:hint="eastAsia" w:ascii="宋体" w:hAnsi="宋体" w:cs="宋体"/>
          <w:color w:val="auto"/>
          <w:sz w:val="24"/>
          <w:lang w:eastAsia="zh-CN"/>
        </w:rPr>
        <w:t>应按下列</w:t>
      </w:r>
      <w:r>
        <w:rPr>
          <w:rFonts w:hint="eastAsia" w:ascii="宋体" w:hAnsi="宋体" w:eastAsia="宋体" w:cs="宋体"/>
          <w:color w:val="auto"/>
          <w:sz w:val="24"/>
        </w:rPr>
        <w:t>内容分别评分：</w:t>
      </w:r>
      <w:bookmarkEnd w:id="605"/>
      <w:bookmarkEnd w:id="606"/>
      <w:bookmarkEnd w:id="607"/>
    </w:p>
    <w:p w14:paraId="6F34652F">
      <w:pPr>
        <w:wordWrap/>
        <w:spacing w:line="360" w:lineRule="auto"/>
        <w:ind w:firstLine="480" w:firstLineChars="200"/>
        <w:jc w:val="left"/>
        <w:textAlignment w:val="auto"/>
        <w:outlineLvl w:val="9"/>
        <w:rPr>
          <w:rFonts w:hint="eastAsia" w:ascii="宋体" w:hAnsi="宋体" w:eastAsia="宋体" w:cs="宋体"/>
          <w:color w:val="auto"/>
          <w:sz w:val="24"/>
          <w:lang w:eastAsia="zh-CN"/>
        </w:rPr>
      </w:pPr>
      <w:bookmarkStart w:id="608" w:name="_Toc8569"/>
      <w:bookmarkStart w:id="609" w:name="_Toc28865"/>
      <w:bookmarkStart w:id="610" w:name="_Toc22772"/>
      <w:r>
        <w:rPr>
          <w:rFonts w:hint="eastAsia" w:ascii="宋体" w:hAnsi="宋体" w:eastAsia="宋体" w:cs="宋体"/>
          <w:color w:val="auto"/>
          <w:sz w:val="24"/>
        </w:rPr>
        <w:t>1  建立项目信息管理系统，对项目的现状信息、日常养护、运行状况等信息进行采集和异常分析，保证项目的运行安全</w:t>
      </w:r>
      <w:r>
        <w:rPr>
          <w:rFonts w:hint="eastAsia" w:ascii="宋体" w:hAnsi="宋体" w:eastAsia="宋体" w:cs="宋体"/>
          <w:color w:val="auto"/>
          <w:sz w:val="24"/>
          <w:lang w:eastAsia="zh-CN"/>
        </w:rPr>
        <w:t>；</w:t>
      </w:r>
      <w:bookmarkEnd w:id="608"/>
      <w:bookmarkEnd w:id="609"/>
      <w:bookmarkEnd w:id="610"/>
    </w:p>
    <w:p w14:paraId="4A1BEE28">
      <w:pPr>
        <w:wordWrap/>
        <w:spacing w:line="360" w:lineRule="auto"/>
        <w:ind w:firstLine="480" w:firstLineChars="200"/>
        <w:jc w:val="left"/>
        <w:textAlignment w:val="auto"/>
        <w:outlineLvl w:val="9"/>
        <w:rPr>
          <w:rFonts w:hint="eastAsia" w:ascii="宋体" w:hAnsi="宋体" w:eastAsia="宋体" w:cs="宋体"/>
          <w:color w:val="auto"/>
          <w:sz w:val="24"/>
        </w:rPr>
      </w:pPr>
      <w:bookmarkStart w:id="611" w:name="_Toc1514"/>
      <w:bookmarkStart w:id="612" w:name="_Toc22752"/>
      <w:bookmarkStart w:id="613" w:name="_Toc31839"/>
      <w:r>
        <w:rPr>
          <w:rFonts w:hint="eastAsia" w:ascii="宋体" w:hAnsi="宋体" w:eastAsia="宋体" w:cs="宋体"/>
          <w:color w:val="auto"/>
          <w:sz w:val="24"/>
        </w:rPr>
        <w:t>2 建立数字化监测系统，监测供水质量与水源地水质、雨污水的排水量和水质、景观水体水质、河道水水质、管网运行、土壤污染、生物多样性等情况，积累运行数据，分析生态修复态势。</w:t>
      </w:r>
      <w:bookmarkEnd w:id="611"/>
      <w:bookmarkEnd w:id="612"/>
      <w:bookmarkEnd w:id="613"/>
    </w:p>
    <w:bookmarkEnd w:id="389"/>
    <w:bookmarkEnd w:id="390"/>
    <w:p w14:paraId="19B9690E">
      <w:pPr>
        <w:wordWrap/>
        <w:spacing w:line="360" w:lineRule="auto"/>
        <w:jc w:val="center"/>
        <w:textAlignment w:val="auto"/>
        <w:outlineLvl w:val="1"/>
        <w:rPr>
          <w:rFonts w:hint="eastAsia" w:ascii="宋体" w:hAnsi="宋体" w:eastAsia="宋体" w:cs="宋体"/>
          <w:b/>
          <w:bCs/>
          <w:color w:val="auto"/>
          <w:sz w:val="30"/>
          <w:szCs w:val="30"/>
        </w:rPr>
      </w:pPr>
      <w:bookmarkStart w:id="614" w:name="_Toc22207"/>
      <w:bookmarkStart w:id="615" w:name="_Toc24886"/>
      <w:bookmarkStart w:id="616" w:name="_Toc27000"/>
      <w:bookmarkStart w:id="617" w:name="_Toc21036"/>
      <w:bookmarkStart w:id="618" w:name="_Toc17094"/>
      <w:r>
        <w:rPr>
          <w:rFonts w:hint="eastAsia" w:ascii="黑体" w:hAnsi="黑体" w:eastAsia="黑体" w:cs="黑体"/>
          <w:b/>
          <w:bCs/>
          <w:color w:val="auto"/>
          <w:sz w:val="28"/>
          <w:szCs w:val="28"/>
        </w:rPr>
        <w:t>B</w:t>
      </w:r>
      <w:r>
        <w:rPr>
          <w:rFonts w:hint="eastAsia" w:ascii="黑体" w:hAnsi="黑体" w:eastAsia="黑体" w:cs="黑体"/>
          <w:b/>
          <w:bCs/>
          <w:color w:val="auto"/>
          <w:sz w:val="28"/>
          <w:szCs w:val="28"/>
          <w:lang w:val="en-US" w:eastAsia="zh-CN"/>
        </w:rPr>
        <w:t>.6</w:t>
      </w:r>
      <w:r>
        <w:rPr>
          <w:rFonts w:hint="eastAsia" w:ascii="黑体" w:hAnsi="黑体" w:eastAsia="黑体" w:cs="黑体"/>
          <w:b/>
          <w:bCs/>
          <w:color w:val="auto"/>
          <w:sz w:val="28"/>
          <w:szCs w:val="28"/>
        </w:rPr>
        <w:t xml:space="preserve"> </w:t>
      </w:r>
      <w:r>
        <w:rPr>
          <w:rFonts w:hint="eastAsia" w:ascii="黑体" w:hAnsi="黑体" w:eastAsia="黑体" w:cs="黑体"/>
          <w:b/>
          <w:bCs/>
          <w:color w:val="auto"/>
          <w:sz w:val="28"/>
          <w:szCs w:val="28"/>
          <w:lang w:val="en-US" w:eastAsia="zh-CN"/>
        </w:rPr>
        <w:t>城市供热系统</w:t>
      </w:r>
      <w:r>
        <w:rPr>
          <w:rFonts w:hint="eastAsia" w:ascii="黑体" w:hAnsi="黑体" w:eastAsia="黑体" w:cs="黑体"/>
          <w:b/>
          <w:bCs/>
          <w:color w:val="auto"/>
          <w:sz w:val="28"/>
          <w:szCs w:val="28"/>
        </w:rPr>
        <w:t>项目专项内容评价指标</w:t>
      </w:r>
      <w:bookmarkEnd w:id="614"/>
      <w:bookmarkEnd w:id="615"/>
      <w:bookmarkEnd w:id="616"/>
      <w:bookmarkEnd w:id="617"/>
      <w:bookmarkEnd w:id="618"/>
    </w:p>
    <w:p w14:paraId="0106B97D">
      <w:pPr>
        <w:widowControl w:val="0"/>
        <w:wordWrap/>
        <w:adjustRightInd/>
        <w:snapToGrid/>
        <w:spacing w:line="360" w:lineRule="auto"/>
        <w:jc w:val="left"/>
        <w:textAlignment w:val="auto"/>
        <w:outlineLvl w:val="9"/>
        <w:rPr>
          <w:rFonts w:hint="eastAsia" w:ascii="宋体" w:hAnsi="宋体" w:eastAsia="宋体" w:cs="宋体"/>
          <w:color w:val="auto"/>
          <w:sz w:val="24"/>
          <w:lang w:eastAsia="zh-CN"/>
        </w:rPr>
      </w:pPr>
      <w:r>
        <w:rPr>
          <w:rFonts w:hint="eastAsia" w:ascii="宋体" w:hAnsi="宋体" w:cs="宋体"/>
          <w:color w:val="auto"/>
          <w:sz w:val="24"/>
          <w:lang w:val="en-US" w:eastAsia="zh-CN"/>
        </w:rPr>
        <w:t>B.6</w:t>
      </w:r>
      <w:r>
        <w:rPr>
          <w:rFonts w:hint="eastAsia" w:ascii="宋体" w:hAnsi="宋体" w:eastAsia="宋体" w:cs="宋体"/>
          <w:color w:val="auto"/>
          <w:sz w:val="24"/>
          <w:lang w:val="en-US" w:eastAsia="zh-CN"/>
        </w:rPr>
        <w:t>.1对已经列入管线老化更新改造消除隐患工程计划项目</w:t>
      </w:r>
      <w:r>
        <w:rPr>
          <w:rFonts w:hint="eastAsia" w:ascii="宋体" w:hAnsi="宋体" w:eastAsia="宋体" w:cs="宋体"/>
          <w:color w:val="auto"/>
          <w:sz w:val="24"/>
          <w:highlight w:val="none"/>
          <w:lang w:val="en-US" w:eastAsia="zh-CN"/>
        </w:rPr>
        <w:t>，应与当地规划衔接，设立符</w:t>
      </w:r>
      <w:r>
        <w:rPr>
          <w:rFonts w:hint="eastAsia" w:ascii="宋体" w:hAnsi="宋体" w:eastAsia="宋体" w:cs="宋体"/>
          <w:color w:val="auto"/>
          <w:sz w:val="24"/>
          <w:lang w:val="en-US" w:eastAsia="zh-CN"/>
        </w:rPr>
        <w:t>合节能减排、智慧化供热要求的项目目标</w:t>
      </w:r>
      <w:r>
        <w:rPr>
          <w:rFonts w:hint="eastAsia" w:ascii="宋体" w:hAnsi="宋体" w:eastAsia="宋体" w:cs="宋体"/>
          <w:color w:val="auto"/>
          <w:sz w:val="24"/>
          <w:lang w:eastAsia="zh-CN"/>
        </w:rPr>
        <w:t>。</w:t>
      </w:r>
    </w:p>
    <w:p w14:paraId="62E4BBDC">
      <w:pPr>
        <w:widowControl w:val="0"/>
        <w:wordWrap/>
        <w:adjustRightInd/>
        <w:snapToGrid/>
        <w:spacing w:line="360" w:lineRule="auto"/>
        <w:jc w:val="left"/>
        <w:textAlignment w:val="auto"/>
        <w:outlineLvl w:val="9"/>
        <w:rPr>
          <w:rFonts w:hint="eastAsia" w:ascii="宋体" w:hAnsi="宋体" w:eastAsia="宋体" w:cs="宋体"/>
          <w:color w:val="auto"/>
          <w:sz w:val="24"/>
          <w:lang w:val="en-US" w:eastAsia="zh-CN"/>
        </w:rPr>
      </w:pPr>
      <w:r>
        <w:rPr>
          <w:rFonts w:hint="eastAsia" w:ascii="宋体" w:hAnsi="宋体" w:cs="宋体"/>
          <w:color w:val="auto"/>
          <w:sz w:val="24"/>
          <w:lang w:val="en-US" w:eastAsia="zh-CN"/>
        </w:rPr>
        <w:t>B.6</w:t>
      </w:r>
      <w:r>
        <w:rPr>
          <w:rFonts w:hint="eastAsia" w:ascii="宋体" w:hAnsi="宋体" w:eastAsia="宋体" w:cs="宋体"/>
          <w:color w:val="auto"/>
          <w:sz w:val="24"/>
          <w:lang w:val="en-US" w:eastAsia="zh-CN"/>
        </w:rPr>
        <w:t>.2运行阶段控制供热系统大气污染物排放，</w:t>
      </w:r>
      <w:r>
        <w:rPr>
          <w:rFonts w:hint="eastAsia" w:ascii="宋体" w:hAnsi="宋体" w:cs="宋体"/>
          <w:color w:val="auto"/>
          <w:sz w:val="24"/>
          <w:lang w:val="en-US" w:eastAsia="zh-CN"/>
        </w:rPr>
        <w:t>应按下列</w:t>
      </w:r>
      <w:r>
        <w:rPr>
          <w:rFonts w:hint="eastAsia" w:ascii="宋体" w:hAnsi="宋体" w:eastAsia="宋体" w:cs="宋体"/>
          <w:color w:val="auto"/>
          <w:sz w:val="24"/>
          <w:lang w:val="en-US" w:eastAsia="zh-CN"/>
        </w:rPr>
        <w:t>内容分别评分：</w:t>
      </w:r>
    </w:p>
    <w:p w14:paraId="1C9FC032">
      <w:pPr>
        <w:widowControl w:val="0"/>
        <w:numPr>
          <w:ilvl w:val="0"/>
          <w:numId w:val="0"/>
        </w:numPr>
        <w:wordWrap/>
        <w:adjustRightInd/>
        <w:snapToGrid/>
        <w:spacing w:after="156" w:afterLines="50" w:line="360" w:lineRule="auto"/>
        <w:ind w:left="0" w:leftChars="0" w:firstLine="480" w:firstLineChars="200"/>
        <w:textAlignment w:val="auto"/>
        <w:outlineLvl w:val="9"/>
        <w:rPr>
          <w:rFonts w:hint="eastAsia"/>
          <w:color w:val="auto"/>
          <w:sz w:val="24"/>
          <w:highlight w:val="none"/>
          <w:lang w:val="en-US" w:eastAsia="zh-CN"/>
        </w:rPr>
      </w:pPr>
      <w:r>
        <w:rPr>
          <w:rFonts w:hint="eastAsia" w:ascii="宋体" w:hAnsi="宋体" w:cs="宋体"/>
          <w:color w:val="auto"/>
          <w:sz w:val="24"/>
          <w:highlight w:val="none"/>
          <w:lang w:val="en-US" w:eastAsia="zh-CN"/>
        </w:rPr>
        <w:t>1</w:t>
      </w:r>
      <w:r>
        <w:rPr>
          <w:rFonts w:hint="eastAsia"/>
          <w:color w:val="auto"/>
          <w:sz w:val="24"/>
          <w:highlight w:val="none"/>
          <w:lang w:val="en-US" w:eastAsia="zh-CN"/>
        </w:rPr>
        <w:t xml:space="preserve"> 在供热过程中应监测和评价供热系统产生的污染物排放量，包括SO2、NOX、PM10和PM2.5排放量等</w:t>
      </w:r>
      <w:r>
        <w:rPr>
          <w:rFonts w:hint="eastAsia" w:ascii="宋体" w:hAnsi="宋体" w:eastAsia="宋体" w:cs="宋体"/>
          <w:color w:val="auto"/>
          <w:sz w:val="24"/>
          <w:highlight w:val="none"/>
          <w:lang w:eastAsia="zh-CN"/>
        </w:rPr>
        <w:t>；</w:t>
      </w:r>
    </w:p>
    <w:p w14:paraId="6ACC32BC">
      <w:pPr>
        <w:widowControl w:val="0"/>
        <w:numPr>
          <w:ilvl w:val="0"/>
          <w:numId w:val="0"/>
        </w:numPr>
        <w:wordWrap/>
        <w:adjustRightInd/>
        <w:snapToGrid/>
        <w:spacing w:after="156" w:afterLines="50" w:line="360" w:lineRule="auto"/>
        <w:ind w:left="0" w:leftChars="0" w:firstLine="480" w:firstLineChars="200"/>
        <w:jc w:val="left"/>
        <w:textAlignment w:val="auto"/>
        <w:outlineLvl w:val="9"/>
        <w:rPr>
          <w:rFonts w:hint="eastAsia" w:ascii="宋体" w:hAnsi="宋体" w:eastAsia="宋体" w:cs="宋体"/>
          <w:color w:val="auto"/>
          <w:sz w:val="24"/>
          <w:lang w:val="en-US" w:eastAsia="zh-CN"/>
        </w:rPr>
      </w:pPr>
      <w:r>
        <w:rPr>
          <w:rFonts w:hint="eastAsia" w:ascii="宋体" w:hAnsi="宋体" w:eastAsia="宋体" w:cs="宋体"/>
          <w:color w:val="auto"/>
          <w:sz w:val="24"/>
          <w:lang w:val="en-US" w:eastAsia="zh-CN"/>
        </w:rPr>
        <w:t>2 供热系统排放的大气污染物，应符合现行国家标准《锅炉大气污染物排放标准》GB13271、《大气污染物综合排放标准》GB16297和所在地有关大气污染物排放标准的规定；</w:t>
      </w:r>
    </w:p>
    <w:p w14:paraId="195AD2D9">
      <w:pPr>
        <w:widowControl w:val="0"/>
        <w:numPr>
          <w:ilvl w:val="0"/>
          <w:numId w:val="0"/>
        </w:numPr>
        <w:wordWrap/>
        <w:adjustRightInd/>
        <w:snapToGrid/>
        <w:spacing w:after="156" w:afterLines="50" w:line="360" w:lineRule="auto"/>
        <w:ind w:left="0" w:leftChars="0" w:firstLine="480" w:firstLineChars="200"/>
        <w:jc w:val="left"/>
        <w:textAlignment w:val="auto"/>
        <w:outlineLvl w:val="9"/>
        <w:rPr>
          <w:rFonts w:hint="eastAsia" w:ascii="宋体" w:hAnsi="宋体" w:eastAsia="宋体" w:cs="宋体"/>
          <w:color w:val="auto"/>
          <w:sz w:val="24"/>
          <w:lang w:val="en-US" w:eastAsia="zh-CN"/>
        </w:rPr>
      </w:pPr>
      <w:r>
        <w:rPr>
          <w:rFonts w:hint="eastAsia" w:ascii="宋体" w:hAnsi="宋体" w:eastAsia="宋体" w:cs="宋体"/>
          <w:color w:val="auto"/>
          <w:sz w:val="24"/>
          <w:lang w:val="en-US" w:eastAsia="zh-CN"/>
        </w:rPr>
        <w:t>3 应用新能源和可再生能源与化石能源耦合供热，降低城市供热系统污染物排放总量。</w:t>
      </w:r>
    </w:p>
    <w:p w14:paraId="216C445C">
      <w:pPr>
        <w:widowControl w:val="0"/>
        <w:wordWrap/>
        <w:adjustRightInd/>
        <w:snapToGrid/>
        <w:spacing w:line="360" w:lineRule="auto"/>
        <w:jc w:val="left"/>
        <w:textAlignment w:val="auto"/>
        <w:outlineLvl w:val="9"/>
        <w:rPr>
          <w:rFonts w:hint="eastAsia" w:ascii="宋体" w:hAnsi="宋体" w:eastAsia="宋体" w:cs="宋体"/>
          <w:color w:val="auto"/>
          <w:sz w:val="24"/>
          <w:highlight w:val="yellow"/>
          <w:lang w:val="en-US" w:eastAsia="zh-CN"/>
        </w:rPr>
      </w:pPr>
      <w:r>
        <w:rPr>
          <w:rFonts w:hint="eastAsia" w:ascii="宋体" w:hAnsi="宋体" w:cs="宋体"/>
          <w:color w:val="auto"/>
          <w:sz w:val="24"/>
          <w:lang w:val="en-US" w:eastAsia="zh-CN"/>
        </w:rPr>
        <w:t>B.6</w:t>
      </w:r>
      <w:r>
        <w:rPr>
          <w:rFonts w:hint="eastAsia" w:ascii="宋体" w:hAnsi="宋体" w:eastAsia="宋体" w:cs="宋体"/>
          <w:color w:val="auto"/>
          <w:sz w:val="24"/>
          <w:lang w:val="en-US" w:eastAsia="zh-CN"/>
        </w:rPr>
        <w:t>.3在供热运行中临时排放的废水和固体废弃物</w:t>
      </w:r>
      <w:r>
        <w:rPr>
          <w:rFonts w:hint="eastAsia" w:ascii="宋体" w:hAnsi="宋体" w:cs="宋体"/>
          <w:color w:val="auto"/>
          <w:sz w:val="24"/>
          <w:lang w:val="en-US" w:eastAsia="zh-CN"/>
        </w:rPr>
        <w:t>应</w:t>
      </w:r>
      <w:r>
        <w:rPr>
          <w:rFonts w:hint="eastAsia" w:ascii="宋体" w:hAnsi="宋体" w:eastAsia="宋体" w:cs="宋体"/>
          <w:color w:val="auto"/>
          <w:sz w:val="24"/>
          <w:lang w:val="en-US" w:eastAsia="zh-CN"/>
        </w:rPr>
        <w:t>收集并集中处理</w:t>
      </w:r>
      <w:r>
        <w:rPr>
          <w:rFonts w:hint="eastAsia" w:ascii="宋体" w:hAnsi="宋体" w:cs="宋体"/>
          <w:color w:val="auto"/>
          <w:sz w:val="24"/>
          <w:lang w:val="en-US" w:eastAsia="zh-CN"/>
        </w:rPr>
        <w:t>。</w:t>
      </w:r>
    </w:p>
    <w:p w14:paraId="6A360820">
      <w:pPr>
        <w:widowControl/>
        <w:wordWrap/>
        <w:adjustRightInd/>
        <w:snapToGrid/>
        <w:spacing w:line="360" w:lineRule="auto"/>
        <w:jc w:val="left"/>
        <w:textAlignment w:val="auto"/>
        <w:outlineLvl w:val="9"/>
        <w:rPr>
          <w:rFonts w:hint="eastAsia"/>
          <w:color w:val="auto"/>
          <w:sz w:val="24"/>
          <w:highlight w:val="none"/>
          <w:lang w:val="en-US" w:eastAsia="zh-CN"/>
        </w:rPr>
      </w:pPr>
      <w:r>
        <w:rPr>
          <w:rFonts w:hint="eastAsia" w:ascii="宋体" w:hAnsi="宋体" w:cs="宋体"/>
          <w:color w:val="auto"/>
          <w:sz w:val="24"/>
          <w:highlight w:val="none"/>
          <w:lang w:val="en-US" w:eastAsia="zh-CN"/>
        </w:rPr>
        <w:t>B.6</w:t>
      </w:r>
      <w:r>
        <w:rPr>
          <w:rFonts w:hint="eastAsia" w:ascii="宋体" w:hAnsi="宋体" w:eastAsia="宋体" w:cs="宋体"/>
          <w:color w:val="auto"/>
          <w:sz w:val="24"/>
          <w:highlight w:val="none"/>
          <w:lang w:val="en-US" w:eastAsia="zh-CN"/>
        </w:rPr>
        <w:t>.4</w:t>
      </w:r>
      <w:r>
        <w:rPr>
          <w:rFonts w:hint="eastAsia" w:ascii="Calibri" w:hAnsi="Calibri" w:eastAsia="宋体" w:cs="黑体"/>
          <w:color w:val="auto"/>
          <w:sz w:val="24"/>
          <w:highlight w:val="none"/>
          <w:lang w:val="en-US" w:eastAsia="zh-CN"/>
        </w:rPr>
        <w:t xml:space="preserve"> 开发地下水源、地热水</w:t>
      </w:r>
      <w:r>
        <w:rPr>
          <w:rFonts w:hint="eastAsia" w:cs="黑体"/>
          <w:color w:val="auto"/>
          <w:sz w:val="24"/>
          <w:highlight w:val="none"/>
          <w:lang w:val="en-US" w:eastAsia="zh-CN"/>
        </w:rPr>
        <w:t>源热泵应用</w:t>
      </w:r>
      <w:r>
        <w:rPr>
          <w:rFonts w:hint="eastAsia" w:ascii="Calibri" w:hAnsi="Calibri" w:eastAsia="宋体" w:cs="黑体"/>
          <w:color w:val="auto"/>
          <w:sz w:val="24"/>
          <w:highlight w:val="none"/>
          <w:lang w:val="en-US" w:eastAsia="zh-CN"/>
        </w:rPr>
        <w:t>时，</w:t>
      </w:r>
      <w:r>
        <w:rPr>
          <w:rFonts w:hint="eastAsia"/>
          <w:color w:val="auto"/>
          <w:sz w:val="24"/>
          <w:highlight w:val="none"/>
          <w:lang w:val="en-US" w:eastAsia="zh-CN"/>
        </w:rPr>
        <w:t>地下水回灌不应造成地下水污染。</w:t>
      </w:r>
    </w:p>
    <w:p w14:paraId="7FFCAA78">
      <w:pPr>
        <w:widowControl/>
        <w:wordWrap/>
        <w:adjustRightInd/>
        <w:snapToGrid/>
        <w:spacing w:line="360" w:lineRule="auto"/>
        <w:jc w:val="left"/>
        <w:textAlignment w:val="auto"/>
        <w:outlineLvl w:val="9"/>
        <w:rPr>
          <w:rFonts w:hint="eastAsia" w:ascii="Calibri" w:hAnsi="Calibri" w:eastAsia="宋体" w:cs="黑体"/>
          <w:color w:val="auto"/>
          <w:sz w:val="24"/>
          <w:highlight w:val="none"/>
          <w:lang w:val="en-US" w:eastAsia="zh-CN"/>
        </w:rPr>
      </w:pPr>
      <w:r>
        <w:rPr>
          <w:rFonts w:hint="eastAsia" w:ascii="宋体" w:hAnsi="宋体" w:cs="宋体"/>
          <w:color w:val="auto"/>
          <w:sz w:val="24"/>
          <w:highlight w:val="none"/>
          <w:lang w:val="en-US" w:eastAsia="zh-CN"/>
        </w:rPr>
        <w:t>B.6</w:t>
      </w:r>
      <w:r>
        <w:rPr>
          <w:rFonts w:hint="eastAsia" w:ascii="宋体" w:hAnsi="宋体" w:eastAsia="宋体" w:cs="宋体"/>
          <w:color w:val="auto"/>
          <w:sz w:val="24"/>
          <w:highlight w:val="none"/>
          <w:lang w:val="en-US" w:eastAsia="zh-CN"/>
        </w:rPr>
        <w:t>.5</w:t>
      </w:r>
      <w:r>
        <w:rPr>
          <w:rFonts w:hint="eastAsia"/>
          <w:color w:val="auto"/>
          <w:sz w:val="24"/>
          <w:highlight w:val="none"/>
          <w:lang w:val="en-US" w:eastAsia="zh-CN"/>
        </w:rPr>
        <w:t xml:space="preserve"> </w:t>
      </w:r>
      <w:r>
        <w:rPr>
          <w:rFonts w:hint="eastAsia" w:ascii="Calibri" w:hAnsi="Calibri" w:eastAsia="宋体" w:cs="黑体"/>
          <w:color w:val="auto"/>
          <w:sz w:val="24"/>
          <w:highlight w:val="none"/>
          <w:lang w:val="en-US" w:eastAsia="zh-CN"/>
        </w:rPr>
        <w:t>以下情况不应以地下水作为热泵水源，</w:t>
      </w:r>
      <w:r>
        <w:rPr>
          <w:rFonts w:hint="eastAsia" w:cs="黑体"/>
          <w:color w:val="auto"/>
          <w:sz w:val="24"/>
          <w:highlight w:val="none"/>
          <w:lang w:val="en-US" w:eastAsia="zh-CN"/>
        </w:rPr>
        <w:t>应按以下内容分别评分，</w:t>
      </w:r>
      <w:r>
        <w:rPr>
          <w:rFonts w:hint="eastAsia" w:ascii="Calibri" w:hAnsi="Calibri" w:eastAsia="宋体" w:cs="黑体"/>
          <w:color w:val="auto"/>
          <w:sz w:val="24"/>
          <w:highlight w:val="none"/>
          <w:lang w:val="en-US" w:eastAsia="zh-CN"/>
        </w:rPr>
        <w:t>避免对环境产生不利影响：</w:t>
      </w:r>
    </w:p>
    <w:p w14:paraId="7D70C594">
      <w:pPr>
        <w:widowControl w:val="0"/>
        <w:wordWrap/>
        <w:adjustRightInd/>
        <w:snapToGrid/>
        <w:spacing w:line="360" w:lineRule="auto"/>
        <w:ind w:firstLine="480" w:firstLineChars="200"/>
        <w:jc w:val="left"/>
        <w:textAlignment w:val="auto"/>
        <w:outlineLvl w:val="9"/>
        <w:rPr>
          <w:rFonts w:hint="default"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1 在地下水饮用水水源地及其保护区范围内，禁止以保护的目标含水层作为供热系统热泵水源</w:t>
      </w:r>
      <w:r>
        <w:rPr>
          <w:rFonts w:hint="eastAsia" w:ascii="宋体" w:hAnsi="宋体" w:cs="宋体"/>
          <w:color w:val="auto"/>
          <w:sz w:val="24"/>
          <w:highlight w:val="none"/>
          <w:lang w:val="en-US" w:eastAsia="zh-CN"/>
        </w:rPr>
        <w:t>；</w:t>
      </w:r>
    </w:p>
    <w:p w14:paraId="63132D8B">
      <w:pPr>
        <w:widowControl w:val="0"/>
        <w:wordWrap/>
        <w:adjustRightInd/>
        <w:snapToGrid/>
        <w:spacing w:line="360" w:lineRule="auto"/>
        <w:ind w:firstLine="480" w:firstLineChars="200"/>
        <w:jc w:val="left"/>
        <w:textAlignment w:val="auto"/>
        <w:outlineLvl w:val="9"/>
        <w:rPr>
          <w:rFonts w:hint="default"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2 在地下水禁限采区、深层（承压）含水层以及地热水无法有效回灌的地区或对应含水层，应禁止以地下水作为热泵水源</w:t>
      </w:r>
      <w:r>
        <w:rPr>
          <w:rFonts w:hint="eastAsia" w:ascii="宋体" w:hAnsi="宋体" w:cs="宋体"/>
          <w:color w:val="auto"/>
          <w:sz w:val="24"/>
          <w:highlight w:val="none"/>
          <w:lang w:val="en-US" w:eastAsia="zh-CN"/>
        </w:rPr>
        <w:t>；</w:t>
      </w:r>
    </w:p>
    <w:p w14:paraId="4D31A419">
      <w:pPr>
        <w:widowControl w:val="0"/>
        <w:wordWrap/>
        <w:adjustRightInd/>
        <w:snapToGrid/>
        <w:spacing w:line="360" w:lineRule="auto"/>
        <w:ind w:firstLine="480" w:firstLineChars="200"/>
        <w:jc w:val="left"/>
        <w:textAlignment w:val="auto"/>
        <w:outlineLvl w:val="9"/>
        <w:rPr>
          <w:rFonts w:hint="default"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3 在已发生严重的地面沉降、地裂缝、海（咸）水入侵、植被退化等地质灾害或者生态损害的区域，应禁止以地下水作为热泵水源。</w:t>
      </w:r>
    </w:p>
    <w:p w14:paraId="02AB1966">
      <w:pPr>
        <w:widowControl w:val="0"/>
        <w:wordWrap/>
        <w:adjustRightInd/>
        <w:snapToGrid/>
        <w:spacing w:line="360" w:lineRule="auto"/>
        <w:jc w:val="left"/>
        <w:textAlignment w:val="auto"/>
        <w:outlineLvl w:val="9"/>
        <w:rPr>
          <w:rFonts w:hint="eastAsia" w:ascii="宋体" w:hAnsi="宋体" w:eastAsia="宋体" w:cs="宋体"/>
          <w:color w:val="auto"/>
          <w:sz w:val="24"/>
          <w:lang w:val="en-US" w:eastAsia="zh-CN"/>
        </w:rPr>
      </w:pPr>
      <w:r>
        <w:rPr>
          <w:rFonts w:hint="eastAsia" w:ascii="宋体" w:hAnsi="宋体" w:cs="宋体"/>
          <w:color w:val="auto"/>
          <w:sz w:val="24"/>
          <w:lang w:val="en-US" w:eastAsia="zh-CN"/>
        </w:rPr>
        <w:t>B.6</w:t>
      </w:r>
      <w:r>
        <w:rPr>
          <w:rFonts w:hint="eastAsia" w:ascii="宋体" w:hAnsi="宋体" w:eastAsia="宋体" w:cs="宋体"/>
          <w:color w:val="auto"/>
          <w:sz w:val="24"/>
          <w:lang w:val="en-US" w:eastAsia="zh-CN"/>
        </w:rPr>
        <w:t>.</w:t>
      </w:r>
      <w:r>
        <w:rPr>
          <w:rFonts w:hint="eastAsia" w:ascii="宋体" w:hAnsi="宋体" w:cs="宋体"/>
          <w:color w:val="auto"/>
          <w:sz w:val="24"/>
          <w:lang w:val="en-US" w:eastAsia="zh-CN"/>
        </w:rPr>
        <w:t xml:space="preserve">6 </w:t>
      </w:r>
      <w:r>
        <w:rPr>
          <w:rFonts w:hint="eastAsia" w:ascii="宋体" w:hAnsi="宋体" w:eastAsia="宋体" w:cs="宋体"/>
          <w:color w:val="auto"/>
          <w:sz w:val="24"/>
          <w:lang w:val="en-US" w:eastAsia="zh-CN"/>
        </w:rPr>
        <w:t>在城市更新、城市新区、产业园（区）的规划建设过程中，做好供热与城市总体规划的衔接，</w:t>
      </w:r>
      <w:r>
        <w:rPr>
          <w:rFonts w:hint="eastAsia" w:ascii="宋体" w:hAnsi="宋体" w:cs="宋体"/>
          <w:color w:val="auto"/>
          <w:sz w:val="24"/>
          <w:lang w:val="en-US" w:eastAsia="zh-CN"/>
        </w:rPr>
        <w:t>应按下列</w:t>
      </w:r>
      <w:r>
        <w:rPr>
          <w:rFonts w:hint="eastAsia" w:ascii="宋体" w:hAnsi="宋体" w:eastAsia="宋体" w:cs="宋体"/>
          <w:color w:val="auto"/>
          <w:sz w:val="24"/>
          <w:lang w:val="en-US" w:eastAsia="zh-CN"/>
        </w:rPr>
        <w:t>内容分别评分：</w:t>
      </w:r>
    </w:p>
    <w:p w14:paraId="6B61558A">
      <w:pPr>
        <w:widowControl w:val="0"/>
        <w:wordWrap/>
        <w:adjustRightInd/>
        <w:snapToGrid/>
        <w:spacing w:line="360" w:lineRule="auto"/>
        <w:ind w:firstLine="480" w:firstLineChars="200"/>
        <w:jc w:val="left"/>
        <w:textAlignment w:val="auto"/>
        <w:outlineLvl w:val="9"/>
        <w:rPr>
          <w:rFonts w:hint="eastAsia" w:ascii="宋体" w:hAnsi="宋体" w:eastAsia="宋体" w:cs="宋体"/>
          <w:color w:val="auto"/>
          <w:sz w:val="24"/>
          <w:lang w:val="en-US" w:eastAsia="zh-CN"/>
        </w:rPr>
      </w:pPr>
      <w:r>
        <w:rPr>
          <w:rFonts w:hint="eastAsia" w:ascii="宋体" w:hAnsi="宋体" w:eastAsia="宋体" w:cs="宋体"/>
          <w:color w:val="auto"/>
          <w:sz w:val="24"/>
          <w:lang w:val="en-US" w:eastAsia="zh-CN"/>
        </w:rPr>
        <w:t>1 供热能源的选用应因地制宜，能源供给应稳定可靠、经济可行，能源利用应节能环保；</w:t>
      </w:r>
    </w:p>
    <w:p w14:paraId="4D8CE149">
      <w:pPr>
        <w:widowControl w:val="0"/>
        <w:wordWrap/>
        <w:adjustRightInd/>
        <w:snapToGrid/>
        <w:spacing w:line="360" w:lineRule="auto"/>
        <w:ind w:firstLine="480" w:firstLineChars="200"/>
        <w:jc w:val="left"/>
        <w:textAlignment w:val="auto"/>
        <w:outlineLvl w:val="9"/>
        <w:rPr>
          <w:rFonts w:hint="eastAsia" w:ascii="宋体" w:hAnsi="宋体" w:eastAsia="宋体" w:cs="宋体"/>
          <w:color w:val="auto"/>
          <w:sz w:val="24"/>
          <w:lang w:val="en-US" w:eastAsia="zh-CN"/>
        </w:rPr>
      </w:pPr>
      <w:r>
        <w:rPr>
          <w:rFonts w:hint="eastAsia" w:ascii="宋体" w:hAnsi="宋体" w:eastAsia="宋体" w:cs="宋体"/>
          <w:color w:val="auto"/>
          <w:sz w:val="24"/>
          <w:lang w:val="en-US" w:eastAsia="zh-CN"/>
        </w:rPr>
        <w:t>2 在供热管网覆盖的区域，无新建分散燃煤（气）锅炉供热</w:t>
      </w:r>
      <w:r>
        <w:rPr>
          <w:rFonts w:hint="eastAsia" w:ascii="宋体" w:hAnsi="宋体" w:cs="宋体"/>
          <w:color w:val="auto"/>
          <w:sz w:val="24"/>
          <w:lang w:val="en-US" w:eastAsia="zh-CN"/>
        </w:rPr>
        <w:t>。</w:t>
      </w:r>
    </w:p>
    <w:p w14:paraId="35E26361">
      <w:pPr>
        <w:widowControl w:val="0"/>
        <w:wordWrap/>
        <w:adjustRightInd/>
        <w:snapToGrid/>
        <w:spacing w:line="360" w:lineRule="auto"/>
        <w:jc w:val="left"/>
        <w:textAlignment w:val="auto"/>
        <w:outlineLvl w:val="9"/>
        <w:rPr>
          <w:rFonts w:hint="eastAsia" w:ascii="宋体" w:hAnsi="宋体" w:eastAsia="宋体" w:cs="宋体"/>
          <w:color w:val="auto"/>
          <w:sz w:val="24"/>
          <w:lang w:val="en-US" w:eastAsia="zh-CN"/>
        </w:rPr>
      </w:pPr>
      <w:r>
        <w:rPr>
          <w:rFonts w:hint="eastAsia" w:ascii="宋体" w:hAnsi="宋体" w:cs="宋体"/>
          <w:color w:val="auto"/>
          <w:sz w:val="24"/>
          <w:lang w:val="en-US" w:eastAsia="zh-CN"/>
        </w:rPr>
        <w:t>B.6</w:t>
      </w:r>
      <w:r>
        <w:rPr>
          <w:rFonts w:hint="eastAsia" w:ascii="宋体" w:hAnsi="宋体" w:eastAsia="宋体" w:cs="宋体"/>
          <w:color w:val="auto"/>
          <w:sz w:val="24"/>
          <w:lang w:val="en-US" w:eastAsia="zh-CN"/>
        </w:rPr>
        <w:t>.</w:t>
      </w:r>
      <w:r>
        <w:rPr>
          <w:rFonts w:hint="eastAsia" w:ascii="宋体" w:hAnsi="宋体" w:cs="宋体"/>
          <w:color w:val="auto"/>
          <w:sz w:val="24"/>
          <w:lang w:val="en-US" w:eastAsia="zh-CN"/>
        </w:rPr>
        <w:t>7</w:t>
      </w:r>
      <w:r>
        <w:rPr>
          <w:rFonts w:hint="eastAsia" w:ascii="宋体" w:hAnsi="宋体" w:eastAsia="宋体" w:cs="宋体"/>
          <w:color w:val="auto"/>
          <w:sz w:val="24"/>
          <w:lang w:val="en-US" w:eastAsia="zh-CN"/>
        </w:rPr>
        <w:t>在运行阶段对供热系统能源消耗和运行效果进行监测</w:t>
      </w:r>
      <w:r>
        <w:rPr>
          <w:rFonts w:hint="eastAsia" w:ascii="宋体" w:hAnsi="宋体" w:cs="宋体"/>
          <w:color w:val="auto"/>
          <w:sz w:val="24"/>
          <w:lang w:val="en-US" w:eastAsia="zh-CN"/>
        </w:rPr>
        <w:t>评估</w:t>
      </w:r>
      <w:r>
        <w:rPr>
          <w:rFonts w:hint="eastAsia" w:ascii="宋体" w:hAnsi="宋体" w:eastAsia="宋体" w:cs="宋体"/>
          <w:color w:val="auto"/>
          <w:sz w:val="24"/>
          <w:lang w:val="en-US" w:eastAsia="zh-CN"/>
        </w:rPr>
        <w:t>，</w:t>
      </w:r>
      <w:r>
        <w:rPr>
          <w:rFonts w:hint="eastAsia" w:ascii="宋体" w:hAnsi="宋体" w:cs="宋体"/>
          <w:color w:val="auto"/>
          <w:sz w:val="24"/>
          <w:lang w:val="en-US" w:eastAsia="zh-CN"/>
        </w:rPr>
        <w:t>应按下列</w:t>
      </w:r>
      <w:r>
        <w:rPr>
          <w:rFonts w:hint="eastAsia" w:ascii="宋体" w:hAnsi="宋体" w:eastAsia="宋体" w:cs="宋体"/>
          <w:color w:val="auto"/>
          <w:sz w:val="24"/>
          <w:lang w:val="en-US" w:eastAsia="zh-CN"/>
        </w:rPr>
        <w:t>内容分别评分：</w:t>
      </w:r>
    </w:p>
    <w:p w14:paraId="7F52E1A2">
      <w:pPr>
        <w:widowControl w:val="0"/>
        <w:wordWrap/>
        <w:adjustRightInd/>
        <w:snapToGrid/>
        <w:spacing w:line="360" w:lineRule="auto"/>
        <w:ind w:firstLine="480" w:firstLineChars="200"/>
        <w:jc w:val="left"/>
        <w:textAlignment w:val="auto"/>
        <w:outlineLvl w:val="9"/>
        <w:rPr>
          <w:rFonts w:hint="eastAsia" w:ascii="宋体" w:hAnsi="宋体" w:eastAsia="宋体" w:cs="宋体"/>
          <w:color w:val="auto"/>
          <w:sz w:val="24"/>
          <w:lang w:val="en-US" w:eastAsia="zh-CN"/>
        </w:rPr>
      </w:pPr>
      <w:r>
        <w:rPr>
          <w:rFonts w:hint="eastAsia" w:ascii="宋体" w:hAnsi="宋体" w:eastAsia="宋体" w:cs="宋体"/>
          <w:color w:val="auto"/>
          <w:sz w:val="24"/>
          <w:lang w:val="en-US" w:eastAsia="zh-CN"/>
        </w:rPr>
        <w:t>1 对热源、热网和用户终端能源消耗进行监测</w:t>
      </w:r>
      <w:r>
        <w:rPr>
          <w:rFonts w:hint="eastAsia" w:ascii="宋体" w:hAnsi="宋体" w:cs="宋体"/>
          <w:color w:val="auto"/>
          <w:sz w:val="24"/>
          <w:lang w:val="en-US" w:eastAsia="zh-CN"/>
        </w:rPr>
        <w:t>评估</w:t>
      </w:r>
      <w:r>
        <w:rPr>
          <w:rFonts w:hint="eastAsia" w:ascii="宋体" w:hAnsi="宋体" w:eastAsia="宋体" w:cs="宋体"/>
          <w:color w:val="auto"/>
          <w:sz w:val="24"/>
          <w:lang w:val="en-US" w:eastAsia="zh-CN"/>
        </w:rPr>
        <w:t>；</w:t>
      </w:r>
    </w:p>
    <w:p w14:paraId="75923C18">
      <w:pPr>
        <w:widowControl w:val="0"/>
        <w:wordWrap/>
        <w:adjustRightInd/>
        <w:snapToGrid/>
        <w:spacing w:line="360" w:lineRule="auto"/>
        <w:ind w:firstLine="480" w:firstLineChars="200"/>
        <w:jc w:val="left"/>
        <w:textAlignment w:val="auto"/>
        <w:outlineLvl w:val="9"/>
        <w:rPr>
          <w:rFonts w:hint="eastAsia" w:ascii="宋体" w:hAnsi="宋体" w:eastAsia="宋体" w:cs="宋体"/>
          <w:color w:val="auto"/>
          <w:sz w:val="24"/>
          <w:lang w:val="en-US" w:eastAsia="zh-CN"/>
        </w:rPr>
      </w:pPr>
      <w:r>
        <w:rPr>
          <w:rFonts w:hint="eastAsia" w:ascii="宋体" w:hAnsi="宋体" w:eastAsia="宋体" w:cs="宋体"/>
          <w:color w:val="auto"/>
          <w:sz w:val="24"/>
          <w:lang w:val="en-US" w:eastAsia="zh-CN"/>
        </w:rPr>
        <w:t>2 对供热系统的能源利用效率进行监测</w:t>
      </w:r>
      <w:r>
        <w:rPr>
          <w:rFonts w:hint="eastAsia" w:ascii="宋体" w:hAnsi="宋体" w:cs="宋体"/>
          <w:color w:val="auto"/>
          <w:sz w:val="24"/>
          <w:lang w:val="en-US" w:eastAsia="zh-CN"/>
        </w:rPr>
        <w:t>评估</w:t>
      </w:r>
      <w:r>
        <w:rPr>
          <w:rFonts w:hint="eastAsia" w:ascii="宋体" w:hAnsi="宋体" w:eastAsia="宋体" w:cs="宋体"/>
          <w:color w:val="auto"/>
          <w:sz w:val="24"/>
          <w:lang w:val="en-US" w:eastAsia="zh-CN"/>
        </w:rPr>
        <w:t>；</w:t>
      </w:r>
    </w:p>
    <w:p w14:paraId="1FF4790C">
      <w:pPr>
        <w:widowControl w:val="0"/>
        <w:wordWrap/>
        <w:adjustRightInd/>
        <w:snapToGrid/>
        <w:spacing w:line="360" w:lineRule="auto"/>
        <w:ind w:firstLine="480" w:firstLineChars="200"/>
        <w:jc w:val="left"/>
        <w:textAlignment w:val="auto"/>
        <w:outlineLvl w:val="9"/>
        <w:rPr>
          <w:rFonts w:hint="eastAsia" w:ascii="宋体" w:hAnsi="宋体" w:eastAsia="宋体" w:cs="宋体"/>
          <w:color w:val="auto"/>
          <w:sz w:val="24"/>
          <w:lang w:val="en-US" w:eastAsia="zh-CN"/>
        </w:rPr>
      </w:pPr>
      <w:r>
        <w:rPr>
          <w:rFonts w:hint="eastAsia" w:ascii="宋体" w:hAnsi="宋体" w:eastAsia="宋体" w:cs="宋体"/>
          <w:color w:val="auto"/>
          <w:sz w:val="24"/>
          <w:lang w:val="en-US" w:eastAsia="zh-CN"/>
        </w:rPr>
        <w:t>3 评估设备的性能和运行状况。</w:t>
      </w:r>
    </w:p>
    <w:p w14:paraId="7BCF0963">
      <w:pPr>
        <w:widowControl w:val="0"/>
        <w:wordWrap/>
        <w:adjustRightInd/>
        <w:snapToGrid/>
        <w:spacing w:line="360" w:lineRule="auto"/>
        <w:jc w:val="left"/>
        <w:textAlignment w:val="auto"/>
        <w:outlineLvl w:val="9"/>
        <w:rPr>
          <w:rFonts w:hint="eastAsia" w:ascii="宋体" w:hAnsi="宋体" w:eastAsia="宋体" w:cs="宋体"/>
          <w:color w:val="auto"/>
          <w:sz w:val="24"/>
          <w:lang w:val="en-US" w:eastAsia="zh-CN"/>
        </w:rPr>
      </w:pPr>
      <w:r>
        <w:rPr>
          <w:rFonts w:hint="eastAsia" w:ascii="宋体" w:hAnsi="宋体" w:cs="宋体"/>
          <w:color w:val="auto"/>
          <w:sz w:val="24"/>
          <w:lang w:val="en-US" w:eastAsia="zh-CN"/>
        </w:rPr>
        <w:t>B.6</w:t>
      </w:r>
      <w:r>
        <w:rPr>
          <w:rFonts w:hint="eastAsia" w:ascii="宋体" w:hAnsi="宋体" w:eastAsia="宋体" w:cs="宋体"/>
          <w:color w:val="auto"/>
          <w:sz w:val="24"/>
          <w:lang w:val="en-US" w:eastAsia="zh-CN"/>
        </w:rPr>
        <w:t>.</w:t>
      </w:r>
      <w:r>
        <w:rPr>
          <w:rFonts w:hint="eastAsia" w:ascii="宋体" w:hAnsi="宋体" w:cs="宋体"/>
          <w:color w:val="auto"/>
          <w:sz w:val="24"/>
          <w:lang w:val="en-US" w:eastAsia="zh-CN"/>
        </w:rPr>
        <w:t>8应</w:t>
      </w:r>
      <w:r>
        <w:rPr>
          <w:rFonts w:hint="eastAsia" w:ascii="宋体" w:hAnsi="宋体" w:eastAsia="宋体" w:cs="宋体"/>
          <w:color w:val="auto"/>
          <w:sz w:val="24"/>
          <w:lang w:val="en-US" w:eastAsia="zh-CN"/>
        </w:rPr>
        <w:t>选择在典型用户终端安装室温采集装置，能够根据室内外温度变化和用户需求进行有效调节</w:t>
      </w:r>
      <w:r>
        <w:rPr>
          <w:rFonts w:hint="eastAsia" w:ascii="宋体" w:hAnsi="宋体" w:cs="宋体"/>
          <w:color w:val="auto"/>
          <w:sz w:val="24"/>
          <w:lang w:val="en-US" w:eastAsia="zh-CN"/>
        </w:rPr>
        <w:t>。</w:t>
      </w:r>
    </w:p>
    <w:p w14:paraId="312F4461">
      <w:pPr>
        <w:widowControl w:val="0"/>
        <w:wordWrap/>
        <w:adjustRightInd/>
        <w:snapToGrid/>
        <w:spacing w:line="360" w:lineRule="auto"/>
        <w:jc w:val="left"/>
        <w:textAlignment w:val="auto"/>
        <w:outlineLvl w:val="9"/>
        <w:rPr>
          <w:rFonts w:hint="eastAsia" w:ascii="宋体" w:hAnsi="宋体" w:eastAsia="宋体" w:cs="宋体"/>
          <w:color w:val="auto"/>
          <w:sz w:val="24"/>
          <w:lang w:val="en-US" w:eastAsia="zh-CN"/>
        </w:rPr>
      </w:pPr>
      <w:r>
        <w:rPr>
          <w:rFonts w:hint="eastAsia" w:ascii="宋体" w:hAnsi="宋体" w:cs="宋体"/>
          <w:color w:val="auto"/>
          <w:sz w:val="24"/>
          <w:lang w:val="en-US" w:eastAsia="zh-CN"/>
        </w:rPr>
        <w:t>B.6</w:t>
      </w:r>
      <w:r>
        <w:rPr>
          <w:rFonts w:hint="eastAsia" w:ascii="宋体" w:hAnsi="宋体" w:eastAsia="宋体" w:cs="宋体"/>
          <w:color w:val="auto"/>
          <w:sz w:val="24"/>
          <w:lang w:val="en-US" w:eastAsia="zh-CN"/>
        </w:rPr>
        <w:t>.</w:t>
      </w:r>
      <w:r>
        <w:rPr>
          <w:rFonts w:hint="eastAsia" w:ascii="宋体" w:hAnsi="宋体" w:cs="宋体"/>
          <w:color w:val="auto"/>
          <w:sz w:val="24"/>
          <w:lang w:val="en-US" w:eastAsia="zh-CN"/>
        </w:rPr>
        <w:t>9</w:t>
      </w:r>
      <w:r>
        <w:rPr>
          <w:rFonts w:hint="eastAsia" w:ascii="宋体" w:hAnsi="宋体" w:eastAsia="宋体" w:cs="宋体"/>
          <w:color w:val="auto"/>
          <w:sz w:val="24"/>
          <w:lang w:val="en-US" w:eastAsia="zh-CN"/>
        </w:rPr>
        <w:t>依据</w:t>
      </w:r>
      <w:r>
        <w:rPr>
          <w:rFonts w:hint="eastAsia" w:ascii="宋体" w:hAnsi="宋体" w:cs="宋体"/>
          <w:color w:val="auto"/>
          <w:sz w:val="24"/>
          <w:lang w:val="en-US" w:eastAsia="zh-CN"/>
        </w:rPr>
        <w:t>现行行业标准</w:t>
      </w:r>
      <w:r>
        <w:rPr>
          <w:rFonts w:hint="eastAsia" w:ascii="宋体" w:hAnsi="宋体" w:eastAsia="宋体" w:cs="宋体"/>
          <w:color w:val="auto"/>
          <w:sz w:val="24"/>
          <w:lang w:val="en-US" w:eastAsia="zh-CN"/>
        </w:rPr>
        <w:t>《城镇供热系统节能技术规范》CJJ/T185-2012实施供热系统改造，进行改造前后节能指标对比评价，</w:t>
      </w:r>
      <w:r>
        <w:rPr>
          <w:rFonts w:hint="eastAsia" w:ascii="宋体" w:hAnsi="宋体" w:cs="宋体"/>
          <w:color w:val="auto"/>
          <w:sz w:val="24"/>
          <w:lang w:val="en-US" w:eastAsia="zh-CN"/>
        </w:rPr>
        <w:t>应按下列</w:t>
      </w:r>
      <w:r>
        <w:rPr>
          <w:rFonts w:hint="eastAsia" w:ascii="宋体" w:hAnsi="宋体" w:eastAsia="宋体" w:cs="宋体"/>
          <w:color w:val="auto"/>
          <w:sz w:val="24"/>
          <w:lang w:val="en-US" w:eastAsia="zh-CN"/>
        </w:rPr>
        <w:t>内容分别评分：</w:t>
      </w:r>
    </w:p>
    <w:p w14:paraId="0D1E2140">
      <w:pPr>
        <w:widowControl w:val="0"/>
        <w:wordWrap/>
        <w:adjustRightInd/>
        <w:snapToGrid/>
        <w:spacing w:line="360" w:lineRule="auto"/>
        <w:ind w:firstLine="480" w:firstLineChars="200"/>
        <w:jc w:val="left"/>
        <w:textAlignment w:val="auto"/>
        <w:outlineLvl w:val="9"/>
        <w:rPr>
          <w:rFonts w:hint="eastAsia" w:ascii="宋体" w:hAnsi="宋体" w:eastAsia="宋体" w:cs="宋体"/>
          <w:color w:val="auto"/>
          <w:sz w:val="24"/>
          <w:lang w:val="en-US" w:eastAsia="zh-CN"/>
        </w:rPr>
      </w:pPr>
      <w:r>
        <w:rPr>
          <w:rFonts w:hint="eastAsia" w:ascii="宋体" w:hAnsi="宋体" w:eastAsia="宋体" w:cs="宋体"/>
          <w:color w:val="auto"/>
          <w:sz w:val="24"/>
          <w:lang w:val="en-US" w:eastAsia="zh-CN"/>
        </w:rPr>
        <w:t>1 对比改造前后的能源消耗总量</w:t>
      </w:r>
      <w:r>
        <w:rPr>
          <w:rFonts w:hint="eastAsia" w:ascii="宋体" w:hAnsi="宋体" w:cs="宋体"/>
          <w:color w:val="auto"/>
          <w:sz w:val="24"/>
          <w:lang w:val="en-US" w:eastAsia="zh-CN"/>
        </w:rPr>
        <w:t>、碳排放量，</w:t>
      </w:r>
      <w:r>
        <w:rPr>
          <w:rFonts w:hint="eastAsia" w:ascii="宋体" w:hAnsi="宋体" w:eastAsia="宋体" w:cs="宋体"/>
          <w:color w:val="auto"/>
          <w:sz w:val="24"/>
          <w:lang w:val="en-US" w:eastAsia="zh-CN"/>
        </w:rPr>
        <w:t>核算改造后的节能率</w:t>
      </w:r>
      <w:r>
        <w:rPr>
          <w:rFonts w:hint="default" w:ascii="Arial" w:hAnsi="Arial" w:eastAsia="宋体" w:cs="Arial"/>
          <w:color w:val="auto"/>
          <w:sz w:val="24"/>
          <w:lang w:val="en-US" w:eastAsia="zh-CN"/>
        </w:rPr>
        <w:t>≥</w:t>
      </w:r>
      <w:r>
        <w:rPr>
          <w:rFonts w:hint="eastAsia" w:ascii="宋体" w:hAnsi="宋体" w:eastAsia="宋体" w:cs="宋体"/>
          <w:color w:val="auto"/>
          <w:sz w:val="24"/>
          <w:lang w:val="en-US" w:eastAsia="zh-CN"/>
        </w:rPr>
        <w:t>15%；</w:t>
      </w:r>
    </w:p>
    <w:p w14:paraId="65250B5B">
      <w:pPr>
        <w:widowControl w:val="0"/>
        <w:wordWrap/>
        <w:adjustRightInd/>
        <w:snapToGrid/>
        <w:spacing w:line="360" w:lineRule="auto"/>
        <w:ind w:firstLine="480" w:firstLineChars="200"/>
        <w:jc w:val="left"/>
        <w:textAlignment w:val="auto"/>
        <w:outlineLvl w:val="9"/>
        <w:rPr>
          <w:rFonts w:hint="eastAsia" w:ascii="宋体" w:hAnsi="宋体" w:eastAsia="宋体" w:cs="宋体"/>
          <w:color w:val="auto"/>
          <w:sz w:val="24"/>
          <w:lang w:val="en-US" w:eastAsia="zh-CN"/>
        </w:rPr>
      </w:pPr>
      <w:r>
        <w:rPr>
          <w:rFonts w:hint="eastAsia" w:ascii="宋体" w:hAnsi="宋体" w:eastAsia="宋体" w:cs="宋体"/>
          <w:color w:val="auto"/>
          <w:sz w:val="24"/>
          <w:lang w:val="en-US" w:eastAsia="zh-CN"/>
        </w:rPr>
        <w:t>2 评估供热系统节能改造的效果，包括老旧管网改造和设备更新换代，以及智慧化改造；</w:t>
      </w:r>
    </w:p>
    <w:p w14:paraId="5C16B89B">
      <w:pPr>
        <w:widowControl w:val="0"/>
        <w:wordWrap/>
        <w:adjustRightInd/>
        <w:snapToGrid/>
        <w:spacing w:line="360" w:lineRule="auto"/>
        <w:ind w:firstLine="480" w:firstLineChars="200"/>
        <w:jc w:val="left"/>
        <w:textAlignment w:val="auto"/>
        <w:outlineLvl w:val="9"/>
        <w:rPr>
          <w:rFonts w:hint="eastAsia" w:ascii="宋体" w:hAnsi="宋体" w:eastAsia="宋体" w:cs="宋体"/>
          <w:color w:val="auto"/>
          <w:sz w:val="24"/>
          <w:lang w:val="en-US" w:eastAsia="zh-CN"/>
        </w:rPr>
      </w:pPr>
      <w:r>
        <w:rPr>
          <w:rFonts w:hint="eastAsia" w:ascii="宋体" w:hAnsi="宋体" w:eastAsia="宋体" w:cs="宋体"/>
          <w:color w:val="auto"/>
          <w:sz w:val="24"/>
          <w:lang w:val="en-US" w:eastAsia="zh-CN"/>
        </w:rPr>
        <w:t>3 改造后的设备能够稳定运行，并满足设备节能要求；</w:t>
      </w:r>
    </w:p>
    <w:p w14:paraId="205158A7">
      <w:pPr>
        <w:widowControl w:val="0"/>
        <w:wordWrap/>
        <w:adjustRightInd/>
        <w:snapToGrid/>
        <w:spacing w:line="360" w:lineRule="auto"/>
        <w:ind w:firstLine="480" w:firstLineChars="200"/>
        <w:jc w:val="left"/>
        <w:textAlignment w:val="auto"/>
        <w:outlineLvl w:val="9"/>
        <w:rPr>
          <w:rFonts w:hint="eastAsia" w:ascii="宋体" w:hAnsi="宋体" w:eastAsia="宋体" w:cs="宋体"/>
          <w:color w:val="auto"/>
          <w:sz w:val="24"/>
          <w:lang w:val="en-US" w:eastAsia="zh-CN"/>
        </w:rPr>
      </w:pPr>
      <w:r>
        <w:rPr>
          <w:rFonts w:hint="eastAsia" w:ascii="宋体" w:hAnsi="宋体" w:eastAsia="宋体" w:cs="宋体"/>
          <w:color w:val="auto"/>
          <w:sz w:val="24"/>
          <w:lang w:val="en-US" w:eastAsia="zh-CN"/>
        </w:rPr>
        <w:t>4 实施既有建筑供热计量改造。</w:t>
      </w:r>
    </w:p>
    <w:p w14:paraId="1F783E89">
      <w:pPr>
        <w:widowControl w:val="0"/>
        <w:wordWrap/>
        <w:adjustRightInd/>
        <w:snapToGrid/>
        <w:spacing w:line="360" w:lineRule="auto"/>
        <w:jc w:val="left"/>
        <w:textAlignment w:val="auto"/>
        <w:outlineLvl w:val="9"/>
        <w:rPr>
          <w:rFonts w:hint="eastAsia" w:ascii="宋体" w:hAnsi="宋体" w:eastAsia="宋体" w:cs="宋体"/>
          <w:color w:val="auto"/>
          <w:sz w:val="24"/>
          <w:lang w:val="en-US" w:eastAsia="zh-CN"/>
        </w:rPr>
      </w:pPr>
      <w:r>
        <w:rPr>
          <w:rFonts w:hint="eastAsia" w:ascii="宋体" w:hAnsi="宋体" w:cs="宋体"/>
          <w:color w:val="auto"/>
          <w:sz w:val="24"/>
          <w:lang w:val="en-US" w:eastAsia="zh-CN"/>
        </w:rPr>
        <w:t>B.6</w:t>
      </w:r>
      <w:r>
        <w:rPr>
          <w:rFonts w:hint="eastAsia" w:ascii="宋体" w:hAnsi="宋体" w:eastAsia="宋体" w:cs="宋体"/>
          <w:color w:val="auto"/>
          <w:sz w:val="24"/>
          <w:lang w:val="en-US" w:eastAsia="zh-CN"/>
        </w:rPr>
        <w:t>.</w:t>
      </w:r>
      <w:r>
        <w:rPr>
          <w:rFonts w:hint="eastAsia" w:ascii="宋体" w:hAnsi="宋体" w:cs="宋体"/>
          <w:color w:val="auto"/>
          <w:sz w:val="24"/>
          <w:lang w:val="en-US" w:eastAsia="zh-CN"/>
        </w:rPr>
        <w:t>10应</w:t>
      </w:r>
      <w:r>
        <w:rPr>
          <w:rFonts w:hint="eastAsia" w:ascii="宋体" w:hAnsi="宋体" w:eastAsia="宋体" w:cs="宋体"/>
          <w:color w:val="auto"/>
          <w:sz w:val="24"/>
          <w:lang w:val="en-US" w:eastAsia="zh-CN"/>
        </w:rPr>
        <w:t>采用锅炉烟气余热深度利用、平衡调节、气候补偿、</w:t>
      </w:r>
      <w:r>
        <w:rPr>
          <w:rFonts w:hint="eastAsia" w:ascii="宋体" w:hAnsi="宋体" w:eastAsia="宋体" w:cs="宋体"/>
          <w:strike w:val="0"/>
          <w:color w:val="auto"/>
          <w:sz w:val="24"/>
          <w:lang w:val="en-US" w:eastAsia="zh-CN"/>
        </w:rPr>
        <w:t>分时分区控制</w:t>
      </w:r>
      <w:r>
        <w:rPr>
          <w:rFonts w:hint="eastAsia" w:ascii="宋体" w:hAnsi="宋体" w:cs="宋体"/>
          <w:strike w:val="0"/>
          <w:color w:val="auto"/>
          <w:sz w:val="24"/>
          <w:lang w:val="en-US" w:eastAsia="zh-CN"/>
        </w:rPr>
        <w:t>、</w:t>
      </w:r>
      <w:r>
        <w:rPr>
          <w:rFonts w:hint="eastAsia" w:ascii="宋体" w:hAnsi="宋体" w:eastAsia="宋体" w:cs="宋体"/>
          <w:color w:val="auto"/>
          <w:sz w:val="24"/>
          <w:lang w:val="en-US" w:eastAsia="zh-CN"/>
        </w:rPr>
        <w:t>自动监测控制和热计量等节能技术，提高供热系统能源利用效率。</w:t>
      </w:r>
    </w:p>
    <w:p w14:paraId="52FF5E6B">
      <w:pPr>
        <w:widowControl w:val="0"/>
        <w:wordWrap/>
        <w:adjustRightInd/>
        <w:snapToGrid/>
        <w:spacing w:line="360" w:lineRule="auto"/>
        <w:jc w:val="left"/>
        <w:textAlignment w:val="auto"/>
        <w:outlineLvl w:val="9"/>
        <w:rPr>
          <w:rFonts w:hint="eastAsia" w:ascii="宋体" w:hAnsi="宋体" w:eastAsia="宋体" w:cs="宋体"/>
          <w:color w:val="auto"/>
          <w:sz w:val="24"/>
          <w:lang w:val="en-US" w:eastAsia="zh-CN"/>
        </w:rPr>
      </w:pPr>
      <w:r>
        <w:rPr>
          <w:rFonts w:hint="eastAsia" w:ascii="宋体" w:hAnsi="宋体" w:cs="宋体"/>
          <w:color w:val="auto"/>
          <w:sz w:val="24"/>
          <w:lang w:val="en-US" w:eastAsia="zh-CN"/>
        </w:rPr>
        <w:t>B.6</w:t>
      </w:r>
      <w:r>
        <w:rPr>
          <w:rFonts w:hint="eastAsia" w:ascii="宋体" w:hAnsi="宋体" w:eastAsia="宋体" w:cs="宋体"/>
          <w:color w:val="auto"/>
          <w:sz w:val="24"/>
          <w:lang w:val="en-US" w:eastAsia="zh-CN"/>
        </w:rPr>
        <w:t>.</w:t>
      </w:r>
      <w:r>
        <w:rPr>
          <w:rFonts w:hint="eastAsia" w:ascii="宋体" w:hAnsi="宋体" w:cs="宋体"/>
          <w:color w:val="auto"/>
          <w:sz w:val="24"/>
          <w:lang w:val="en-US" w:eastAsia="zh-CN"/>
        </w:rPr>
        <w:t>11</w:t>
      </w:r>
      <w:r>
        <w:rPr>
          <w:rFonts w:hint="eastAsia" w:ascii="宋体" w:hAnsi="宋体" w:eastAsia="宋体" w:cs="宋体"/>
          <w:color w:val="auto"/>
          <w:sz w:val="24"/>
          <w:lang w:val="en-US" w:eastAsia="zh-CN"/>
        </w:rPr>
        <w:t>根据当地资源禀赋和用能需求，发展可再生能源供暖技术，</w:t>
      </w:r>
      <w:r>
        <w:rPr>
          <w:rFonts w:hint="eastAsia" w:ascii="宋体" w:hAnsi="宋体" w:cs="宋体"/>
          <w:color w:val="auto"/>
          <w:sz w:val="24"/>
          <w:lang w:val="en-US" w:eastAsia="zh-CN"/>
        </w:rPr>
        <w:t>应按下列</w:t>
      </w:r>
      <w:r>
        <w:rPr>
          <w:rFonts w:hint="eastAsia" w:ascii="宋体" w:hAnsi="宋体" w:eastAsia="宋体" w:cs="宋体"/>
          <w:color w:val="auto"/>
          <w:sz w:val="24"/>
          <w:lang w:val="en-US" w:eastAsia="zh-CN"/>
        </w:rPr>
        <w:t>内容分别评分：</w:t>
      </w:r>
    </w:p>
    <w:p w14:paraId="7B141856">
      <w:pPr>
        <w:widowControl w:val="0"/>
        <w:wordWrap/>
        <w:adjustRightInd/>
        <w:snapToGrid/>
        <w:spacing w:line="360" w:lineRule="auto"/>
        <w:ind w:firstLine="480" w:firstLineChars="200"/>
        <w:jc w:val="left"/>
        <w:textAlignment w:val="auto"/>
        <w:outlineLvl w:val="9"/>
        <w:rPr>
          <w:rFonts w:hint="eastAsia" w:ascii="宋体" w:hAnsi="宋体" w:eastAsia="宋体" w:cs="宋体"/>
          <w:color w:val="auto"/>
          <w:sz w:val="24"/>
          <w:lang w:val="en-US" w:eastAsia="zh-CN"/>
        </w:rPr>
      </w:pPr>
      <w:r>
        <w:rPr>
          <w:rFonts w:hint="eastAsia" w:ascii="宋体" w:hAnsi="宋体" w:eastAsia="宋体" w:cs="宋体"/>
          <w:color w:val="auto"/>
          <w:sz w:val="24"/>
          <w:lang w:val="en-US" w:eastAsia="zh-CN"/>
        </w:rPr>
        <w:t>1 分散锅炉房整合联网，并形成与新能源和可再生能源耦合供热替代方式；</w:t>
      </w:r>
    </w:p>
    <w:p w14:paraId="028938D8">
      <w:pPr>
        <w:widowControl w:val="0"/>
        <w:wordWrap/>
        <w:adjustRightInd/>
        <w:snapToGrid/>
        <w:spacing w:line="360" w:lineRule="auto"/>
        <w:ind w:firstLine="480" w:firstLineChars="200"/>
        <w:jc w:val="left"/>
        <w:textAlignment w:val="auto"/>
        <w:outlineLvl w:val="9"/>
        <w:rPr>
          <w:rFonts w:hint="eastAsia" w:ascii="宋体" w:hAnsi="宋体" w:eastAsia="宋体" w:cs="宋体"/>
          <w:color w:val="auto"/>
          <w:sz w:val="24"/>
          <w:lang w:val="en-US" w:eastAsia="zh-CN"/>
        </w:rPr>
      </w:pPr>
      <w:r>
        <w:rPr>
          <w:rFonts w:hint="eastAsia" w:ascii="宋体" w:hAnsi="宋体" w:eastAsia="宋体" w:cs="宋体"/>
          <w:color w:val="auto"/>
          <w:sz w:val="24"/>
          <w:lang w:val="en-US" w:eastAsia="zh-CN"/>
        </w:rPr>
        <w:t>2 优先利用各类工业、数据中心、垃圾电厂、污水厂等领域余热、废热资源利用供热方式；</w:t>
      </w:r>
    </w:p>
    <w:p w14:paraId="4D8B8771">
      <w:pPr>
        <w:widowControl w:val="0"/>
        <w:wordWrap/>
        <w:adjustRightInd/>
        <w:snapToGrid/>
        <w:spacing w:line="360" w:lineRule="auto"/>
        <w:ind w:firstLine="480" w:firstLineChars="200"/>
        <w:jc w:val="left"/>
        <w:textAlignment w:val="auto"/>
        <w:outlineLvl w:val="9"/>
        <w:rPr>
          <w:rFonts w:hint="eastAsia" w:ascii="宋体" w:hAnsi="宋体" w:eastAsia="宋体" w:cs="宋体"/>
          <w:color w:val="auto"/>
          <w:sz w:val="24"/>
          <w:lang w:val="en-US" w:eastAsia="zh-CN"/>
        </w:rPr>
      </w:pPr>
      <w:r>
        <w:rPr>
          <w:rFonts w:hint="eastAsia" w:ascii="宋体" w:hAnsi="宋体" w:eastAsia="宋体" w:cs="宋体"/>
          <w:color w:val="auto"/>
          <w:sz w:val="24"/>
          <w:lang w:val="en-US" w:eastAsia="zh-CN"/>
        </w:rPr>
        <w:t>3 具备热电联产条件时，采用以热电联产为主导的供热方式；</w:t>
      </w:r>
    </w:p>
    <w:p w14:paraId="2ED1A653">
      <w:pPr>
        <w:spacing w:line="360" w:lineRule="auto"/>
        <w:ind w:firstLine="480" w:firstLineChars="200"/>
        <w:jc w:val="left"/>
        <w:outlineLvl w:val="9"/>
        <w:rPr>
          <w:rFonts w:hint="eastAsia" w:ascii="宋体" w:hAnsi="宋体" w:eastAsia="宋体" w:cs="宋体"/>
          <w:color w:val="auto"/>
          <w:sz w:val="24"/>
          <w:lang w:val="en-US" w:eastAsia="zh-CN"/>
        </w:rPr>
      </w:pPr>
      <w:r>
        <w:rPr>
          <w:rFonts w:hint="eastAsia" w:ascii="宋体" w:hAnsi="宋体" w:eastAsia="宋体" w:cs="宋体"/>
          <w:color w:val="auto"/>
          <w:sz w:val="24"/>
          <w:lang w:val="en-US" w:eastAsia="zh-CN"/>
        </w:rPr>
        <w:t>4 开发利用浅层地热能、中深层地热能、浅层地热能、空气能热泵技术供热</w:t>
      </w:r>
      <w:r>
        <w:rPr>
          <w:rFonts w:hint="eastAsia" w:ascii="宋体" w:hAnsi="宋体" w:cs="宋体"/>
          <w:color w:val="auto"/>
          <w:sz w:val="24"/>
          <w:lang w:val="en-US" w:eastAsia="zh-CN"/>
        </w:rPr>
        <w:t>；</w:t>
      </w:r>
    </w:p>
    <w:p w14:paraId="1C1D03E1">
      <w:pPr>
        <w:widowControl w:val="0"/>
        <w:wordWrap/>
        <w:adjustRightInd/>
        <w:snapToGrid/>
        <w:spacing w:line="360" w:lineRule="auto"/>
        <w:ind w:firstLine="480" w:firstLineChars="200"/>
        <w:jc w:val="left"/>
        <w:textAlignment w:val="auto"/>
        <w:outlineLvl w:val="9"/>
        <w:rPr>
          <w:rFonts w:hint="eastAsia" w:ascii="宋体" w:hAnsi="宋体" w:eastAsia="宋体" w:cs="宋体"/>
          <w:color w:val="auto"/>
          <w:sz w:val="24"/>
          <w:lang w:val="en-US" w:eastAsia="zh-CN"/>
        </w:rPr>
      </w:pPr>
      <w:r>
        <w:rPr>
          <w:rFonts w:hint="eastAsia" w:ascii="宋体" w:hAnsi="宋体" w:eastAsia="宋体" w:cs="宋体"/>
          <w:color w:val="auto"/>
          <w:sz w:val="24"/>
          <w:lang w:val="en-US" w:eastAsia="zh-CN"/>
        </w:rPr>
        <w:t>5 开发利用太阳能、生物质能等可再生能源，实现替代化石能源供热。</w:t>
      </w:r>
    </w:p>
    <w:p w14:paraId="5DBAC229">
      <w:pPr>
        <w:widowControl w:val="0"/>
        <w:wordWrap/>
        <w:adjustRightInd/>
        <w:snapToGrid/>
        <w:spacing w:line="360" w:lineRule="auto"/>
        <w:jc w:val="left"/>
        <w:textAlignment w:val="auto"/>
        <w:outlineLvl w:val="9"/>
        <w:rPr>
          <w:rFonts w:hint="eastAsia" w:ascii="宋体" w:hAnsi="宋体" w:eastAsia="宋体" w:cs="宋体"/>
          <w:color w:val="auto"/>
          <w:sz w:val="24"/>
          <w:lang w:val="en-US" w:eastAsia="zh-CN"/>
        </w:rPr>
      </w:pPr>
      <w:r>
        <w:rPr>
          <w:rFonts w:hint="eastAsia" w:ascii="宋体" w:hAnsi="宋体" w:cs="宋体"/>
          <w:color w:val="auto"/>
          <w:sz w:val="24"/>
          <w:lang w:val="en-US" w:eastAsia="zh-CN"/>
        </w:rPr>
        <w:t>B.6</w:t>
      </w:r>
      <w:r>
        <w:rPr>
          <w:rFonts w:hint="eastAsia" w:ascii="宋体" w:hAnsi="宋体" w:eastAsia="宋体" w:cs="宋体"/>
          <w:color w:val="auto"/>
          <w:sz w:val="24"/>
          <w:lang w:val="en-US" w:eastAsia="zh-CN"/>
        </w:rPr>
        <w:t>.</w:t>
      </w:r>
      <w:r>
        <w:rPr>
          <w:rFonts w:hint="eastAsia" w:ascii="宋体" w:hAnsi="宋体" w:cs="宋体"/>
          <w:color w:val="auto"/>
          <w:sz w:val="24"/>
          <w:lang w:val="en-US" w:eastAsia="zh-CN"/>
        </w:rPr>
        <w:t>12</w:t>
      </w:r>
      <w:r>
        <w:rPr>
          <w:rFonts w:hint="eastAsia" w:ascii="宋体" w:hAnsi="宋体" w:eastAsia="宋体" w:cs="宋体"/>
          <w:color w:val="auto"/>
          <w:sz w:val="24"/>
          <w:lang w:val="en-US" w:eastAsia="zh-CN"/>
        </w:rPr>
        <w:t>应用农林生物质、生物质成型燃料、生物天然气等为燃料的生物质供暖系统，</w:t>
      </w:r>
      <w:r>
        <w:rPr>
          <w:rFonts w:hint="eastAsia" w:ascii="宋体" w:hAnsi="宋体" w:cs="宋体"/>
          <w:color w:val="auto"/>
          <w:sz w:val="24"/>
          <w:lang w:val="en-US" w:eastAsia="zh-CN"/>
        </w:rPr>
        <w:t>应按下列</w:t>
      </w:r>
      <w:r>
        <w:rPr>
          <w:rFonts w:hint="eastAsia" w:ascii="宋体" w:hAnsi="宋体" w:eastAsia="宋体" w:cs="宋体"/>
          <w:color w:val="auto"/>
          <w:sz w:val="24"/>
          <w:lang w:val="en-US" w:eastAsia="zh-CN"/>
        </w:rPr>
        <w:t>内容分别评分：</w:t>
      </w:r>
    </w:p>
    <w:p w14:paraId="5EDD936C">
      <w:pPr>
        <w:widowControl w:val="0"/>
        <w:wordWrap/>
        <w:adjustRightInd/>
        <w:snapToGrid/>
        <w:spacing w:line="360" w:lineRule="auto"/>
        <w:ind w:leftChars="200" w:firstLine="0" w:firstLineChars="0"/>
        <w:jc w:val="left"/>
        <w:textAlignment w:val="auto"/>
        <w:outlineLvl w:val="9"/>
        <w:rPr>
          <w:rFonts w:hint="eastAsia" w:ascii="宋体" w:hAnsi="宋体" w:eastAsia="宋体" w:cs="宋体"/>
          <w:color w:val="auto"/>
          <w:sz w:val="24"/>
          <w:lang w:val="en-US" w:eastAsia="zh-CN"/>
        </w:rPr>
      </w:pPr>
      <w:r>
        <w:rPr>
          <w:rFonts w:hint="eastAsia" w:ascii="宋体" w:hAnsi="宋体" w:eastAsia="宋体" w:cs="宋体"/>
          <w:color w:val="auto"/>
          <w:sz w:val="24"/>
          <w:lang w:val="en-US" w:eastAsia="zh-CN"/>
        </w:rPr>
        <w:t>1 生物质锅炉不得掺烧煤炭、垃圾、工业固体废物等其他物料</w:t>
      </w:r>
      <w:r>
        <w:rPr>
          <w:rFonts w:hint="eastAsia" w:ascii="宋体" w:hAnsi="宋体" w:cs="宋体"/>
          <w:color w:val="auto"/>
          <w:sz w:val="24"/>
          <w:lang w:val="en-US" w:eastAsia="zh-CN"/>
        </w:rPr>
        <w:t>；</w:t>
      </w:r>
    </w:p>
    <w:p w14:paraId="6F4074ED">
      <w:pPr>
        <w:widowControl w:val="0"/>
        <w:wordWrap/>
        <w:adjustRightInd/>
        <w:snapToGrid/>
        <w:spacing w:line="360" w:lineRule="auto"/>
        <w:ind w:leftChars="200" w:firstLine="0" w:firstLineChars="0"/>
        <w:jc w:val="left"/>
        <w:textAlignment w:val="auto"/>
        <w:outlineLvl w:val="9"/>
        <w:rPr>
          <w:rFonts w:hint="eastAsia" w:ascii="宋体" w:hAnsi="宋体" w:eastAsia="宋体" w:cs="宋体"/>
          <w:color w:val="auto"/>
          <w:sz w:val="24"/>
          <w:lang w:val="en-US" w:eastAsia="zh-CN"/>
        </w:rPr>
      </w:pPr>
      <w:r>
        <w:rPr>
          <w:rFonts w:hint="eastAsia" w:ascii="宋体" w:hAnsi="宋体" w:eastAsia="宋体" w:cs="宋体"/>
          <w:color w:val="auto"/>
          <w:sz w:val="24"/>
          <w:lang w:val="en-US" w:eastAsia="zh-CN"/>
        </w:rPr>
        <w:t>2 生物质锅炉、上料系统和户用炉具应安全使用及配套脱硝除尘等高效治污设施，确保达标排放，鼓励达到超低排放。</w:t>
      </w:r>
    </w:p>
    <w:p w14:paraId="77FE8FBB">
      <w:pPr>
        <w:widowControl w:val="0"/>
        <w:wordWrap/>
        <w:adjustRightInd/>
        <w:snapToGrid/>
        <w:spacing w:line="360" w:lineRule="auto"/>
        <w:jc w:val="left"/>
        <w:textAlignment w:val="auto"/>
        <w:outlineLvl w:val="9"/>
        <w:rPr>
          <w:rFonts w:hint="default" w:ascii="宋体" w:hAnsi="宋体" w:eastAsia="宋体" w:cs="宋体"/>
          <w:color w:val="auto"/>
          <w:sz w:val="24"/>
          <w:lang w:val="en-US" w:eastAsia="zh-CN"/>
        </w:rPr>
      </w:pPr>
      <w:r>
        <w:rPr>
          <w:rFonts w:hint="eastAsia" w:ascii="宋体" w:hAnsi="宋体" w:cs="宋体"/>
          <w:color w:val="auto"/>
          <w:sz w:val="24"/>
          <w:lang w:val="en-US" w:eastAsia="zh-CN"/>
        </w:rPr>
        <w:t>B.6</w:t>
      </w:r>
      <w:r>
        <w:rPr>
          <w:rFonts w:hint="eastAsia" w:ascii="宋体" w:hAnsi="宋体" w:eastAsia="宋体" w:cs="宋体"/>
          <w:color w:val="auto"/>
          <w:sz w:val="24"/>
          <w:lang w:val="en-US" w:eastAsia="zh-CN"/>
        </w:rPr>
        <w:t>.</w:t>
      </w:r>
      <w:r>
        <w:rPr>
          <w:rFonts w:hint="eastAsia" w:ascii="宋体" w:hAnsi="宋体" w:cs="宋体"/>
          <w:color w:val="auto"/>
          <w:sz w:val="24"/>
          <w:lang w:val="en-US" w:eastAsia="zh-CN"/>
        </w:rPr>
        <w:t>13</w:t>
      </w:r>
      <w:r>
        <w:rPr>
          <w:rFonts w:hint="eastAsia" w:ascii="宋体" w:hAnsi="宋体" w:eastAsia="宋体" w:cs="宋体"/>
          <w:color w:val="auto"/>
          <w:sz w:val="24"/>
          <w:lang w:val="en-US" w:eastAsia="zh-CN"/>
        </w:rPr>
        <w:t>企业应根据用户的满意度和投诉情况，评估供热服务的质量，</w:t>
      </w:r>
      <w:r>
        <w:rPr>
          <w:rFonts w:hint="eastAsia" w:ascii="宋体" w:hAnsi="宋体" w:cs="宋体"/>
          <w:color w:val="auto"/>
          <w:sz w:val="24"/>
          <w:lang w:val="en-US" w:eastAsia="zh-CN"/>
        </w:rPr>
        <w:t>应按下列</w:t>
      </w:r>
      <w:r>
        <w:rPr>
          <w:rFonts w:hint="eastAsia" w:ascii="宋体" w:hAnsi="宋体" w:eastAsia="宋体" w:cs="宋体"/>
          <w:color w:val="auto"/>
          <w:sz w:val="24"/>
          <w:lang w:val="en-US" w:eastAsia="zh-CN"/>
        </w:rPr>
        <w:t>内容分别评分：</w:t>
      </w:r>
    </w:p>
    <w:p w14:paraId="02AC3E0D">
      <w:pPr>
        <w:widowControl w:val="0"/>
        <w:wordWrap/>
        <w:adjustRightInd/>
        <w:snapToGrid/>
        <w:spacing w:line="360" w:lineRule="auto"/>
        <w:ind w:firstLine="480" w:firstLineChars="200"/>
        <w:jc w:val="left"/>
        <w:textAlignment w:val="auto"/>
        <w:outlineLvl w:val="9"/>
        <w:rPr>
          <w:rFonts w:hint="eastAsia" w:ascii="宋体" w:hAnsi="宋体" w:eastAsia="宋体" w:cs="宋体"/>
          <w:color w:val="auto"/>
          <w:sz w:val="24"/>
          <w:lang w:val="en-US" w:eastAsia="zh-CN"/>
        </w:rPr>
      </w:pPr>
      <w:r>
        <w:rPr>
          <w:rFonts w:hint="eastAsia" w:ascii="宋体" w:hAnsi="宋体" w:eastAsia="宋体" w:cs="宋体"/>
          <w:color w:val="auto"/>
          <w:sz w:val="24"/>
          <w:lang w:val="en-US" w:eastAsia="zh-CN"/>
        </w:rPr>
        <w:t>1 能够提供适宜的室内温度，以及稳定和均匀舒适度；</w:t>
      </w:r>
    </w:p>
    <w:p w14:paraId="43D77266">
      <w:pPr>
        <w:widowControl w:val="0"/>
        <w:wordWrap/>
        <w:adjustRightInd/>
        <w:snapToGrid/>
        <w:spacing w:line="360" w:lineRule="auto"/>
        <w:ind w:firstLine="480" w:firstLineChars="200"/>
        <w:jc w:val="left"/>
        <w:textAlignment w:val="auto"/>
        <w:outlineLvl w:val="9"/>
        <w:rPr>
          <w:rFonts w:hint="eastAsia" w:ascii="宋体" w:hAnsi="宋体" w:eastAsia="宋体" w:cs="宋体"/>
          <w:color w:val="auto"/>
          <w:sz w:val="24"/>
          <w:lang w:val="en-US" w:eastAsia="zh-CN"/>
        </w:rPr>
      </w:pPr>
      <w:r>
        <w:rPr>
          <w:rFonts w:hint="eastAsia" w:ascii="宋体" w:hAnsi="宋体" w:eastAsia="宋体" w:cs="宋体"/>
          <w:color w:val="auto"/>
          <w:sz w:val="24"/>
          <w:lang w:val="en-US" w:eastAsia="zh-CN"/>
        </w:rPr>
        <w:t>2 提供热线投诉、意见箱、值班电话、微信小程序等多种渠道跟踪用户满意度反馈，通过用户反馈来评价供热系统的可靠性、供热温度的稳定性、故障响应时间等。</w:t>
      </w:r>
    </w:p>
    <w:p w14:paraId="3DC1E0A9">
      <w:pPr>
        <w:widowControl w:val="0"/>
        <w:wordWrap/>
        <w:adjustRightInd/>
        <w:snapToGrid/>
        <w:spacing w:line="360" w:lineRule="auto"/>
        <w:jc w:val="left"/>
        <w:textAlignment w:val="auto"/>
        <w:outlineLvl w:val="9"/>
        <w:rPr>
          <w:rFonts w:hint="eastAsia" w:ascii="宋体" w:hAnsi="宋体" w:eastAsia="宋体" w:cs="宋体"/>
          <w:color w:val="auto"/>
          <w:sz w:val="24"/>
          <w:lang w:val="en-US" w:eastAsia="zh-CN"/>
        </w:rPr>
      </w:pPr>
      <w:r>
        <w:rPr>
          <w:rFonts w:hint="eastAsia" w:ascii="宋体" w:hAnsi="宋体" w:cs="宋体"/>
          <w:color w:val="auto"/>
          <w:sz w:val="24"/>
          <w:lang w:val="en-US" w:eastAsia="zh-CN"/>
        </w:rPr>
        <w:t>B.6</w:t>
      </w:r>
      <w:r>
        <w:rPr>
          <w:rFonts w:hint="eastAsia" w:ascii="宋体" w:hAnsi="宋体" w:eastAsia="宋体" w:cs="宋体"/>
          <w:color w:val="auto"/>
          <w:sz w:val="24"/>
          <w:lang w:val="en-US" w:eastAsia="zh-CN"/>
        </w:rPr>
        <w:t>.</w:t>
      </w:r>
      <w:r>
        <w:rPr>
          <w:rFonts w:hint="eastAsia" w:ascii="宋体" w:hAnsi="宋体" w:cs="宋体"/>
          <w:color w:val="auto"/>
          <w:sz w:val="24"/>
          <w:lang w:val="en-US" w:eastAsia="zh-CN"/>
        </w:rPr>
        <w:t>14</w:t>
      </w:r>
      <w:r>
        <w:rPr>
          <w:rFonts w:hint="eastAsia" w:ascii="宋体" w:hAnsi="宋体" w:eastAsia="宋体" w:cs="宋体"/>
          <w:color w:val="auto"/>
          <w:sz w:val="24"/>
          <w:lang w:val="en-US" w:eastAsia="zh-CN"/>
        </w:rPr>
        <w:t>企业</w:t>
      </w:r>
      <w:r>
        <w:rPr>
          <w:rFonts w:hint="eastAsia" w:ascii="宋体" w:hAnsi="宋体" w:cs="宋体"/>
          <w:color w:val="auto"/>
          <w:sz w:val="24"/>
          <w:lang w:val="en-US" w:eastAsia="zh-CN"/>
        </w:rPr>
        <w:t>应</w:t>
      </w:r>
      <w:r>
        <w:rPr>
          <w:rFonts w:hint="eastAsia" w:ascii="宋体" w:hAnsi="宋体" w:eastAsia="宋体" w:cs="宋体"/>
          <w:color w:val="auto"/>
          <w:sz w:val="24"/>
          <w:lang w:val="en-US" w:eastAsia="zh-CN"/>
        </w:rPr>
        <w:t>按年度分析供热系统运行的经济性和可持续性，包括供热成本分析、设备系统使用寿命评估，以及分析已实施节能改造的投资回收年限、改造技术经济性等。</w:t>
      </w:r>
    </w:p>
    <w:p w14:paraId="16EBD30F">
      <w:pPr>
        <w:widowControl w:val="0"/>
        <w:wordWrap/>
        <w:adjustRightInd/>
        <w:snapToGrid/>
        <w:spacing w:line="360" w:lineRule="auto"/>
        <w:jc w:val="left"/>
        <w:textAlignment w:val="auto"/>
        <w:outlineLvl w:val="9"/>
        <w:rPr>
          <w:rFonts w:hint="eastAsia" w:ascii="宋体" w:hAnsi="宋体" w:eastAsia="宋体" w:cs="宋体"/>
          <w:color w:val="auto"/>
          <w:sz w:val="24"/>
          <w:lang w:val="en-US" w:eastAsia="zh-CN"/>
        </w:rPr>
      </w:pPr>
      <w:r>
        <w:rPr>
          <w:rFonts w:hint="eastAsia" w:ascii="宋体" w:hAnsi="宋体" w:cs="宋体"/>
          <w:color w:val="auto"/>
          <w:sz w:val="24"/>
          <w:lang w:val="en-US" w:eastAsia="zh-CN"/>
        </w:rPr>
        <w:t>B.6</w:t>
      </w:r>
      <w:r>
        <w:rPr>
          <w:rFonts w:hint="eastAsia" w:ascii="宋体" w:hAnsi="宋体" w:eastAsia="宋体" w:cs="宋体"/>
          <w:color w:val="auto"/>
          <w:sz w:val="24"/>
          <w:lang w:val="en-US" w:eastAsia="zh-CN"/>
        </w:rPr>
        <w:t>.</w:t>
      </w:r>
      <w:r>
        <w:rPr>
          <w:rFonts w:hint="eastAsia" w:ascii="宋体" w:hAnsi="宋体" w:cs="宋体"/>
          <w:color w:val="auto"/>
          <w:sz w:val="24"/>
          <w:lang w:val="en-US" w:eastAsia="zh-CN"/>
        </w:rPr>
        <w:t>15</w:t>
      </w:r>
      <w:r>
        <w:rPr>
          <w:rFonts w:hint="eastAsia" w:ascii="宋体" w:hAnsi="宋体" w:eastAsia="宋体" w:cs="宋体"/>
          <w:color w:val="auto"/>
          <w:sz w:val="24"/>
          <w:lang w:val="en-US" w:eastAsia="zh-CN"/>
        </w:rPr>
        <w:t>供热系统计量收费，</w:t>
      </w:r>
      <w:r>
        <w:rPr>
          <w:rFonts w:hint="eastAsia" w:ascii="宋体" w:hAnsi="宋体" w:cs="宋体"/>
          <w:color w:val="auto"/>
          <w:sz w:val="24"/>
          <w:lang w:val="en-US" w:eastAsia="zh-CN"/>
        </w:rPr>
        <w:t>应按下列</w:t>
      </w:r>
      <w:r>
        <w:rPr>
          <w:rFonts w:hint="eastAsia" w:ascii="宋体" w:hAnsi="宋体" w:eastAsia="宋体" w:cs="宋体"/>
          <w:color w:val="auto"/>
          <w:sz w:val="24"/>
          <w:lang w:val="en-US" w:eastAsia="zh-CN"/>
        </w:rPr>
        <w:t>内容分别评分：</w:t>
      </w:r>
    </w:p>
    <w:p w14:paraId="59F1B761">
      <w:pPr>
        <w:widowControl w:val="0"/>
        <w:wordWrap/>
        <w:adjustRightInd/>
        <w:snapToGrid/>
        <w:spacing w:line="360" w:lineRule="auto"/>
        <w:ind w:firstLine="480" w:firstLineChars="200"/>
        <w:jc w:val="left"/>
        <w:textAlignment w:val="auto"/>
        <w:outlineLvl w:val="9"/>
        <w:rPr>
          <w:rFonts w:hint="eastAsia" w:ascii="宋体" w:hAnsi="宋体" w:eastAsia="宋体" w:cs="宋体"/>
          <w:b w:val="0"/>
          <w:bCs w:val="0"/>
          <w:color w:val="auto"/>
          <w:sz w:val="24"/>
          <w:lang w:val="en-US" w:eastAsia="zh-CN"/>
        </w:rPr>
      </w:pPr>
      <w:r>
        <w:rPr>
          <w:rFonts w:hint="eastAsia" w:ascii="宋体" w:hAnsi="宋体" w:eastAsia="宋体" w:cs="宋体"/>
          <w:b w:val="0"/>
          <w:bCs w:val="0"/>
          <w:color w:val="auto"/>
          <w:sz w:val="24"/>
          <w:lang w:val="en-US" w:eastAsia="zh-CN"/>
        </w:rPr>
        <w:t>1实行热计量收费并科学采用热计量方式；</w:t>
      </w:r>
    </w:p>
    <w:p w14:paraId="21BDD277">
      <w:pPr>
        <w:widowControl w:val="0"/>
        <w:wordWrap/>
        <w:adjustRightInd/>
        <w:snapToGrid/>
        <w:spacing w:line="360" w:lineRule="auto"/>
        <w:ind w:firstLine="480" w:firstLineChars="200"/>
        <w:jc w:val="left"/>
        <w:textAlignment w:val="auto"/>
        <w:outlineLvl w:val="9"/>
        <w:rPr>
          <w:rFonts w:hint="eastAsia" w:ascii="宋体" w:hAnsi="宋体" w:eastAsia="宋体" w:cs="宋体"/>
          <w:color w:val="auto"/>
          <w:sz w:val="24"/>
          <w:lang w:val="en-US" w:eastAsia="zh-CN"/>
        </w:rPr>
      </w:pPr>
      <w:r>
        <w:rPr>
          <w:rFonts w:hint="eastAsia" w:ascii="宋体" w:hAnsi="宋体" w:eastAsia="宋体" w:cs="宋体"/>
          <w:b w:val="0"/>
          <w:bCs w:val="0"/>
          <w:color w:val="auto"/>
          <w:sz w:val="24"/>
          <w:lang w:val="en-US" w:eastAsia="zh-CN"/>
        </w:rPr>
        <w:t>2 供热系统计量收费应数据准确、过程透明、收费合理。</w:t>
      </w:r>
    </w:p>
    <w:p w14:paraId="135C1871">
      <w:pPr>
        <w:widowControl w:val="0"/>
        <w:wordWrap/>
        <w:adjustRightInd/>
        <w:snapToGrid/>
        <w:spacing w:line="360" w:lineRule="auto"/>
        <w:jc w:val="left"/>
        <w:textAlignment w:val="auto"/>
        <w:outlineLvl w:val="9"/>
        <w:rPr>
          <w:rFonts w:hint="default" w:ascii="宋体" w:hAnsi="宋体" w:eastAsia="宋体" w:cs="宋体"/>
          <w:color w:val="auto"/>
          <w:sz w:val="24"/>
          <w:lang w:val="en-US" w:eastAsia="zh-CN"/>
        </w:rPr>
      </w:pPr>
      <w:r>
        <w:rPr>
          <w:rFonts w:hint="eastAsia" w:ascii="宋体" w:hAnsi="宋体" w:cs="宋体"/>
          <w:color w:val="auto"/>
          <w:sz w:val="24"/>
          <w:lang w:val="en-US" w:eastAsia="zh-CN"/>
        </w:rPr>
        <w:t>B.6</w:t>
      </w:r>
      <w:r>
        <w:rPr>
          <w:rFonts w:hint="eastAsia" w:ascii="宋体" w:hAnsi="宋体" w:eastAsia="宋体" w:cs="宋体"/>
          <w:color w:val="auto"/>
          <w:sz w:val="24"/>
          <w:lang w:val="en-US" w:eastAsia="zh-CN"/>
        </w:rPr>
        <w:t>.</w:t>
      </w:r>
      <w:r>
        <w:rPr>
          <w:rFonts w:hint="eastAsia" w:ascii="宋体" w:hAnsi="宋体" w:cs="宋体"/>
          <w:color w:val="auto"/>
          <w:sz w:val="24"/>
          <w:lang w:val="en-US" w:eastAsia="zh-CN"/>
        </w:rPr>
        <w:t>16</w:t>
      </w:r>
      <w:r>
        <w:rPr>
          <w:rFonts w:hint="eastAsia" w:ascii="宋体" w:hAnsi="宋体" w:eastAsia="宋体" w:cs="宋体"/>
          <w:color w:val="auto"/>
          <w:sz w:val="24"/>
          <w:lang w:val="en-US" w:eastAsia="zh-CN"/>
        </w:rPr>
        <w:t>供热系统质量保障，</w:t>
      </w:r>
      <w:r>
        <w:rPr>
          <w:rFonts w:hint="eastAsia" w:ascii="宋体" w:hAnsi="宋体" w:cs="宋体"/>
          <w:color w:val="auto"/>
          <w:sz w:val="24"/>
          <w:lang w:val="en-US" w:eastAsia="zh-CN"/>
        </w:rPr>
        <w:t>应按下列</w:t>
      </w:r>
      <w:r>
        <w:rPr>
          <w:rFonts w:hint="eastAsia" w:ascii="宋体" w:hAnsi="宋体" w:eastAsia="宋体" w:cs="宋体"/>
          <w:color w:val="auto"/>
          <w:sz w:val="24"/>
          <w:lang w:val="en-US" w:eastAsia="zh-CN"/>
        </w:rPr>
        <w:t>内容分别评分：</w:t>
      </w:r>
    </w:p>
    <w:p w14:paraId="43031A41">
      <w:pPr>
        <w:widowControl w:val="0"/>
        <w:wordWrap/>
        <w:adjustRightInd/>
        <w:snapToGrid/>
        <w:spacing w:line="360" w:lineRule="auto"/>
        <w:ind w:firstLine="480" w:firstLineChars="200"/>
        <w:jc w:val="left"/>
        <w:textAlignment w:val="auto"/>
        <w:outlineLvl w:val="9"/>
        <w:rPr>
          <w:rFonts w:hint="default" w:ascii="宋体" w:hAnsi="宋体" w:eastAsia="宋体" w:cs="宋体"/>
          <w:color w:val="auto"/>
          <w:sz w:val="24"/>
          <w:lang w:val="en-US" w:eastAsia="zh-CN"/>
        </w:rPr>
      </w:pPr>
      <w:r>
        <w:rPr>
          <w:rFonts w:hint="eastAsia" w:ascii="宋体" w:hAnsi="宋体" w:eastAsia="宋体" w:cs="宋体"/>
          <w:color w:val="auto"/>
          <w:sz w:val="24"/>
          <w:lang w:val="en-US" w:eastAsia="zh-CN"/>
        </w:rPr>
        <w:t>1新建供热系统应进行供热系统</w:t>
      </w:r>
      <w:r>
        <w:rPr>
          <w:rFonts w:hint="eastAsia" w:ascii="宋体" w:hAnsi="宋体" w:eastAsia="宋体" w:cs="宋体"/>
          <w:color w:val="auto"/>
          <w:sz w:val="24"/>
          <w:highlight w:val="none"/>
          <w:lang w:val="en-US" w:eastAsia="zh-CN"/>
        </w:rPr>
        <w:t>热态验收</w:t>
      </w:r>
      <w:r>
        <w:rPr>
          <w:rFonts w:hint="eastAsia"/>
          <w:color w:val="auto"/>
          <w:lang w:val="en-US" w:eastAsia="zh-CN"/>
        </w:rPr>
        <w:t>；</w:t>
      </w:r>
    </w:p>
    <w:p w14:paraId="60D0DD14">
      <w:pPr>
        <w:widowControl w:val="0"/>
        <w:wordWrap/>
        <w:adjustRightInd/>
        <w:snapToGrid/>
        <w:spacing w:line="360" w:lineRule="auto"/>
        <w:ind w:firstLine="480" w:firstLineChars="200"/>
        <w:jc w:val="left"/>
        <w:textAlignment w:val="auto"/>
        <w:outlineLvl w:val="9"/>
        <w:rPr>
          <w:rFonts w:hint="eastAsia" w:ascii="宋体" w:hAnsi="宋体" w:eastAsia="宋体" w:cs="宋体"/>
          <w:color w:val="auto"/>
          <w:sz w:val="24"/>
          <w:lang w:val="en-US" w:eastAsia="zh-CN"/>
        </w:rPr>
      </w:pPr>
      <w:r>
        <w:rPr>
          <w:rFonts w:hint="eastAsia" w:ascii="宋体" w:hAnsi="宋体" w:eastAsia="宋体" w:cs="宋体"/>
          <w:color w:val="auto"/>
          <w:sz w:val="24"/>
          <w:lang w:val="en-US" w:eastAsia="zh-CN"/>
        </w:rPr>
        <w:t>2供热系统在供暖季应能够持续稳定地提供所需的热量；</w:t>
      </w:r>
    </w:p>
    <w:p w14:paraId="11B81B6B">
      <w:pPr>
        <w:widowControl w:val="0"/>
        <w:wordWrap/>
        <w:adjustRightInd/>
        <w:snapToGrid/>
        <w:spacing w:line="360" w:lineRule="auto"/>
        <w:ind w:firstLine="480" w:firstLineChars="200"/>
        <w:jc w:val="left"/>
        <w:textAlignment w:val="auto"/>
        <w:outlineLvl w:val="9"/>
        <w:rPr>
          <w:rFonts w:hint="eastAsia" w:ascii="宋体" w:hAnsi="宋体" w:eastAsia="宋体" w:cs="宋体"/>
          <w:color w:val="auto"/>
          <w:sz w:val="24"/>
          <w:highlight w:val="none"/>
          <w:lang w:val="en-US" w:eastAsia="zh-CN"/>
        </w:rPr>
      </w:pPr>
      <w:r>
        <w:rPr>
          <w:rFonts w:hint="eastAsia" w:ascii="宋体" w:hAnsi="宋体" w:eastAsia="宋体" w:cs="宋体"/>
          <w:color w:val="auto"/>
          <w:sz w:val="24"/>
          <w:lang w:val="en-US" w:eastAsia="zh-CN"/>
        </w:rPr>
        <w:t>3 供热系统在部分设备故障时</w:t>
      </w:r>
      <w:r>
        <w:rPr>
          <w:rFonts w:hint="eastAsia" w:ascii="宋体" w:hAnsi="宋体" w:eastAsia="宋体" w:cs="宋体"/>
          <w:color w:val="auto"/>
          <w:sz w:val="24"/>
          <w:highlight w:val="none"/>
          <w:lang w:val="en-US" w:eastAsia="zh-CN"/>
        </w:rPr>
        <w:t>，应有备用设备保证系统的连续运行</w:t>
      </w:r>
      <w:r>
        <w:rPr>
          <w:rFonts w:hint="eastAsia" w:ascii="宋体" w:hAnsi="宋体" w:cs="宋体"/>
          <w:color w:val="auto"/>
          <w:sz w:val="24"/>
          <w:highlight w:val="none"/>
          <w:lang w:val="en-US" w:eastAsia="zh-CN"/>
        </w:rPr>
        <w:t>；</w:t>
      </w:r>
    </w:p>
    <w:p w14:paraId="0ABEAFFA">
      <w:pPr>
        <w:widowControl w:val="0"/>
        <w:wordWrap/>
        <w:adjustRightInd/>
        <w:snapToGrid/>
        <w:spacing w:line="360" w:lineRule="auto"/>
        <w:ind w:firstLine="480" w:firstLineChars="200"/>
        <w:jc w:val="left"/>
        <w:textAlignment w:val="auto"/>
        <w:outlineLvl w:val="9"/>
        <w:rPr>
          <w:rFonts w:hint="default"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4 供热管网出现连续停热事故或供热系统运行时间超过15年，应进行相应</w:t>
      </w:r>
      <w:r>
        <w:rPr>
          <w:rFonts w:hint="eastAsia" w:ascii="宋体" w:hAnsi="宋体" w:cs="宋体"/>
          <w:color w:val="auto"/>
          <w:sz w:val="24"/>
          <w:highlight w:val="none"/>
          <w:lang w:val="en-US" w:eastAsia="zh-CN"/>
        </w:rPr>
        <w:t>诊断和能效提升</w:t>
      </w:r>
      <w:r>
        <w:rPr>
          <w:rFonts w:hint="eastAsia" w:ascii="宋体" w:hAnsi="宋体" w:eastAsia="宋体" w:cs="宋体"/>
          <w:color w:val="auto"/>
          <w:sz w:val="24"/>
          <w:highlight w:val="none"/>
          <w:lang w:val="en-US" w:eastAsia="zh-CN"/>
        </w:rPr>
        <w:t>改造。</w:t>
      </w:r>
    </w:p>
    <w:p w14:paraId="5F7D0B9B">
      <w:pPr>
        <w:widowControl w:val="0"/>
        <w:wordWrap/>
        <w:adjustRightInd/>
        <w:snapToGrid/>
        <w:spacing w:line="360" w:lineRule="auto"/>
        <w:jc w:val="left"/>
        <w:textAlignment w:val="auto"/>
        <w:outlineLvl w:val="9"/>
        <w:rPr>
          <w:rFonts w:hint="eastAsia" w:ascii="宋体" w:hAnsi="宋体" w:eastAsia="宋体" w:cs="宋体"/>
          <w:color w:val="auto"/>
          <w:sz w:val="24"/>
          <w:lang w:val="en-US" w:eastAsia="zh-CN"/>
        </w:rPr>
      </w:pPr>
      <w:r>
        <w:rPr>
          <w:rFonts w:hint="eastAsia" w:ascii="宋体" w:hAnsi="宋体" w:cs="宋体"/>
          <w:color w:val="auto"/>
          <w:sz w:val="24"/>
          <w:lang w:val="en-US" w:eastAsia="zh-CN"/>
        </w:rPr>
        <w:t>B.6</w:t>
      </w:r>
      <w:r>
        <w:rPr>
          <w:rFonts w:hint="eastAsia" w:ascii="宋体" w:hAnsi="宋体" w:eastAsia="宋体" w:cs="宋体"/>
          <w:color w:val="auto"/>
          <w:sz w:val="24"/>
          <w:lang w:val="en-US" w:eastAsia="zh-CN"/>
        </w:rPr>
        <w:t>.</w:t>
      </w:r>
      <w:r>
        <w:rPr>
          <w:rFonts w:hint="eastAsia" w:ascii="宋体" w:hAnsi="宋体" w:cs="宋体"/>
          <w:color w:val="auto"/>
          <w:sz w:val="24"/>
          <w:lang w:val="en-US" w:eastAsia="zh-CN"/>
        </w:rPr>
        <w:t>17应</w:t>
      </w:r>
      <w:r>
        <w:rPr>
          <w:rFonts w:hint="eastAsia" w:ascii="宋体" w:hAnsi="宋体" w:eastAsia="宋体" w:cs="宋体"/>
          <w:color w:val="auto"/>
          <w:sz w:val="24"/>
          <w:lang w:val="en-US" w:eastAsia="zh-CN"/>
        </w:rPr>
        <w:t>对系统及传感器进行每年度检测和运行核查。</w:t>
      </w:r>
    </w:p>
    <w:p w14:paraId="39DBC5A2">
      <w:pPr>
        <w:widowControl w:val="0"/>
        <w:wordWrap/>
        <w:adjustRightInd/>
        <w:snapToGrid/>
        <w:spacing w:line="360" w:lineRule="auto"/>
        <w:jc w:val="left"/>
        <w:textAlignment w:val="auto"/>
        <w:outlineLvl w:val="9"/>
        <w:rPr>
          <w:rFonts w:hint="eastAsia" w:ascii="宋体" w:hAnsi="宋体" w:eastAsia="宋体" w:cs="宋体"/>
          <w:color w:val="auto"/>
          <w:sz w:val="24"/>
          <w:lang w:val="en-US" w:eastAsia="zh-CN"/>
        </w:rPr>
      </w:pPr>
      <w:r>
        <w:rPr>
          <w:rFonts w:hint="eastAsia" w:ascii="宋体" w:hAnsi="宋体" w:cs="宋体"/>
          <w:color w:val="auto"/>
          <w:sz w:val="24"/>
          <w:lang w:val="en-US" w:eastAsia="zh-CN"/>
        </w:rPr>
        <w:t>B.6</w:t>
      </w:r>
      <w:r>
        <w:rPr>
          <w:rFonts w:hint="eastAsia" w:ascii="宋体" w:hAnsi="宋体" w:eastAsia="宋体" w:cs="宋体"/>
          <w:color w:val="auto"/>
          <w:sz w:val="24"/>
          <w:lang w:val="en-US" w:eastAsia="zh-CN"/>
        </w:rPr>
        <w:t>.</w:t>
      </w:r>
      <w:r>
        <w:rPr>
          <w:rFonts w:hint="eastAsia" w:ascii="宋体" w:hAnsi="宋体" w:cs="宋体"/>
          <w:color w:val="auto"/>
          <w:sz w:val="24"/>
          <w:lang w:val="en-US" w:eastAsia="zh-CN"/>
        </w:rPr>
        <w:t>18</w:t>
      </w:r>
      <w:r>
        <w:rPr>
          <w:rFonts w:hint="eastAsia" w:ascii="宋体" w:hAnsi="宋体" w:eastAsia="宋体" w:cs="宋体"/>
          <w:color w:val="auto"/>
          <w:sz w:val="24"/>
          <w:lang w:val="en-US" w:eastAsia="zh-CN"/>
        </w:rPr>
        <w:t>新建供热系统采用智能供热系统设计，既有供热系统结合城市更新改造和老旧小区改造要求实施智能升级改造，</w:t>
      </w:r>
      <w:r>
        <w:rPr>
          <w:rFonts w:hint="eastAsia" w:ascii="宋体" w:hAnsi="宋体" w:cs="宋体"/>
          <w:color w:val="auto"/>
          <w:sz w:val="24"/>
          <w:lang w:val="en-US" w:eastAsia="zh-CN"/>
        </w:rPr>
        <w:t>应按下列</w:t>
      </w:r>
      <w:r>
        <w:rPr>
          <w:rFonts w:hint="eastAsia" w:ascii="宋体" w:hAnsi="宋体" w:eastAsia="宋体" w:cs="宋体"/>
          <w:color w:val="auto"/>
          <w:sz w:val="24"/>
          <w:lang w:val="en-US" w:eastAsia="zh-CN"/>
        </w:rPr>
        <w:t>内容分别评分：</w:t>
      </w:r>
    </w:p>
    <w:p w14:paraId="63F2CB69">
      <w:pPr>
        <w:widowControl w:val="0"/>
        <w:wordWrap/>
        <w:adjustRightInd/>
        <w:snapToGrid/>
        <w:spacing w:line="360" w:lineRule="auto"/>
        <w:ind w:firstLine="480" w:firstLineChars="200"/>
        <w:jc w:val="left"/>
        <w:textAlignment w:val="auto"/>
        <w:outlineLvl w:val="9"/>
        <w:rPr>
          <w:rFonts w:hint="eastAsia" w:ascii="宋体" w:hAnsi="宋体" w:eastAsia="宋体" w:cs="宋体"/>
          <w:color w:val="auto"/>
          <w:sz w:val="24"/>
          <w:lang w:val="en-US" w:eastAsia="zh-CN"/>
        </w:rPr>
      </w:pPr>
      <w:r>
        <w:rPr>
          <w:rFonts w:hint="eastAsia" w:ascii="宋体" w:hAnsi="宋体" w:eastAsia="宋体" w:cs="宋体"/>
          <w:color w:val="auto"/>
          <w:sz w:val="24"/>
          <w:lang w:val="en-US" w:eastAsia="zh-CN"/>
        </w:rPr>
        <w:t>1 实现供热运行、维护、客服、经营等业务数据的共享。满足数据使用质量要求，监测平均在线率≥80%；</w:t>
      </w:r>
    </w:p>
    <w:p w14:paraId="2C42F199">
      <w:pPr>
        <w:widowControl w:val="0"/>
        <w:wordWrap/>
        <w:adjustRightInd/>
        <w:snapToGrid/>
        <w:spacing w:line="360" w:lineRule="auto"/>
        <w:ind w:firstLine="480" w:firstLineChars="200"/>
        <w:jc w:val="left"/>
        <w:textAlignment w:val="auto"/>
        <w:outlineLvl w:val="9"/>
        <w:rPr>
          <w:rFonts w:hint="eastAsia" w:ascii="宋体" w:hAnsi="宋体" w:eastAsia="宋体" w:cs="宋体"/>
          <w:color w:val="auto"/>
          <w:sz w:val="24"/>
          <w:lang w:val="en-US" w:eastAsia="zh-CN"/>
        </w:rPr>
      </w:pPr>
      <w:r>
        <w:rPr>
          <w:rFonts w:hint="eastAsia" w:ascii="宋体" w:hAnsi="宋体" w:eastAsia="宋体" w:cs="宋体"/>
          <w:color w:val="auto"/>
          <w:sz w:val="24"/>
          <w:lang w:val="en-US" w:eastAsia="zh-CN"/>
        </w:rPr>
        <w:t>2 在热源、管网、热力站、楼栋热力入口加装在线远传温度、压力、热量等感知设备，进行运行状态实时监测；</w:t>
      </w:r>
    </w:p>
    <w:p w14:paraId="69DAE788">
      <w:pPr>
        <w:widowControl w:val="0"/>
        <w:wordWrap/>
        <w:adjustRightInd/>
        <w:snapToGrid/>
        <w:spacing w:line="360" w:lineRule="auto"/>
        <w:ind w:firstLine="480" w:firstLineChars="200"/>
        <w:jc w:val="left"/>
        <w:textAlignment w:val="auto"/>
        <w:outlineLvl w:val="9"/>
        <w:rPr>
          <w:rFonts w:hint="eastAsia" w:ascii="宋体" w:hAnsi="宋体" w:eastAsia="宋体" w:cs="宋体"/>
          <w:color w:val="auto"/>
          <w:sz w:val="24"/>
          <w:lang w:val="en-US" w:eastAsia="zh-CN"/>
        </w:rPr>
      </w:pPr>
      <w:r>
        <w:rPr>
          <w:rFonts w:hint="eastAsia" w:ascii="宋体" w:hAnsi="宋体" w:eastAsia="宋体" w:cs="宋体"/>
          <w:color w:val="auto"/>
          <w:sz w:val="24"/>
          <w:lang w:val="en-US" w:eastAsia="zh-CN"/>
        </w:rPr>
        <w:t>3 宜建立智能控制系统对供热过程进行自动调节和优化，通过智慧控制算法实现安全报警、无人值守等功能；</w:t>
      </w:r>
    </w:p>
    <w:p w14:paraId="67DBF073">
      <w:pPr>
        <w:widowControl w:val="0"/>
        <w:wordWrap/>
        <w:adjustRightInd/>
        <w:snapToGrid/>
        <w:spacing w:line="360" w:lineRule="auto"/>
        <w:ind w:firstLine="480" w:firstLineChars="200"/>
        <w:jc w:val="left"/>
        <w:textAlignment w:val="auto"/>
        <w:outlineLvl w:val="9"/>
        <w:rPr>
          <w:rFonts w:hint="eastAsia" w:ascii="宋体" w:hAnsi="宋体" w:eastAsia="宋体" w:cs="宋体"/>
          <w:color w:val="auto"/>
          <w:sz w:val="24"/>
          <w:lang w:val="en-US" w:eastAsia="zh-CN"/>
        </w:rPr>
      </w:pPr>
      <w:r>
        <w:rPr>
          <w:rFonts w:hint="eastAsia" w:ascii="宋体" w:hAnsi="宋体" w:eastAsia="宋体" w:cs="宋体"/>
          <w:color w:val="auto"/>
          <w:sz w:val="24"/>
          <w:lang w:val="en-US" w:eastAsia="zh-CN"/>
        </w:rPr>
        <w:t>4 实现动态水力平衡调节，水力平衡度在0.9-1.1之间</w:t>
      </w:r>
      <w:r>
        <w:rPr>
          <w:rFonts w:hint="eastAsia" w:ascii="宋体" w:hAnsi="宋体" w:cs="宋体"/>
          <w:color w:val="auto"/>
          <w:sz w:val="24"/>
          <w:lang w:val="en-US" w:eastAsia="zh-CN"/>
        </w:rPr>
        <w:t>；</w:t>
      </w:r>
    </w:p>
    <w:p w14:paraId="2A8566CF">
      <w:pPr>
        <w:widowControl w:val="0"/>
        <w:wordWrap/>
        <w:adjustRightInd/>
        <w:snapToGrid/>
        <w:spacing w:line="360" w:lineRule="auto"/>
        <w:ind w:firstLine="480" w:firstLineChars="200"/>
        <w:jc w:val="left"/>
        <w:textAlignment w:val="auto"/>
        <w:outlineLvl w:val="9"/>
        <w:rPr>
          <w:rFonts w:hint="eastAsia" w:ascii="宋体" w:hAnsi="宋体" w:eastAsia="宋体" w:cs="宋体"/>
          <w:color w:val="auto"/>
          <w:sz w:val="24"/>
          <w:lang w:val="en-US" w:eastAsia="zh-CN"/>
        </w:rPr>
      </w:pPr>
      <w:r>
        <w:rPr>
          <w:rFonts w:hint="eastAsia" w:ascii="宋体" w:hAnsi="宋体" w:eastAsia="宋体" w:cs="宋体"/>
          <w:b w:val="0"/>
          <w:bCs w:val="0"/>
          <w:color w:val="auto"/>
          <w:sz w:val="24"/>
          <w:lang w:val="en-US" w:eastAsia="zh-CN"/>
        </w:rPr>
        <w:t>5.能够实现热源端与用户末端室温联动运行调节控制功能</w:t>
      </w:r>
      <w:r>
        <w:rPr>
          <w:rFonts w:hint="eastAsia" w:ascii="宋体" w:hAnsi="宋体" w:cs="宋体"/>
          <w:b w:val="0"/>
          <w:bCs w:val="0"/>
          <w:color w:val="auto"/>
          <w:sz w:val="24"/>
          <w:lang w:val="en-US" w:eastAsia="zh-CN"/>
        </w:rPr>
        <w:t>。</w:t>
      </w:r>
    </w:p>
    <w:p w14:paraId="208E4924">
      <w:pPr>
        <w:widowControl w:val="0"/>
        <w:wordWrap/>
        <w:adjustRightInd/>
        <w:snapToGrid/>
        <w:spacing w:line="360" w:lineRule="auto"/>
        <w:jc w:val="left"/>
        <w:textAlignment w:val="auto"/>
        <w:outlineLvl w:val="9"/>
        <w:rPr>
          <w:rFonts w:hint="default" w:ascii="宋体" w:hAnsi="宋体" w:eastAsia="宋体" w:cs="宋体"/>
          <w:color w:val="auto"/>
          <w:sz w:val="24"/>
          <w:lang w:val="en-US" w:eastAsia="zh-CN"/>
        </w:rPr>
      </w:pPr>
      <w:r>
        <w:rPr>
          <w:rFonts w:hint="eastAsia" w:ascii="宋体" w:hAnsi="宋体" w:cs="宋体"/>
          <w:color w:val="auto"/>
          <w:sz w:val="24"/>
          <w:lang w:val="en-US" w:eastAsia="zh-CN"/>
        </w:rPr>
        <w:t>B.6</w:t>
      </w:r>
      <w:r>
        <w:rPr>
          <w:rFonts w:hint="eastAsia" w:ascii="宋体" w:hAnsi="宋体" w:eastAsia="宋体" w:cs="宋体"/>
          <w:color w:val="auto"/>
          <w:sz w:val="24"/>
          <w:lang w:val="en-US" w:eastAsia="zh-CN"/>
        </w:rPr>
        <w:t>.</w:t>
      </w:r>
      <w:r>
        <w:rPr>
          <w:rFonts w:hint="eastAsia" w:ascii="宋体" w:hAnsi="宋体" w:cs="宋体"/>
          <w:color w:val="auto"/>
          <w:sz w:val="24"/>
          <w:lang w:val="en-US" w:eastAsia="zh-CN"/>
        </w:rPr>
        <w:t>19</w:t>
      </w:r>
      <w:r>
        <w:rPr>
          <w:rFonts w:hint="eastAsia" w:ascii="宋体" w:hAnsi="宋体" w:eastAsia="宋体" w:cs="宋体"/>
          <w:color w:val="auto"/>
          <w:sz w:val="24"/>
          <w:lang w:val="en-US" w:eastAsia="zh-CN"/>
        </w:rPr>
        <w:t xml:space="preserve"> 确保所有供热系统相关资料完善，</w:t>
      </w:r>
      <w:r>
        <w:rPr>
          <w:rFonts w:hint="eastAsia" w:ascii="宋体" w:hAnsi="宋体" w:cs="宋体"/>
          <w:color w:val="auto"/>
          <w:sz w:val="24"/>
          <w:lang w:val="en-US" w:eastAsia="zh-CN"/>
        </w:rPr>
        <w:t>应按下列</w:t>
      </w:r>
      <w:r>
        <w:rPr>
          <w:rFonts w:hint="eastAsia" w:ascii="宋体" w:hAnsi="宋体" w:eastAsia="宋体" w:cs="宋体"/>
          <w:color w:val="auto"/>
          <w:sz w:val="24"/>
          <w:lang w:val="en-US" w:eastAsia="zh-CN"/>
        </w:rPr>
        <w:t>内容分别评分：</w:t>
      </w:r>
    </w:p>
    <w:p w14:paraId="36EA903E">
      <w:pPr>
        <w:spacing w:line="360" w:lineRule="auto"/>
        <w:ind w:firstLine="480" w:firstLineChars="200"/>
        <w:jc w:val="left"/>
        <w:outlineLvl w:val="9"/>
        <w:rPr>
          <w:rFonts w:hint="eastAsia" w:ascii="宋体" w:hAnsi="宋体" w:eastAsia="宋体" w:cs="宋体"/>
          <w:b w:val="0"/>
          <w:bCs w:val="0"/>
          <w:color w:val="auto"/>
          <w:sz w:val="24"/>
          <w:szCs w:val="24"/>
        </w:rPr>
      </w:pPr>
      <w:r>
        <w:rPr>
          <w:rFonts w:hint="eastAsia" w:ascii="宋体" w:hAnsi="宋体" w:eastAsia="宋体" w:cs="宋体"/>
          <w:color w:val="auto"/>
          <w:sz w:val="24"/>
          <w:lang w:val="en-US" w:eastAsia="zh-CN"/>
        </w:rPr>
        <w:t>1 技术资料、检测报告、验收文件等都得到妥善归档，以便于供热系统的评估和审计使用</w:t>
      </w:r>
      <w:r>
        <w:rPr>
          <w:rFonts w:hint="eastAsia" w:ascii="宋体" w:hAnsi="宋体" w:cs="宋体"/>
          <w:color w:val="auto"/>
          <w:sz w:val="24"/>
          <w:lang w:val="en-US" w:eastAsia="zh-CN"/>
        </w:rPr>
        <w:t>；</w:t>
      </w:r>
    </w:p>
    <w:p w14:paraId="033AA992">
      <w:pPr>
        <w:widowControl w:val="0"/>
        <w:wordWrap/>
        <w:adjustRightInd/>
        <w:snapToGrid/>
        <w:spacing w:line="360" w:lineRule="auto"/>
        <w:ind w:firstLine="480" w:firstLineChars="200"/>
        <w:jc w:val="left"/>
        <w:textAlignment w:val="auto"/>
        <w:outlineLvl w:val="9"/>
        <w:rPr>
          <w:rFonts w:hint="eastAsia" w:ascii="宋体" w:hAnsi="宋体" w:eastAsia="宋体" w:cs="宋体"/>
          <w:color w:val="auto"/>
          <w:sz w:val="24"/>
          <w:lang w:val="en-US" w:eastAsia="zh-CN"/>
        </w:rPr>
      </w:pPr>
      <w:r>
        <w:rPr>
          <w:rFonts w:hint="eastAsia" w:ascii="宋体" w:hAnsi="宋体" w:eastAsia="宋体" w:cs="宋体"/>
          <w:color w:val="auto"/>
          <w:sz w:val="24"/>
          <w:lang w:val="en-US" w:eastAsia="zh-CN"/>
        </w:rPr>
        <w:t>2补</w:t>
      </w:r>
      <w:r>
        <w:rPr>
          <w:rFonts w:hint="eastAsia" w:ascii="宋体" w:hAnsi="宋体" w:eastAsia="宋体" w:cs="宋体"/>
          <w:color w:val="auto"/>
          <w:sz w:val="24"/>
        </w:rPr>
        <w:t>充缺失的既有供热系统相关基础资料，包括但不限于绘制管线结构布置图、管线位置图等</w:t>
      </w:r>
      <w:r>
        <w:rPr>
          <w:rFonts w:hint="eastAsia" w:ascii="宋体" w:hAnsi="宋体" w:cs="宋体"/>
          <w:color w:val="auto"/>
          <w:sz w:val="24"/>
          <w:lang w:val="en-US" w:eastAsia="zh-CN"/>
        </w:rPr>
        <w:t>。</w:t>
      </w:r>
    </w:p>
    <w:p w14:paraId="269E098B">
      <w:pPr>
        <w:wordWrap/>
        <w:spacing w:line="360" w:lineRule="auto"/>
        <w:jc w:val="center"/>
        <w:textAlignment w:val="auto"/>
        <w:outlineLvl w:val="1"/>
        <w:rPr>
          <w:rFonts w:hint="eastAsia" w:ascii="黑体" w:hAnsi="黑体" w:eastAsia="黑体" w:cs="黑体"/>
          <w:b/>
          <w:bCs/>
          <w:color w:val="auto"/>
          <w:sz w:val="28"/>
          <w:szCs w:val="28"/>
        </w:rPr>
      </w:pPr>
      <w:bookmarkStart w:id="619" w:name="_Toc22825"/>
      <w:bookmarkStart w:id="620" w:name="_Toc17639"/>
      <w:bookmarkStart w:id="621" w:name="_Toc20701"/>
      <w:bookmarkStart w:id="622" w:name="_Toc2542"/>
      <w:r>
        <w:rPr>
          <w:rFonts w:hint="eastAsia" w:ascii="黑体" w:hAnsi="黑体" w:eastAsia="黑体" w:cs="黑体"/>
          <w:b/>
          <w:bCs/>
          <w:color w:val="auto"/>
          <w:sz w:val="28"/>
          <w:szCs w:val="28"/>
        </w:rPr>
        <w:t>B</w:t>
      </w:r>
      <w:r>
        <w:rPr>
          <w:rFonts w:hint="eastAsia" w:ascii="黑体" w:hAnsi="黑体" w:eastAsia="黑体" w:cs="黑体"/>
          <w:b/>
          <w:bCs/>
          <w:color w:val="auto"/>
          <w:sz w:val="28"/>
          <w:szCs w:val="28"/>
          <w:lang w:val="en-US" w:eastAsia="zh-CN"/>
        </w:rPr>
        <w:t>.7</w:t>
      </w:r>
      <w:r>
        <w:rPr>
          <w:rFonts w:hint="eastAsia" w:ascii="黑体" w:hAnsi="黑体" w:eastAsia="黑体" w:cs="黑体"/>
          <w:b/>
          <w:bCs/>
          <w:color w:val="auto"/>
          <w:sz w:val="28"/>
          <w:szCs w:val="28"/>
        </w:rPr>
        <w:t xml:space="preserve"> </w:t>
      </w:r>
      <w:r>
        <w:rPr>
          <w:rFonts w:hint="eastAsia" w:ascii="黑体" w:hAnsi="黑体" w:eastAsia="黑体" w:cs="黑体"/>
          <w:b/>
          <w:bCs/>
          <w:color w:val="auto"/>
          <w:sz w:val="28"/>
          <w:szCs w:val="28"/>
          <w:lang w:val="en-US" w:eastAsia="zh-CN"/>
        </w:rPr>
        <w:t>城市燃气工程</w:t>
      </w:r>
      <w:r>
        <w:rPr>
          <w:rFonts w:hint="eastAsia" w:ascii="黑体" w:hAnsi="黑体" w:eastAsia="黑体" w:cs="黑体"/>
          <w:b/>
          <w:bCs/>
          <w:color w:val="auto"/>
          <w:sz w:val="28"/>
          <w:szCs w:val="28"/>
        </w:rPr>
        <w:t>项目</w:t>
      </w:r>
      <w:bookmarkEnd w:id="619"/>
      <w:r>
        <w:rPr>
          <w:rFonts w:hint="eastAsia" w:ascii="黑体" w:hAnsi="黑体" w:eastAsia="黑体" w:cs="黑体"/>
          <w:b/>
          <w:bCs/>
          <w:color w:val="auto"/>
          <w:sz w:val="28"/>
          <w:szCs w:val="28"/>
        </w:rPr>
        <w:t>专项内容评价指标</w:t>
      </w:r>
      <w:bookmarkEnd w:id="620"/>
      <w:bookmarkEnd w:id="621"/>
      <w:bookmarkEnd w:id="622"/>
    </w:p>
    <w:p w14:paraId="001A4F61">
      <w:pPr>
        <w:numPr>
          <w:ilvl w:val="0"/>
          <w:numId w:val="0"/>
        </w:numPr>
        <w:spacing w:line="360" w:lineRule="auto"/>
        <w:rPr>
          <w:rFonts w:hint="eastAsia" w:ascii="宋体" w:hAnsi="宋体" w:eastAsia="宋体" w:cs="宋体"/>
          <w:color w:val="auto"/>
          <w:sz w:val="24"/>
          <w:lang w:val="en-US" w:eastAsia="zh-CN"/>
        </w:rPr>
      </w:pPr>
      <w:r>
        <w:rPr>
          <w:rFonts w:hint="eastAsia" w:ascii="宋体" w:hAnsi="宋体" w:cs="宋体"/>
          <w:color w:val="auto"/>
          <w:sz w:val="24"/>
          <w:lang w:val="en-US" w:eastAsia="zh-CN"/>
        </w:rPr>
        <w:t>B.7</w:t>
      </w:r>
      <w:r>
        <w:rPr>
          <w:rFonts w:hint="eastAsia" w:ascii="宋体" w:hAnsi="宋体" w:eastAsia="宋体" w:cs="宋体"/>
          <w:color w:val="auto"/>
          <w:sz w:val="24"/>
          <w:lang w:val="en-US" w:eastAsia="zh-CN"/>
        </w:rPr>
        <w:t>.1 实施污染控制与泄漏监测防控管理，</w:t>
      </w:r>
      <w:r>
        <w:rPr>
          <w:rFonts w:hint="eastAsia" w:ascii="宋体" w:hAnsi="宋体" w:cs="宋体"/>
          <w:color w:val="auto"/>
          <w:sz w:val="24"/>
          <w:lang w:eastAsia="zh-CN"/>
        </w:rPr>
        <w:t>应按下列</w:t>
      </w:r>
      <w:r>
        <w:rPr>
          <w:rFonts w:hint="eastAsia" w:ascii="宋体" w:hAnsi="宋体" w:eastAsia="宋体" w:cs="宋体"/>
          <w:color w:val="auto"/>
          <w:sz w:val="24"/>
        </w:rPr>
        <w:t>内容分别评分</w:t>
      </w:r>
      <w:r>
        <w:rPr>
          <w:rFonts w:hint="eastAsia" w:ascii="宋体" w:hAnsi="宋体" w:eastAsia="宋体" w:cs="宋体"/>
          <w:color w:val="auto"/>
          <w:sz w:val="24"/>
          <w:lang w:eastAsia="zh-CN"/>
        </w:rPr>
        <w:t>：</w:t>
      </w:r>
    </w:p>
    <w:p w14:paraId="58253579">
      <w:pPr>
        <w:numPr>
          <w:ilvl w:val="-1"/>
          <w:numId w:val="0"/>
        </w:numPr>
        <w:spacing w:line="360" w:lineRule="auto"/>
        <w:ind w:left="0" w:leftChars="0" w:firstLine="480" w:firstLineChars="200"/>
        <w:rPr>
          <w:rFonts w:hint="eastAsia" w:ascii="宋体" w:hAnsi="宋体" w:eastAsia="宋体" w:cs="宋体"/>
          <w:color w:val="auto"/>
          <w:sz w:val="24"/>
        </w:rPr>
      </w:pPr>
      <w:r>
        <w:rPr>
          <w:rFonts w:hint="eastAsia" w:ascii="宋体" w:hAnsi="宋体" w:eastAsia="宋体" w:cs="宋体"/>
          <w:color w:val="auto"/>
          <w:sz w:val="24"/>
          <w:lang w:val="en-US" w:eastAsia="zh-CN"/>
        </w:rPr>
        <w:t xml:space="preserve">1 </w:t>
      </w:r>
      <w:r>
        <w:rPr>
          <w:rFonts w:hint="eastAsia" w:ascii="宋体" w:hAnsi="宋体" w:eastAsia="宋体" w:cs="宋体"/>
          <w:color w:val="auto"/>
          <w:sz w:val="24"/>
        </w:rPr>
        <w:t>燃气设施运行中定期检测管道泄漏，甲烷泄漏浓度不得超过0.1%（体积分数）</w:t>
      </w:r>
      <w:r>
        <w:rPr>
          <w:rFonts w:hint="eastAsia" w:ascii="宋体" w:hAnsi="宋体" w:eastAsia="宋体" w:cs="宋体"/>
          <w:color w:val="auto"/>
          <w:sz w:val="24"/>
          <w:lang w:eastAsia="zh-CN"/>
        </w:rPr>
        <w:t>；</w:t>
      </w:r>
    </w:p>
    <w:p w14:paraId="1BC5F1DF">
      <w:pPr>
        <w:numPr>
          <w:ilvl w:val="-1"/>
          <w:numId w:val="0"/>
        </w:numPr>
        <w:spacing w:line="360" w:lineRule="auto"/>
        <w:ind w:left="0" w:leftChars="0" w:firstLine="480" w:firstLineChars="200"/>
        <w:rPr>
          <w:rFonts w:hint="eastAsia" w:ascii="宋体" w:hAnsi="宋体" w:eastAsia="宋体" w:cs="宋体"/>
          <w:color w:val="auto"/>
          <w:sz w:val="24"/>
          <w:lang w:val="en-US" w:eastAsia="zh-CN"/>
        </w:rPr>
      </w:pPr>
      <w:r>
        <w:rPr>
          <w:rFonts w:hint="eastAsia" w:ascii="宋体" w:hAnsi="宋体" w:eastAsia="宋体" w:cs="宋体"/>
          <w:color w:val="auto"/>
          <w:sz w:val="24"/>
          <w:lang w:val="en-US" w:eastAsia="zh-CN"/>
        </w:rPr>
        <w:t>2 在高风险区域（如调压站、储气设施），配置自动</w:t>
      </w:r>
      <w:bookmarkStart w:id="623" w:name="OLE_LINK2"/>
      <w:r>
        <w:rPr>
          <w:rFonts w:hint="eastAsia" w:ascii="宋体" w:hAnsi="宋体" w:eastAsia="宋体" w:cs="宋体"/>
          <w:color w:val="auto"/>
          <w:sz w:val="24"/>
          <w:lang w:val="en-US" w:eastAsia="zh-CN"/>
        </w:rPr>
        <w:t>切断阀</w:t>
      </w:r>
      <w:bookmarkEnd w:id="623"/>
      <w:r>
        <w:rPr>
          <w:rFonts w:hint="eastAsia" w:ascii="宋体" w:hAnsi="宋体" w:eastAsia="宋体" w:cs="宋体"/>
          <w:color w:val="auto"/>
          <w:sz w:val="24"/>
          <w:lang w:val="en-US" w:eastAsia="zh-CN"/>
        </w:rPr>
        <w:t>和</w:t>
      </w:r>
      <w:bookmarkStart w:id="624" w:name="OLE_LINK3"/>
      <w:r>
        <w:rPr>
          <w:rFonts w:hint="eastAsia" w:ascii="宋体" w:hAnsi="宋体" w:eastAsia="宋体" w:cs="宋体"/>
          <w:color w:val="auto"/>
          <w:sz w:val="24"/>
          <w:lang w:val="en-US" w:eastAsia="zh-CN"/>
        </w:rPr>
        <w:t>应急通风</w:t>
      </w:r>
      <w:bookmarkEnd w:id="624"/>
      <w:r>
        <w:rPr>
          <w:rFonts w:hint="eastAsia" w:ascii="宋体" w:hAnsi="宋体" w:eastAsia="宋体" w:cs="宋体"/>
          <w:color w:val="auto"/>
          <w:sz w:val="24"/>
          <w:lang w:val="en-US" w:eastAsia="zh-CN"/>
        </w:rPr>
        <w:t>系统；</w:t>
      </w:r>
    </w:p>
    <w:p w14:paraId="4A3AF508">
      <w:pPr>
        <w:numPr>
          <w:ilvl w:val="-1"/>
          <w:numId w:val="0"/>
        </w:numPr>
        <w:spacing w:line="360" w:lineRule="auto"/>
        <w:ind w:left="0" w:leftChars="0" w:firstLine="480" w:firstLineChars="200"/>
        <w:rPr>
          <w:rFonts w:hint="eastAsia" w:ascii="宋体" w:hAnsi="宋体" w:eastAsia="宋体" w:cs="宋体"/>
          <w:color w:val="auto"/>
          <w:sz w:val="24"/>
          <w:lang w:val="en-US" w:eastAsia="zh-CN"/>
        </w:rPr>
      </w:pPr>
      <w:r>
        <w:rPr>
          <w:rFonts w:hint="eastAsia" w:ascii="宋体" w:hAnsi="宋体" w:eastAsia="宋体" w:cs="宋体"/>
          <w:color w:val="auto"/>
          <w:sz w:val="24"/>
          <w:highlight w:val="none"/>
          <w:lang w:val="en-US" w:eastAsia="zh-CN"/>
        </w:rPr>
        <w:t xml:space="preserve">3 </w:t>
      </w:r>
      <w:r>
        <w:rPr>
          <w:rFonts w:hint="eastAsia" w:ascii="宋体" w:hAnsi="宋体" w:eastAsia="宋体" w:cs="宋体"/>
          <w:color w:val="auto"/>
          <w:sz w:val="24"/>
          <w:highlight w:val="none"/>
        </w:rPr>
        <w:t>室内燃气设备配套强制排风装置，废气有效排出，局部环境污染风险</w:t>
      </w:r>
      <w:r>
        <w:rPr>
          <w:rFonts w:hint="eastAsia" w:ascii="宋体" w:hAnsi="宋体" w:eastAsia="宋体" w:cs="宋体"/>
          <w:color w:val="auto"/>
          <w:sz w:val="24"/>
          <w:highlight w:val="none"/>
          <w:lang w:val="en-US" w:eastAsia="zh-CN"/>
        </w:rPr>
        <w:t>小</w:t>
      </w:r>
      <w:r>
        <w:rPr>
          <w:rFonts w:hint="eastAsia" w:ascii="宋体" w:hAnsi="宋体" w:eastAsia="宋体" w:cs="宋体"/>
          <w:color w:val="auto"/>
          <w:sz w:val="24"/>
          <w:lang w:eastAsia="zh-CN"/>
        </w:rPr>
        <w:t>。</w:t>
      </w:r>
    </w:p>
    <w:p w14:paraId="5C832410">
      <w:pPr>
        <w:numPr>
          <w:ilvl w:val="0"/>
          <w:numId w:val="0"/>
        </w:numPr>
        <w:spacing w:line="360" w:lineRule="auto"/>
        <w:rPr>
          <w:rFonts w:hint="eastAsia" w:ascii="宋体" w:hAnsi="宋体" w:eastAsia="宋体" w:cs="宋体"/>
          <w:color w:val="auto"/>
          <w:sz w:val="24"/>
        </w:rPr>
      </w:pPr>
      <w:r>
        <w:rPr>
          <w:rFonts w:hint="eastAsia" w:ascii="宋体" w:hAnsi="宋体" w:cs="宋体"/>
          <w:color w:val="auto"/>
          <w:sz w:val="24"/>
          <w:lang w:val="en-US" w:eastAsia="zh-CN"/>
        </w:rPr>
        <w:t>B.7</w:t>
      </w:r>
      <w:r>
        <w:rPr>
          <w:rFonts w:hint="eastAsia" w:ascii="宋体" w:hAnsi="宋体" w:eastAsia="宋体" w:cs="宋体"/>
          <w:color w:val="auto"/>
          <w:sz w:val="24"/>
          <w:lang w:val="en-US" w:eastAsia="zh-CN"/>
        </w:rPr>
        <w:t xml:space="preserve">.2 </w:t>
      </w:r>
      <w:r>
        <w:rPr>
          <w:rFonts w:hint="eastAsia" w:ascii="宋体" w:hAnsi="宋体" w:eastAsia="宋体" w:cs="宋体"/>
          <w:color w:val="auto"/>
          <w:sz w:val="24"/>
        </w:rPr>
        <w:t>燃气场站废气排放</w:t>
      </w:r>
      <w:r>
        <w:rPr>
          <w:rFonts w:hint="eastAsia" w:ascii="宋体" w:hAnsi="宋体" w:cs="宋体"/>
          <w:color w:val="auto"/>
          <w:sz w:val="24"/>
          <w:lang w:val="en-US" w:eastAsia="zh-CN"/>
        </w:rPr>
        <w:t>应</w:t>
      </w:r>
      <w:r>
        <w:rPr>
          <w:rFonts w:hint="eastAsia" w:ascii="宋体" w:hAnsi="宋体" w:eastAsia="宋体" w:cs="宋体"/>
          <w:color w:val="auto"/>
          <w:sz w:val="24"/>
        </w:rPr>
        <w:t>符合</w:t>
      </w:r>
      <w:r>
        <w:rPr>
          <w:rFonts w:hint="eastAsia" w:ascii="宋体" w:hAnsi="宋体" w:cs="宋体"/>
          <w:color w:val="auto"/>
          <w:sz w:val="24"/>
          <w:lang w:val="en-US" w:eastAsia="zh-CN"/>
        </w:rPr>
        <w:t>现行国家标准</w:t>
      </w:r>
      <w:r>
        <w:rPr>
          <w:rFonts w:hint="eastAsia" w:ascii="宋体" w:hAnsi="宋体" w:eastAsia="宋体" w:cs="宋体"/>
          <w:color w:val="auto"/>
          <w:sz w:val="24"/>
        </w:rPr>
        <w:t>《大气污染物综合排放标准》GB16297</w:t>
      </w:r>
      <w:r>
        <w:rPr>
          <w:rFonts w:hint="eastAsia" w:ascii="宋体" w:hAnsi="宋体" w:cs="宋体"/>
          <w:color w:val="auto"/>
          <w:sz w:val="24"/>
          <w:lang w:val="en-US" w:eastAsia="zh-CN"/>
        </w:rPr>
        <w:t>的有关规定</w:t>
      </w:r>
      <w:r>
        <w:rPr>
          <w:rFonts w:hint="eastAsia" w:ascii="宋体" w:hAnsi="宋体" w:eastAsia="宋体" w:cs="宋体"/>
          <w:color w:val="auto"/>
          <w:sz w:val="24"/>
        </w:rPr>
        <w:t>，废气处理达标率100%。</w:t>
      </w:r>
      <w:r>
        <w:rPr>
          <w:rFonts w:hint="eastAsia" w:ascii="宋体" w:hAnsi="宋体" w:eastAsia="宋体" w:cs="宋体"/>
          <w:color w:val="auto"/>
          <w:sz w:val="24"/>
        </w:rPr>
        <w:br w:type="textWrapping"/>
      </w:r>
      <w:r>
        <w:rPr>
          <w:rFonts w:hint="eastAsia" w:ascii="宋体" w:hAnsi="宋体" w:cs="宋体"/>
          <w:color w:val="auto"/>
          <w:sz w:val="24"/>
          <w:lang w:val="en-US" w:eastAsia="zh-CN"/>
        </w:rPr>
        <w:t>B.7</w:t>
      </w:r>
      <w:r>
        <w:rPr>
          <w:rFonts w:hint="eastAsia" w:ascii="宋体" w:hAnsi="宋体" w:eastAsia="宋体" w:cs="宋体"/>
          <w:color w:val="auto"/>
          <w:sz w:val="24"/>
          <w:lang w:val="en-US" w:eastAsia="zh-CN"/>
        </w:rPr>
        <w:t xml:space="preserve">.3 </w:t>
      </w:r>
      <w:r>
        <w:rPr>
          <w:rFonts w:hint="eastAsia" w:ascii="宋体" w:hAnsi="宋体" w:eastAsia="宋体" w:cs="宋体"/>
          <w:color w:val="auto"/>
          <w:sz w:val="24"/>
        </w:rPr>
        <w:t>燃气管道敷设</w:t>
      </w:r>
      <w:r>
        <w:rPr>
          <w:rFonts w:hint="eastAsia" w:ascii="宋体" w:hAnsi="宋体" w:cs="宋体"/>
          <w:color w:val="auto"/>
          <w:sz w:val="24"/>
          <w:lang w:val="en-US" w:eastAsia="zh-CN"/>
        </w:rPr>
        <w:t>应</w:t>
      </w:r>
      <w:r>
        <w:rPr>
          <w:rFonts w:hint="eastAsia" w:ascii="宋体" w:hAnsi="宋体" w:eastAsia="宋体" w:cs="宋体"/>
          <w:color w:val="auto"/>
          <w:sz w:val="24"/>
        </w:rPr>
        <w:t>避让生态保护区、水源地等敏感区域</w:t>
      </w:r>
      <w:r>
        <w:rPr>
          <w:rFonts w:hint="eastAsia" w:ascii="宋体" w:hAnsi="宋体" w:eastAsia="宋体" w:cs="宋体"/>
          <w:color w:val="auto"/>
          <w:sz w:val="24"/>
          <w:lang w:eastAsia="zh-CN"/>
        </w:rPr>
        <w:t>；</w:t>
      </w:r>
      <w:r>
        <w:rPr>
          <w:rFonts w:hint="eastAsia" w:ascii="宋体" w:hAnsi="宋体" w:eastAsia="宋体" w:cs="宋体"/>
          <w:color w:val="auto"/>
          <w:sz w:val="24"/>
        </w:rPr>
        <w:t>施工后</w:t>
      </w:r>
      <w:r>
        <w:rPr>
          <w:rFonts w:hint="eastAsia" w:ascii="宋体" w:hAnsi="宋体" w:cs="宋体"/>
          <w:color w:val="auto"/>
          <w:sz w:val="24"/>
          <w:lang w:val="en-US" w:eastAsia="zh-CN"/>
        </w:rPr>
        <w:t>应</w:t>
      </w:r>
      <w:r>
        <w:rPr>
          <w:rFonts w:hint="eastAsia" w:ascii="宋体" w:hAnsi="宋体" w:eastAsia="宋体" w:cs="宋体"/>
          <w:color w:val="auto"/>
          <w:sz w:val="24"/>
        </w:rPr>
        <w:t>恢复原有植被或采取</w:t>
      </w:r>
      <w:bookmarkStart w:id="625" w:name="OLE_LINK4"/>
      <w:r>
        <w:rPr>
          <w:rFonts w:hint="eastAsia" w:ascii="宋体" w:hAnsi="宋体" w:eastAsia="宋体" w:cs="宋体"/>
          <w:color w:val="auto"/>
          <w:sz w:val="24"/>
        </w:rPr>
        <w:t>生态</w:t>
      </w:r>
      <w:bookmarkEnd w:id="625"/>
      <w:r>
        <w:rPr>
          <w:rFonts w:hint="eastAsia" w:ascii="宋体" w:hAnsi="宋体" w:eastAsia="宋体" w:cs="宋体"/>
          <w:color w:val="auto"/>
          <w:sz w:val="24"/>
        </w:rPr>
        <w:t>补偿措施。</w:t>
      </w:r>
    </w:p>
    <w:p w14:paraId="21BE5143">
      <w:pPr>
        <w:spacing w:line="360" w:lineRule="auto"/>
        <w:rPr>
          <w:rFonts w:hint="eastAsia" w:ascii="宋体" w:hAnsi="宋体" w:eastAsia="宋体" w:cs="宋体"/>
          <w:color w:val="auto"/>
          <w:sz w:val="24"/>
        </w:rPr>
      </w:pPr>
      <w:r>
        <w:rPr>
          <w:rFonts w:hint="eastAsia" w:ascii="宋体" w:hAnsi="宋体" w:cs="宋体"/>
          <w:color w:val="auto"/>
          <w:sz w:val="24"/>
          <w:lang w:val="en-US" w:eastAsia="zh-CN"/>
        </w:rPr>
        <w:t>B.7</w:t>
      </w:r>
      <w:r>
        <w:rPr>
          <w:rFonts w:hint="eastAsia" w:ascii="宋体" w:hAnsi="宋体" w:eastAsia="宋体" w:cs="宋体"/>
          <w:color w:val="auto"/>
          <w:sz w:val="24"/>
          <w:lang w:val="en-US" w:eastAsia="zh-CN"/>
        </w:rPr>
        <w:t xml:space="preserve">.4 </w:t>
      </w:r>
      <w:r>
        <w:rPr>
          <w:rFonts w:hint="eastAsia" w:ascii="宋体" w:hAnsi="宋体" w:eastAsia="宋体" w:cs="宋体"/>
          <w:color w:val="auto"/>
          <w:sz w:val="24"/>
        </w:rPr>
        <w:t>燃气中的加臭剂及其燃烧产物</w:t>
      </w:r>
      <w:r>
        <w:rPr>
          <w:rFonts w:hint="eastAsia" w:ascii="宋体" w:hAnsi="宋体" w:cs="宋体"/>
          <w:color w:val="auto"/>
          <w:sz w:val="24"/>
          <w:lang w:val="en-US" w:eastAsia="zh-CN"/>
        </w:rPr>
        <w:t>应</w:t>
      </w:r>
      <w:r>
        <w:rPr>
          <w:rFonts w:hint="eastAsia" w:ascii="宋体" w:hAnsi="宋体" w:eastAsia="宋体" w:cs="宋体"/>
          <w:color w:val="auto"/>
          <w:sz w:val="24"/>
        </w:rPr>
        <w:t>对人体</w:t>
      </w:r>
      <w:r>
        <w:rPr>
          <w:rFonts w:hint="eastAsia" w:ascii="宋体" w:hAnsi="宋体" w:eastAsia="宋体" w:cs="宋体"/>
          <w:color w:val="auto"/>
          <w:sz w:val="24"/>
          <w:lang w:val="en-US" w:eastAsia="zh-CN"/>
        </w:rPr>
        <w:t>无</w:t>
      </w:r>
      <w:r>
        <w:rPr>
          <w:rFonts w:hint="eastAsia" w:ascii="宋体" w:hAnsi="宋体" w:eastAsia="宋体" w:cs="宋体"/>
          <w:color w:val="auto"/>
          <w:sz w:val="24"/>
        </w:rPr>
        <w:t>毒害，</w:t>
      </w:r>
      <w:r>
        <w:rPr>
          <w:rFonts w:hint="eastAsia" w:ascii="宋体" w:hAnsi="宋体" w:eastAsia="宋体" w:cs="宋体"/>
          <w:color w:val="auto"/>
          <w:sz w:val="24"/>
          <w:lang w:val="en-US" w:eastAsia="zh-CN"/>
        </w:rPr>
        <w:t>无</w:t>
      </w:r>
      <w:r>
        <w:rPr>
          <w:rFonts w:hint="eastAsia" w:ascii="宋体" w:hAnsi="宋体" w:eastAsia="宋体" w:cs="宋体"/>
          <w:color w:val="auto"/>
          <w:sz w:val="24"/>
        </w:rPr>
        <w:t>因加臭剂使用而对环境和设备造成</w:t>
      </w:r>
      <w:r>
        <w:rPr>
          <w:rFonts w:hint="eastAsia" w:ascii="宋体" w:hAnsi="宋体" w:eastAsia="宋体" w:cs="宋体"/>
          <w:color w:val="auto"/>
          <w:sz w:val="24"/>
          <w:lang w:val="en-US" w:eastAsia="zh-CN"/>
        </w:rPr>
        <w:t>的</w:t>
      </w:r>
      <w:r>
        <w:rPr>
          <w:rFonts w:hint="eastAsia" w:ascii="宋体" w:hAnsi="宋体" w:eastAsia="宋体" w:cs="宋体"/>
          <w:color w:val="auto"/>
          <w:sz w:val="24"/>
        </w:rPr>
        <w:t>负面影响。</w:t>
      </w:r>
    </w:p>
    <w:p w14:paraId="1B302D1C">
      <w:pPr>
        <w:numPr>
          <w:ilvl w:val="0"/>
          <w:numId w:val="0"/>
        </w:numPr>
        <w:spacing w:line="360" w:lineRule="auto"/>
        <w:rPr>
          <w:rFonts w:hint="eastAsia" w:ascii="宋体" w:hAnsi="宋体" w:eastAsia="宋体" w:cs="宋体"/>
          <w:color w:val="auto"/>
          <w:sz w:val="24"/>
          <w:lang w:val="en-US" w:eastAsia="zh-CN"/>
        </w:rPr>
      </w:pPr>
      <w:r>
        <w:rPr>
          <w:rFonts w:hint="eastAsia" w:ascii="宋体" w:hAnsi="宋体" w:cs="宋体"/>
          <w:color w:val="auto"/>
          <w:sz w:val="24"/>
          <w:lang w:val="en-US" w:eastAsia="zh-CN"/>
        </w:rPr>
        <w:t>B.7</w:t>
      </w:r>
      <w:r>
        <w:rPr>
          <w:rFonts w:hint="eastAsia" w:ascii="宋体" w:hAnsi="宋体" w:eastAsia="宋体" w:cs="宋体"/>
          <w:color w:val="auto"/>
          <w:sz w:val="24"/>
          <w:lang w:val="en-US" w:eastAsia="zh-CN"/>
        </w:rPr>
        <w:t>.5 调压装置的厂界环境噪音</w:t>
      </w:r>
      <w:r>
        <w:rPr>
          <w:rFonts w:hint="eastAsia" w:ascii="宋体" w:hAnsi="宋体" w:cs="宋体"/>
          <w:color w:val="auto"/>
          <w:sz w:val="24"/>
          <w:lang w:val="en-US" w:eastAsia="zh-CN"/>
        </w:rPr>
        <w:t>应</w:t>
      </w:r>
      <w:r>
        <w:rPr>
          <w:rFonts w:hint="eastAsia" w:ascii="宋体" w:hAnsi="宋体" w:eastAsia="宋体" w:cs="宋体"/>
          <w:color w:val="auto"/>
          <w:sz w:val="24"/>
          <w:lang w:val="en-US" w:eastAsia="zh-CN"/>
        </w:rPr>
        <w:t>控制在国家现行标准允许的范围内。</w:t>
      </w:r>
    </w:p>
    <w:p w14:paraId="3122A400">
      <w:pPr>
        <w:numPr>
          <w:ilvl w:val="0"/>
          <w:numId w:val="0"/>
        </w:numPr>
        <w:spacing w:line="360" w:lineRule="auto"/>
        <w:rPr>
          <w:rFonts w:hint="eastAsia" w:ascii="宋体" w:hAnsi="宋体" w:eastAsia="宋体" w:cs="宋体"/>
          <w:color w:val="auto"/>
          <w:sz w:val="24"/>
          <w:lang w:val="en-US" w:eastAsia="zh-CN"/>
        </w:rPr>
      </w:pPr>
      <w:r>
        <w:rPr>
          <w:rFonts w:hint="eastAsia" w:ascii="宋体" w:hAnsi="宋体" w:cs="宋体"/>
          <w:color w:val="auto"/>
          <w:sz w:val="24"/>
          <w:lang w:val="en-US" w:eastAsia="zh-CN"/>
        </w:rPr>
        <w:t>B.7</w:t>
      </w:r>
      <w:r>
        <w:rPr>
          <w:rFonts w:hint="eastAsia" w:ascii="宋体" w:hAnsi="宋体" w:eastAsia="宋体" w:cs="宋体"/>
          <w:color w:val="auto"/>
          <w:sz w:val="24"/>
          <w:lang w:val="en-US" w:eastAsia="zh-CN"/>
        </w:rPr>
        <w:t>.6 燃气设施正常运行过程中未达到排放标准的工艺废弃物</w:t>
      </w:r>
      <w:r>
        <w:rPr>
          <w:rFonts w:hint="eastAsia" w:ascii="宋体" w:hAnsi="宋体" w:cs="宋体"/>
          <w:color w:val="auto"/>
          <w:sz w:val="24"/>
          <w:lang w:val="en-US" w:eastAsia="zh-CN"/>
        </w:rPr>
        <w:t>严禁</w:t>
      </w:r>
      <w:r>
        <w:rPr>
          <w:rFonts w:hint="eastAsia" w:ascii="宋体" w:hAnsi="宋体" w:eastAsia="宋体" w:cs="宋体"/>
          <w:color w:val="auto"/>
          <w:sz w:val="24"/>
          <w:lang w:val="en-US" w:eastAsia="zh-CN"/>
        </w:rPr>
        <w:t>直接排放。</w:t>
      </w:r>
    </w:p>
    <w:p w14:paraId="46EB9A52">
      <w:pPr>
        <w:spacing w:line="360" w:lineRule="auto"/>
        <w:rPr>
          <w:rFonts w:hint="eastAsia" w:ascii="宋体" w:hAnsi="宋体" w:eastAsia="宋体" w:cs="宋体"/>
          <w:color w:val="auto"/>
          <w:sz w:val="24"/>
          <w:lang w:val="en-US" w:eastAsia="zh-CN"/>
        </w:rPr>
      </w:pPr>
      <w:r>
        <w:rPr>
          <w:rFonts w:hint="eastAsia" w:ascii="宋体" w:hAnsi="宋体" w:cs="宋体"/>
          <w:color w:val="auto"/>
          <w:sz w:val="24"/>
          <w:lang w:val="en-US" w:eastAsia="zh-CN"/>
        </w:rPr>
        <w:t>B.7</w:t>
      </w:r>
      <w:r>
        <w:rPr>
          <w:rFonts w:hint="eastAsia" w:ascii="宋体" w:hAnsi="宋体" w:eastAsia="宋体" w:cs="宋体"/>
          <w:color w:val="auto"/>
          <w:sz w:val="24"/>
          <w:lang w:val="en-US" w:eastAsia="zh-CN"/>
        </w:rPr>
        <w:t>.</w:t>
      </w:r>
      <w:r>
        <w:rPr>
          <w:rFonts w:hint="eastAsia" w:ascii="宋体" w:hAnsi="宋体" w:cs="宋体"/>
          <w:color w:val="auto"/>
          <w:sz w:val="24"/>
          <w:lang w:val="en-US" w:eastAsia="zh-CN"/>
        </w:rPr>
        <w:t>7</w:t>
      </w:r>
      <w:r>
        <w:rPr>
          <w:rFonts w:hint="eastAsia" w:ascii="宋体" w:hAnsi="宋体" w:eastAsia="宋体" w:cs="宋体"/>
          <w:color w:val="auto"/>
          <w:sz w:val="24"/>
          <w:lang w:val="en-US" w:eastAsia="zh-CN"/>
        </w:rPr>
        <w:t xml:space="preserve"> 保障能源供应的稳定性、可靠性，提高能源利用效率，</w:t>
      </w:r>
      <w:r>
        <w:rPr>
          <w:rFonts w:hint="eastAsia" w:ascii="宋体" w:hAnsi="宋体" w:cs="宋体"/>
          <w:color w:val="auto"/>
          <w:sz w:val="24"/>
          <w:lang w:val="en-US" w:eastAsia="zh-CN"/>
        </w:rPr>
        <w:t>应按下列</w:t>
      </w:r>
      <w:r>
        <w:rPr>
          <w:rFonts w:hint="eastAsia" w:ascii="宋体" w:hAnsi="宋体" w:eastAsia="宋体" w:cs="宋体"/>
          <w:color w:val="auto"/>
          <w:sz w:val="24"/>
          <w:lang w:val="en-US" w:eastAsia="zh-CN"/>
        </w:rPr>
        <w:t>内容分别评分：</w:t>
      </w:r>
    </w:p>
    <w:p w14:paraId="150E5CC9">
      <w:pPr>
        <w:numPr>
          <w:ilvl w:val="-1"/>
          <w:numId w:val="0"/>
        </w:numPr>
        <w:spacing w:line="360" w:lineRule="auto"/>
        <w:ind w:left="0" w:leftChars="0" w:firstLine="480" w:firstLineChars="200"/>
        <w:rPr>
          <w:rFonts w:hint="eastAsia" w:ascii="宋体" w:hAnsi="宋体" w:eastAsia="宋体" w:cs="宋体"/>
          <w:color w:val="auto"/>
          <w:sz w:val="24"/>
        </w:rPr>
      </w:pPr>
      <w:r>
        <w:rPr>
          <w:rFonts w:hint="eastAsia" w:ascii="宋体" w:hAnsi="宋体" w:eastAsia="宋体" w:cs="宋体"/>
          <w:color w:val="auto"/>
          <w:sz w:val="24"/>
          <w:lang w:val="en-US" w:eastAsia="zh-CN"/>
        </w:rPr>
        <w:t xml:space="preserve">1 </w:t>
      </w:r>
      <w:r>
        <w:rPr>
          <w:rFonts w:hint="eastAsia" w:ascii="宋体" w:hAnsi="宋体" w:eastAsia="宋体" w:cs="宋体"/>
          <w:color w:val="auto"/>
          <w:sz w:val="24"/>
        </w:rPr>
        <w:t>在</w:t>
      </w:r>
      <w:r>
        <w:rPr>
          <w:rFonts w:hint="eastAsia" w:ascii="宋体" w:hAnsi="宋体" w:eastAsia="宋体" w:cs="宋体"/>
          <w:color w:val="auto"/>
          <w:sz w:val="24"/>
          <w:lang w:val="en-US" w:eastAsia="zh-CN"/>
        </w:rPr>
        <w:t>用气</w:t>
      </w:r>
      <w:r>
        <w:rPr>
          <w:rFonts w:hint="eastAsia" w:ascii="宋体" w:hAnsi="宋体" w:eastAsia="宋体" w:cs="宋体"/>
          <w:color w:val="auto"/>
          <w:sz w:val="24"/>
        </w:rPr>
        <w:t>需求高峰或紧急情况下</w:t>
      </w:r>
      <w:r>
        <w:rPr>
          <w:rFonts w:hint="eastAsia" w:ascii="宋体" w:hAnsi="宋体" w:eastAsia="宋体" w:cs="宋体"/>
          <w:color w:val="auto"/>
          <w:sz w:val="24"/>
          <w:lang w:eastAsia="zh-CN"/>
        </w:rPr>
        <w:t>，</w:t>
      </w:r>
      <w:r>
        <w:rPr>
          <w:rFonts w:hint="eastAsia" w:ascii="宋体" w:hAnsi="宋体" w:eastAsia="宋体" w:cs="宋体"/>
          <w:color w:val="auto"/>
          <w:sz w:val="24"/>
          <w:lang w:val="en-US" w:eastAsia="zh-CN"/>
        </w:rPr>
        <w:t>具备</w:t>
      </w:r>
      <w:r>
        <w:rPr>
          <w:rFonts w:hint="eastAsia" w:ascii="宋体" w:hAnsi="宋体" w:eastAsia="宋体" w:cs="宋体"/>
          <w:color w:val="auto"/>
          <w:sz w:val="24"/>
        </w:rPr>
        <w:t>稳定供气</w:t>
      </w:r>
      <w:r>
        <w:rPr>
          <w:rFonts w:hint="eastAsia" w:ascii="宋体" w:hAnsi="宋体" w:eastAsia="宋体" w:cs="宋体"/>
          <w:color w:val="auto"/>
          <w:sz w:val="24"/>
          <w:lang w:val="en-US" w:eastAsia="zh-CN"/>
        </w:rPr>
        <w:t>的能力储备，</w:t>
      </w:r>
      <w:r>
        <w:rPr>
          <w:rFonts w:hint="eastAsia" w:ascii="宋体" w:hAnsi="宋体" w:eastAsia="宋体" w:cs="宋体"/>
          <w:color w:val="auto"/>
          <w:sz w:val="24"/>
        </w:rPr>
        <w:t>减少能源浪费和供应中断的风险</w:t>
      </w:r>
      <w:r>
        <w:rPr>
          <w:rFonts w:hint="eastAsia" w:ascii="宋体" w:hAnsi="宋体" w:eastAsia="宋体" w:cs="宋体"/>
          <w:color w:val="auto"/>
          <w:sz w:val="24"/>
          <w:lang w:eastAsia="zh-CN"/>
        </w:rPr>
        <w:t>；</w:t>
      </w:r>
    </w:p>
    <w:p w14:paraId="4FA2A2CB">
      <w:pPr>
        <w:numPr>
          <w:ilvl w:val="-1"/>
          <w:numId w:val="0"/>
        </w:numPr>
        <w:spacing w:line="360" w:lineRule="auto"/>
        <w:ind w:left="0" w:leftChars="0" w:firstLine="480" w:firstLineChars="200"/>
        <w:rPr>
          <w:rFonts w:hint="eastAsia" w:ascii="宋体" w:hAnsi="宋体" w:eastAsia="宋体" w:cs="宋体"/>
          <w:color w:val="auto"/>
          <w:sz w:val="24"/>
        </w:rPr>
      </w:pPr>
      <w:r>
        <w:rPr>
          <w:rFonts w:hint="eastAsia" w:ascii="宋体" w:hAnsi="宋体" w:eastAsia="宋体" w:cs="宋体"/>
          <w:color w:val="auto"/>
          <w:sz w:val="24"/>
          <w:lang w:val="en-US" w:eastAsia="zh-CN"/>
        </w:rPr>
        <w:t xml:space="preserve">2 </w:t>
      </w:r>
      <w:r>
        <w:rPr>
          <w:rFonts w:hint="eastAsia" w:ascii="宋体" w:hAnsi="宋体" w:eastAsia="宋体" w:cs="宋体"/>
          <w:color w:val="auto"/>
          <w:sz w:val="24"/>
        </w:rPr>
        <w:t>采用多种气源（如天然气、液化石油气、人工煤气等），并优化其组合，提高能源供应的灵活性和可持续性</w:t>
      </w:r>
      <w:r>
        <w:rPr>
          <w:rFonts w:hint="eastAsia" w:ascii="宋体" w:hAnsi="宋体" w:eastAsia="宋体" w:cs="宋体"/>
          <w:color w:val="auto"/>
          <w:sz w:val="24"/>
          <w:lang w:eastAsia="zh-CN"/>
        </w:rPr>
        <w:t>；</w:t>
      </w:r>
    </w:p>
    <w:p w14:paraId="3AEA7FF3">
      <w:pPr>
        <w:numPr>
          <w:ilvl w:val="-1"/>
          <w:numId w:val="0"/>
        </w:numPr>
        <w:spacing w:line="360" w:lineRule="auto"/>
        <w:ind w:left="0" w:leftChars="0" w:firstLine="480" w:firstLineChars="200"/>
        <w:rPr>
          <w:rFonts w:hint="eastAsia" w:ascii="宋体" w:hAnsi="宋体" w:eastAsia="宋体" w:cs="宋体"/>
          <w:color w:val="auto"/>
          <w:sz w:val="24"/>
        </w:rPr>
      </w:pPr>
      <w:r>
        <w:rPr>
          <w:rFonts w:hint="eastAsia" w:ascii="宋体" w:hAnsi="宋体" w:eastAsia="宋体" w:cs="宋体"/>
          <w:color w:val="auto"/>
          <w:sz w:val="24"/>
          <w:lang w:val="en-US" w:eastAsia="zh-CN"/>
        </w:rPr>
        <w:t>3 实现</w:t>
      </w:r>
      <w:r>
        <w:rPr>
          <w:rFonts w:hint="eastAsia" w:ascii="宋体" w:hAnsi="宋体" w:eastAsia="宋体" w:cs="宋体"/>
          <w:color w:val="auto"/>
          <w:sz w:val="24"/>
        </w:rPr>
        <w:t>智能化管理，实时监控燃气系统的运行状态，优化调度，提高能源利用效率</w:t>
      </w:r>
      <w:r>
        <w:rPr>
          <w:rFonts w:hint="eastAsia" w:ascii="宋体" w:hAnsi="宋体" w:eastAsia="宋体" w:cs="宋体"/>
          <w:color w:val="auto"/>
          <w:sz w:val="24"/>
          <w:lang w:eastAsia="zh-CN"/>
        </w:rPr>
        <w:t>；</w:t>
      </w:r>
    </w:p>
    <w:p w14:paraId="1D840156">
      <w:pPr>
        <w:numPr>
          <w:ilvl w:val="-1"/>
          <w:numId w:val="0"/>
        </w:numPr>
        <w:spacing w:line="360" w:lineRule="auto"/>
        <w:ind w:left="0" w:leftChars="0" w:firstLine="492" w:firstLineChars="200"/>
        <w:rPr>
          <w:rFonts w:hint="eastAsia" w:ascii="宋体" w:hAnsi="宋体" w:eastAsia="宋体" w:cs="宋体"/>
          <w:color w:val="auto"/>
          <w:sz w:val="24"/>
          <w:lang w:eastAsia="zh-CN"/>
        </w:rPr>
      </w:pPr>
      <w:r>
        <w:rPr>
          <w:rFonts w:hint="eastAsia" w:ascii="宋体" w:hAnsi="宋体" w:eastAsia="宋体" w:cs="宋体"/>
          <w:color w:val="auto"/>
          <w:spacing w:val="3"/>
          <w:sz w:val="24"/>
          <w:szCs w:val="24"/>
          <w:lang w:val="en-US" w:eastAsia="zh-CN"/>
        </w:rPr>
        <w:t xml:space="preserve">4 </w:t>
      </w:r>
      <w:r>
        <w:rPr>
          <w:rFonts w:hint="eastAsia" w:ascii="宋体" w:hAnsi="宋体" w:eastAsia="宋体" w:cs="宋体"/>
          <w:color w:val="auto"/>
          <w:spacing w:val="3"/>
          <w:sz w:val="24"/>
          <w:szCs w:val="24"/>
        </w:rPr>
        <w:t>使用管道供应燃气的用户设置燃气计量器</w:t>
      </w:r>
      <w:r>
        <w:rPr>
          <w:rFonts w:hint="eastAsia" w:ascii="宋体" w:hAnsi="宋体" w:eastAsia="宋体" w:cs="宋体"/>
          <w:color w:val="auto"/>
          <w:spacing w:val="2"/>
          <w:sz w:val="24"/>
          <w:szCs w:val="24"/>
        </w:rPr>
        <w:t>具</w:t>
      </w:r>
      <w:r>
        <w:rPr>
          <w:rFonts w:hint="eastAsia" w:ascii="宋体" w:hAnsi="宋体" w:eastAsia="宋体" w:cs="宋体"/>
          <w:color w:val="auto"/>
          <w:spacing w:val="2"/>
          <w:sz w:val="24"/>
          <w:szCs w:val="24"/>
          <w:lang w:eastAsia="zh-CN"/>
        </w:rPr>
        <w:t>，</w:t>
      </w:r>
      <w:r>
        <w:rPr>
          <w:rFonts w:hint="eastAsia" w:ascii="宋体" w:hAnsi="宋体" w:eastAsia="宋体" w:cs="宋体"/>
          <w:color w:val="auto"/>
          <w:sz w:val="24"/>
        </w:rPr>
        <w:t>燃气计量表宜具备远传功能</w:t>
      </w:r>
      <w:r>
        <w:rPr>
          <w:rFonts w:hint="eastAsia" w:ascii="宋体" w:hAnsi="宋体" w:eastAsia="宋体" w:cs="宋体"/>
          <w:color w:val="auto"/>
          <w:sz w:val="24"/>
          <w:lang w:eastAsia="zh-CN"/>
        </w:rPr>
        <w:t>。</w:t>
      </w:r>
    </w:p>
    <w:p w14:paraId="6126B221">
      <w:pPr>
        <w:spacing w:line="360" w:lineRule="auto"/>
        <w:rPr>
          <w:rFonts w:hint="eastAsia" w:ascii="宋体" w:hAnsi="宋体" w:eastAsia="宋体" w:cs="宋体"/>
          <w:color w:val="auto"/>
          <w:sz w:val="24"/>
          <w:lang w:val="en-US" w:eastAsia="zh-CN"/>
        </w:rPr>
      </w:pPr>
      <w:r>
        <w:rPr>
          <w:rFonts w:hint="eastAsia" w:ascii="宋体" w:hAnsi="宋体" w:cs="宋体"/>
          <w:color w:val="auto"/>
          <w:sz w:val="24"/>
          <w:lang w:val="en-US" w:eastAsia="zh-CN"/>
        </w:rPr>
        <w:t>B.7</w:t>
      </w:r>
      <w:r>
        <w:rPr>
          <w:rFonts w:hint="eastAsia" w:ascii="宋体" w:hAnsi="宋体" w:eastAsia="宋体" w:cs="宋体"/>
          <w:color w:val="auto"/>
          <w:sz w:val="24"/>
          <w:lang w:val="en-US" w:eastAsia="zh-CN"/>
        </w:rPr>
        <w:t>.</w:t>
      </w:r>
      <w:r>
        <w:rPr>
          <w:rFonts w:hint="eastAsia" w:ascii="宋体" w:hAnsi="宋体" w:cs="宋体"/>
          <w:color w:val="auto"/>
          <w:sz w:val="24"/>
          <w:lang w:val="en-US" w:eastAsia="zh-CN"/>
        </w:rPr>
        <w:t>8</w:t>
      </w:r>
      <w:r>
        <w:rPr>
          <w:rFonts w:hint="eastAsia" w:ascii="宋体" w:hAnsi="宋体" w:eastAsia="宋体" w:cs="宋体"/>
          <w:color w:val="auto"/>
          <w:sz w:val="24"/>
          <w:lang w:val="en-US" w:eastAsia="zh-CN"/>
        </w:rPr>
        <w:t>保证燃气质量、</w:t>
      </w:r>
      <w:r>
        <w:rPr>
          <w:rFonts w:hint="eastAsia" w:ascii="宋体" w:hAnsi="宋体" w:eastAsia="宋体" w:cs="宋体"/>
          <w:color w:val="auto"/>
          <w:sz w:val="24"/>
        </w:rPr>
        <w:t>减少能源浪费和环境污染</w:t>
      </w:r>
      <w:r>
        <w:rPr>
          <w:rFonts w:hint="eastAsia" w:ascii="宋体" w:hAnsi="宋体" w:eastAsia="宋体" w:cs="宋体"/>
          <w:color w:val="auto"/>
          <w:sz w:val="24"/>
          <w:lang w:eastAsia="zh-CN"/>
        </w:rPr>
        <w:t>，</w:t>
      </w:r>
      <w:r>
        <w:rPr>
          <w:rFonts w:hint="eastAsia" w:ascii="宋体" w:hAnsi="宋体" w:cs="宋体"/>
          <w:color w:val="auto"/>
          <w:sz w:val="24"/>
          <w:lang w:val="en-US" w:eastAsia="zh-CN"/>
        </w:rPr>
        <w:t>应按下列</w:t>
      </w:r>
      <w:r>
        <w:rPr>
          <w:rFonts w:hint="eastAsia" w:ascii="宋体" w:hAnsi="宋体" w:eastAsia="宋体" w:cs="宋体"/>
          <w:color w:val="auto"/>
          <w:sz w:val="24"/>
          <w:lang w:val="en-US" w:eastAsia="zh-CN"/>
        </w:rPr>
        <w:t>内容分别评分：</w:t>
      </w:r>
    </w:p>
    <w:p w14:paraId="012F53C3">
      <w:pPr>
        <w:numPr>
          <w:ilvl w:val="-1"/>
          <w:numId w:val="0"/>
        </w:numPr>
        <w:spacing w:line="360" w:lineRule="auto"/>
        <w:ind w:left="0" w:leftChars="0" w:firstLine="480" w:firstLineChars="200"/>
        <w:rPr>
          <w:rFonts w:hint="eastAsia" w:ascii="宋体" w:hAnsi="宋体" w:eastAsia="宋体" w:cs="宋体"/>
          <w:color w:val="auto"/>
          <w:sz w:val="24"/>
          <w:lang w:val="en-US" w:eastAsia="zh-CN"/>
        </w:rPr>
      </w:pPr>
      <w:r>
        <w:rPr>
          <w:rFonts w:hint="eastAsia" w:ascii="宋体" w:hAnsi="宋体" w:eastAsia="宋体" w:cs="宋体"/>
          <w:color w:val="auto"/>
          <w:sz w:val="24"/>
          <w:lang w:val="en-US" w:eastAsia="zh-CN"/>
        </w:rPr>
        <w:t xml:space="preserve">1 </w:t>
      </w:r>
      <w:r>
        <w:rPr>
          <w:rFonts w:hint="eastAsia" w:ascii="宋体" w:hAnsi="宋体" w:eastAsia="宋体" w:cs="宋体"/>
          <w:color w:val="auto"/>
          <w:sz w:val="24"/>
        </w:rPr>
        <w:t>燃气的热值、杂质含量、硫化氢等指标</w:t>
      </w:r>
      <w:r>
        <w:rPr>
          <w:rFonts w:hint="eastAsia" w:ascii="宋体" w:hAnsi="宋体" w:eastAsia="宋体" w:cs="宋体"/>
          <w:color w:val="auto"/>
          <w:sz w:val="24"/>
          <w:lang w:val="en-US" w:eastAsia="zh-CN"/>
        </w:rPr>
        <w:t>符合</w:t>
      </w:r>
      <w:r>
        <w:rPr>
          <w:rFonts w:hint="eastAsia" w:ascii="宋体" w:hAnsi="宋体" w:cs="宋体"/>
          <w:color w:val="auto"/>
          <w:sz w:val="24"/>
          <w:lang w:val="en-US" w:eastAsia="zh-CN"/>
        </w:rPr>
        <w:t>现行国家标准</w:t>
      </w:r>
      <w:r>
        <w:rPr>
          <w:rFonts w:hint="eastAsia" w:ascii="宋体" w:hAnsi="宋体" w:eastAsia="宋体" w:cs="宋体"/>
          <w:color w:val="auto"/>
          <w:sz w:val="24"/>
          <w:lang w:val="en-US" w:eastAsia="zh-CN"/>
        </w:rPr>
        <w:t>《燃气工程项目规范》GB555009</w:t>
      </w:r>
      <w:r>
        <w:rPr>
          <w:rFonts w:hint="eastAsia" w:ascii="宋体" w:hAnsi="宋体" w:cs="宋体"/>
          <w:color w:val="auto"/>
          <w:sz w:val="24"/>
          <w:lang w:val="en-US" w:eastAsia="zh-CN"/>
        </w:rPr>
        <w:t>的有关规定</w:t>
      </w:r>
      <w:r>
        <w:rPr>
          <w:rFonts w:hint="eastAsia" w:ascii="宋体" w:hAnsi="宋体" w:eastAsia="宋体" w:cs="宋体"/>
          <w:color w:val="auto"/>
          <w:sz w:val="24"/>
          <w:lang w:val="en-US" w:eastAsia="zh-CN"/>
        </w:rPr>
        <w:t>；</w:t>
      </w:r>
    </w:p>
    <w:p w14:paraId="484590D9">
      <w:pPr>
        <w:numPr>
          <w:ilvl w:val="-1"/>
          <w:numId w:val="0"/>
        </w:numPr>
        <w:spacing w:line="360" w:lineRule="auto"/>
        <w:ind w:left="0" w:leftChars="0"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 xml:space="preserve">2 </w:t>
      </w:r>
      <w:r>
        <w:rPr>
          <w:rFonts w:hint="eastAsia" w:ascii="宋体" w:hAnsi="宋体" w:eastAsia="宋体" w:cs="宋体"/>
          <w:color w:val="auto"/>
          <w:sz w:val="24"/>
          <w:highlight w:val="none"/>
        </w:rPr>
        <w:t>家庭用户不得使用直排式燃气热水器</w:t>
      </w:r>
      <w:r>
        <w:rPr>
          <w:rFonts w:hint="eastAsia" w:ascii="宋体" w:hAnsi="宋体" w:eastAsia="宋体" w:cs="宋体"/>
          <w:color w:val="auto"/>
          <w:sz w:val="24"/>
          <w:highlight w:val="none"/>
          <w:lang w:eastAsia="zh-CN"/>
        </w:rPr>
        <w:t>；</w:t>
      </w:r>
    </w:p>
    <w:p w14:paraId="1855D054">
      <w:pPr>
        <w:numPr>
          <w:ilvl w:val="-1"/>
          <w:numId w:val="0"/>
        </w:numPr>
        <w:spacing w:line="360" w:lineRule="auto"/>
        <w:ind w:left="0" w:leftChars="0"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 xml:space="preserve">3 </w:t>
      </w:r>
      <w:r>
        <w:rPr>
          <w:rFonts w:hint="eastAsia" w:ascii="宋体" w:hAnsi="宋体" w:eastAsia="宋体" w:cs="宋体"/>
          <w:color w:val="auto"/>
          <w:sz w:val="24"/>
          <w:highlight w:val="none"/>
        </w:rPr>
        <w:t>不得使用燃气燃烧直接取暖的设备</w:t>
      </w:r>
      <w:r>
        <w:rPr>
          <w:rFonts w:hint="eastAsia" w:ascii="宋体" w:hAnsi="宋体" w:eastAsia="宋体" w:cs="宋体"/>
          <w:color w:val="auto"/>
          <w:sz w:val="24"/>
          <w:highlight w:val="none"/>
          <w:lang w:eastAsia="zh-CN"/>
        </w:rPr>
        <w:t>。</w:t>
      </w:r>
    </w:p>
    <w:p w14:paraId="220B77A2">
      <w:pPr>
        <w:spacing w:line="360" w:lineRule="auto"/>
        <w:rPr>
          <w:rFonts w:hint="eastAsia" w:ascii="宋体" w:hAnsi="宋体" w:eastAsia="宋体" w:cs="宋体"/>
          <w:color w:val="auto"/>
          <w:sz w:val="24"/>
          <w:lang w:val="en-US" w:eastAsia="zh-CN"/>
        </w:rPr>
      </w:pPr>
      <w:r>
        <w:rPr>
          <w:rFonts w:hint="eastAsia" w:ascii="宋体" w:hAnsi="宋体" w:cs="宋体"/>
          <w:color w:val="auto"/>
          <w:sz w:val="24"/>
          <w:lang w:val="en-US" w:eastAsia="zh-CN"/>
        </w:rPr>
        <w:t>B.7</w:t>
      </w:r>
      <w:r>
        <w:rPr>
          <w:rFonts w:hint="eastAsia" w:ascii="宋体" w:hAnsi="宋体" w:eastAsia="宋体" w:cs="宋体"/>
          <w:color w:val="auto"/>
          <w:sz w:val="24"/>
          <w:lang w:val="en-US" w:eastAsia="zh-CN"/>
        </w:rPr>
        <w:t>.</w:t>
      </w:r>
      <w:r>
        <w:rPr>
          <w:rFonts w:hint="eastAsia" w:ascii="宋体" w:hAnsi="宋体" w:cs="宋体"/>
          <w:color w:val="auto"/>
          <w:sz w:val="24"/>
          <w:lang w:val="en-US" w:eastAsia="zh-CN"/>
        </w:rPr>
        <w:t>9</w:t>
      </w:r>
      <w:r>
        <w:rPr>
          <w:rFonts w:hint="eastAsia" w:ascii="宋体" w:hAnsi="宋体" w:eastAsia="宋体" w:cs="宋体"/>
          <w:color w:val="auto"/>
          <w:sz w:val="24"/>
          <w:lang w:val="en-US" w:eastAsia="zh-CN"/>
        </w:rPr>
        <w:t>燃气设施、</w:t>
      </w:r>
      <w:r>
        <w:rPr>
          <w:rFonts w:hint="eastAsia" w:ascii="宋体" w:hAnsi="宋体" w:eastAsia="宋体" w:cs="宋体"/>
          <w:color w:val="auto"/>
          <w:sz w:val="24"/>
        </w:rPr>
        <w:t>设备</w:t>
      </w:r>
      <w:r>
        <w:rPr>
          <w:rFonts w:hint="eastAsia" w:ascii="宋体" w:hAnsi="宋体" w:eastAsia="宋体" w:cs="宋体"/>
          <w:color w:val="auto"/>
          <w:sz w:val="24"/>
          <w:lang w:val="en-US" w:eastAsia="zh-CN"/>
        </w:rPr>
        <w:t>与</w:t>
      </w:r>
      <w:r>
        <w:rPr>
          <w:rFonts w:hint="eastAsia" w:ascii="宋体" w:hAnsi="宋体" w:eastAsia="宋体" w:cs="宋体"/>
          <w:color w:val="auto"/>
          <w:sz w:val="24"/>
        </w:rPr>
        <w:t>管道</w:t>
      </w:r>
      <w:r>
        <w:rPr>
          <w:rFonts w:hint="eastAsia" w:ascii="宋体" w:hAnsi="宋体" w:eastAsia="宋体" w:cs="宋体"/>
          <w:color w:val="auto"/>
          <w:sz w:val="24"/>
          <w:lang w:val="en-US" w:eastAsia="zh-CN"/>
        </w:rPr>
        <w:t>的材料选用</w:t>
      </w:r>
      <w:r>
        <w:rPr>
          <w:rFonts w:hint="eastAsia" w:ascii="宋体" w:hAnsi="宋体" w:eastAsia="宋体" w:cs="宋体"/>
          <w:color w:val="auto"/>
          <w:sz w:val="24"/>
          <w:lang w:eastAsia="zh-CN"/>
        </w:rPr>
        <w:t>，</w:t>
      </w:r>
      <w:r>
        <w:rPr>
          <w:rFonts w:hint="eastAsia" w:ascii="宋体" w:hAnsi="宋体" w:cs="宋体"/>
          <w:color w:val="auto"/>
          <w:sz w:val="24"/>
          <w:lang w:val="en-US" w:eastAsia="zh-CN"/>
        </w:rPr>
        <w:t>应按下列</w:t>
      </w:r>
      <w:r>
        <w:rPr>
          <w:rFonts w:hint="eastAsia" w:ascii="宋体" w:hAnsi="宋体" w:eastAsia="宋体" w:cs="宋体"/>
          <w:color w:val="auto"/>
          <w:sz w:val="24"/>
          <w:lang w:val="en-US" w:eastAsia="zh-CN"/>
        </w:rPr>
        <w:t>内容分别评分：</w:t>
      </w:r>
    </w:p>
    <w:p w14:paraId="1A687E3F">
      <w:pPr>
        <w:numPr>
          <w:ilvl w:val="-1"/>
          <w:numId w:val="0"/>
        </w:numPr>
        <w:spacing w:line="360" w:lineRule="auto"/>
        <w:ind w:left="0" w:leftChars="0" w:firstLine="480" w:firstLineChars="200"/>
        <w:rPr>
          <w:rFonts w:hint="eastAsia" w:ascii="宋体" w:hAnsi="宋体" w:eastAsia="宋体" w:cs="宋体"/>
          <w:color w:val="auto"/>
          <w:sz w:val="24"/>
          <w:lang w:eastAsia="zh-CN"/>
        </w:rPr>
      </w:pPr>
      <w:r>
        <w:rPr>
          <w:rFonts w:hint="eastAsia" w:ascii="宋体" w:hAnsi="宋体" w:eastAsia="宋体" w:cs="宋体"/>
          <w:color w:val="auto"/>
          <w:sz w:val="24"/>
          <w:lang w:val="en-US" w:eastAsia="zh-CN"/>
        </w:rPr>
        <w:t xml:space="preserve">1 </w:t>
      </w:r>
      <w:r>
        <w:rPr>
          <w:rFonts w:hint="eastAsia" w:ascii="宋体" w:hAnsi="宋体" w:eastAsia="宋体" w:cs="宋体"/>
          <w:color w:val="auto"/>
          <w:sz w:val="24"/>
        </w:rPr>
        <w:t>燃气设施的材料和设备满足节能环保</w:t>
      </w:r>
      <w:r>
        <w:rPr>
          <w:rFonts w:hint="eastAsia" w:ascii="宋体" w:hAnsi="宋体" w:eastAsia="宋体" w:cs="宋体"/>
          <w:color w:val="auto"/>
          <w:sz w:val="24"/>
          <w:lang w:val="en-US" w:eastAsia="zh-CN"/>
        </w:rPr>
        <w:t>要求，</w:t>
      </w:r>
      <w:r>
        <w:rPr>
          <w:rFonts w:hint="eastAsia" w:ascii="宋体" w:hAnsi="宋体" w:eastAsia="宋体" w:cs="宋体"/>
          <w:color w:val="auto"/>
          <w:sz w:val="24"/>
        </w:rPr>
        <w:t>用高效的保温材料、节能型设备</w:t>
      </w:r>
      <w:r>
        <w:rPr>
          <w:rFonts w:hint="eastAsia" w:ascii="宋体" w:hAnsi="宋体" w:eastAsia="宋体" w:cs="宋体"/>
          <w:color w:val="auto"/>
          <w:sz w:val="24"/>
          <w:lang w:eastAsia="zh-CN"/>
        </w:rPr>
        <w:t>；</w:t>
      </w:r>
    </w:p>
    <w:p w14:paraId="4C9948EA">
      <w:pPr>
        <w:numPr>
          <w:ilvl w:val="-1"/>
          <w:numId w:val="0"/>
        </w:numPr>
        <w:spacing w:line="360" w:lineRule="auto"/>
        <w:ind w:left="0" w:leftChars="0" w:firstLine="480" w:firstLineChars="200"/>
        <w:rPr>
          <w:rFonts w:hint="eastAsia" w:ascii="宋体" w:hAnsi="宋体" w:eastAsia="宋体" w:cs="宋体"/>
          <w:color w:val="auto"/>
          <w:sz w:val="24"/>
          <w:lang w:eastAsia="zh-CN"/>
        </w:rPr>
      </w:pPr>
      <w:r>
        <w:rPr>
          <w:rFonts w:hint="eastAsia" w:ascii="宋体" w:hAnsi="宋体" w:eastAsia="宋体" w:cs="宋体"/>
          <w:color w:val="auto"/>
          <w:sz w:val="24"/>
          <w:lang w:val="en-US" w:eastAsia="zh-CN"/>
        </w:rPr>
        <w:t xml:space="preserve">2 </w:t>
      </w:r>
      <w:r>
        <w:rPr>
          <w:rFonts w:hint="eastAsia" w:ascii="宋体" w:hAnsi="宋体" w:eastAsia="宋体" w:cs="宋体"/>
          <w:color w:val="auto"/>
          <w:sz w:val="24"/>
        </w:rPr>
        <w:t>燃气管道及附属设施选用耐腐蚀、长寿命材料</w:t>
      </w:r>
      <w:r>
        <w:rPr>
          <w:rFonts w:hint="eastAsia" w:ascii="宋体" w:hAnsi="宋体" w:eastAsia="宋体" w:cs="宋体"/>
          <w:color w:val="auto"/>
          <w:sz w:val="24"/>
          <w:lang w:eastAsia="zh-CN"/>
        </w:rPr>
        <w:t>。</w:t>
      </w:r>
    </w:p>
    <w:p w14:paraId="4BA697F6">
      <w:pPr>
        <w:spacing w:line="360" w:lineRule="auto"/>
        <w:rPr>
          <w:rFonts w:hint="eastAsia" w:ascii="宋体" w:hAnsi="宋体" w:eastAsia="宋体" w:cs="宋体"/>
          <w:color w:val="auto"/>
          <w:sz w:val="24"/>
          <w:lang w:val="en-US" w:eastAsia="zh-CN"/>
        </w:rPr>
      </w:pPr>
      <w:r>
        <w:rPr>
          <w:rFonts w:hint="eastAsia" w:ascii="宋体" w:hAnsi="宋体" w:cs="宋体"/>
          <w:color w:val="auto"/>
          <w:sz w:val="24"/>
          <w:lang w:val="en-US" w:eastAsia="zh-CN"/>
        </w:rPr>
        <w:t>B.7</w:t>
      </w:r>
      <w:r>
        <w:rPr>
          <w:rFonts w:hint="eastAsia" w:ascii="宋体" w:hAnsi="宋体" w:eastAsia="宋体" w:cs="宋体"/>
          <w:color w:val="auto"/>
          <w:sz w:val="24"/>
          <w:lang w:val="en-US" w:eastAsia="zh-CN"/>
        </w:rPr>
        <w:t>.</w:t>
      </w:r>
      <w:r>
        <w:rPr>
          <w:rFonts w:hint="eastAsia" w:ascii="宋体" w:hAnsi="宋体" w:cs="宋体"/>
          <w:color w:val="auto"/>
          <w:sz w:val="24"/>
          <w:lang w:val="en-US" w:eastAsia="zh-CN"/>
        </w:rPr>
        <w:t>10</w:t>
      </w:r>
      <w:r>
        <w:rPr>
          <w:rFonts w:hint="eastAsia" w:ascii="宋体" w:hAnsi="宋体" w:eastAsia="宋体" w:cs="宋体"/>
          <w:color w:val="auto"/>
          <w:sz w:val="24"/>
          <w:lang w:val="en-US" w:eastAsia="zh-CN"/>
        </w:rPr>
        <w:t>减少施工对社区的影响，</w:t>
      </w:r>
      <w:r>
        <w:rPr>
          <w:rFonts w:hint="eastAsia" w:ascii="宋体" w:hAnsi="宋体" w:cs="宋体"/>
          <w:color w:val="auto"/>
          <w:sz w:val="24"/>
          <w:lang w:val="en-US" w:eastAsia="zh-CN"/>
        </w:rPr>
        <w:t>应按下列</w:t>
      </w:r>
      <w:r>
        <w:rPr>
          <w:rFonts w:hint="eastAsia" w:ascii="宋体" w:hAnsi="宋体" w:eastAsia="宋体" w:cs="宋体"/>
          <w:color w:val="auto"/>
          <w:sz w:val="24"/>
          <w:lang w:val="en-US" w:eastAsia="zh-CN"/>
        </w:rPr>
        <w:t>内容分别评分：</w:t>
      </w:r>
    </w:p>
    <w:p w14:paraId="09700808">
      <w:pPr>
        <w:numPr>
          <w:ilvl w:val="-1"/>
          <w:numId w:val="0"/>
        </w:numPr>
        <w:spacing w:line="360" w:lineRule="auto"/>
        <w:ind w:left="0" w:leftChars="0" w:firstLine="480" w:firstLineChars="200"/>
        <w:rPr>
          <w:rFonts w:hint="eastAsia" w:ascii="宋体" w:hAnsi="宋体" w:eastAsia="宋体" w:cs="宋体"/>
          <w:color w:val="auto"/>
          <w:sz w:val="24"/>
          <w:lang w:val="en-US" w:eastAsia="zh-CN"/>
        </w:rPr>
      </w:pPr>
      <w:r>
        <w:rPr>
          <w:rFonts w:hint="eastAsia" w:ascii="宋体" w:hAnsi="宋体" w:eastAsia="宋体" w:cs="宋体"/>
          <w:color w:val="auto"/>
          <w:sz w:val="24"/>
          <w:lang w:val="en-US" w:eastAsia="zh-CN"/>
        </w:rPr>
        <w:t>1 施工过程中避免对建筑物结构和防火性能造成损坏；</w:t>
      </w:r>
    </w:p>
    <w:p w14:paraId="6712E49C">
      <w:pPr>
        <w:numPr>
          <w:ilvl w:val="-1"/>
          <w:numId w:val="0"/>
        </w:numPr>
        <w:spacing w:line="360" w:lineRule="auto"/>
        <w:ind w:left="0" w:leftChars="0" w:firstLine="480" w:firstLineChars="200"/>
        <w:rPr>
          <w:rFonts w:hint="eastAsia" w:ascii="宋体" w:hAnsi="宋体" w:eastAsia="宋体" w:cs="宋体"/>
          <w:color w:val="auto"/>
          <w:sz w:val="24"/>
          <w:lang w:val="en-US" w:eastAsia="zh-CN"/>
        </w:rPr>
      </w:pPr>
      <w:r>
        <w:rPr>
          <w:rFonts w:hint="eastAsia" w:ascii="宋体" w:hAnsi="宋体" w:eastAsia="宋体" w:cs="宋体"/>
          <w:color w:val="auto"/>
          <w:sz w:val="24"/>
          <w:lang w:val="en-US" w:eastAsia="zh-CN"/>
        </w:rPr>
        <w:t>2 在燃气管道安装过程中采取必要的安全措施，如焊接时的防护措施，减少对社区居民生活的影响。</w:t>
      </w:r>
    </w:p>
    <w:p w14:paraId="22495A26">
      <w:pPr>
        <w:spacing w:line="360" w:lineRule="auto"/>
        <w:rPr>
          <w:rFonts w:hint="eastAsia" w:ascii="宋体" w:hAnsi="宋体" w:eastAsia="宋体" w:cs="宋体"/>
          <w:color w:val="auto"/>
          <w:sz w:val="24"/>
          <w:lang w:val="en-US" w:eastAsia="zh-CN"/>
        </w:rPr>
      </w:pPr>
      <w:r>
        <w:rPr>
          <w:rFonts w:hint="eastAsia" w:ascii="宋体" w:hAnsi="宋体" w:cs="宋体"/>
          <w:color w:val="auto"/>
          <w:sz w:val="24"/>
          <w:lang w:val="en-US" w:eastAsia="zh-CN"/>
        </w:rPr>
        <w:t>B.7</w:t>
      </w:r>
      <w:r>
        <w:rPr>
          <w:rFonts w:hint="eastAsia" w:ascii="宋体" w:hAnsi="宋体" w:eastAsia="宋体" w:cs="宋体"/>
          <w:color w:val="auto"/>
          <w:sz w:val="24"/>
          <w:lang w:val="en-US" w:eastAsia="zh-CN"/>
        </w:rPr>
        <w:t>.</w:t>
      </w:r>
      <w:r>
        <w:rPr>
          <w:rFonts w:hint="eastAsia" w:ascii="宋体" w:hAnsi="宋体" w:cs="宋体"/>
          <w:color w:val="auto"/>
          <w:sz w:val="24"/>
          <w:lang w:val="en-US" w:eastAsia="zh-CN"/>
        </w:rPr>
        <w:t>11</w:t>
      </w:r>
      <w:r>
        <w:rPr>
          <w:rFonts w:hint="eastAsia" w:ascii="宋体" w:hAnsi="宋体" w:eastAsia="宋体" w:cs="宋体"/>
          <w:color w:val="auto"/>
          <w:sz w:val="24"/>
          <w:lang w:val="en-US" w:eastAsia="zh-CN"/>
        </w:rPr>
        <w:t xml:space="preserve"> 燃气经营企业</w:t>
      </w:r>
      <w:r>
        <w:rPr>
          <w:rFonts w:hint="eastAsia" w:ascii="宋体" w:hAnsi="宋体" w:cs="宋体"/>
          <w:color w:val="auto"/>
          <w:sz w:val="24"/>
          <w:lang w:val="en-US" w:eastAsia="zh-CN"/>
        </w:rPr>
        <w:t>应</w:t>
      </w:r>
      <w:r>
        <w:rPr>
          <w:rFonts w:hint="eastAsia" w:ascii="宋体" w:hAnsi="宋体" w:eastAsia="宋体" w:cs="宋体"/>
          <w:color w:val="auto"/>
          <w:sz w:val="24"/>
          <w:lang w:val="en-US" w:eastAsia="zh-CN"/>
        </w:rPr>
        <w:t>建立质量检测制度，定期检测燃气质量，保障用户安全，向用户提供符合</w:t>
      </w:r>
      <w:r>
        <w:rPr>
          <w:rFonts w:hint="eastAsia" w:ascii="宋体" w:hAnsi="宋体" w:cs="宋体"/>
          <w:color w:val="auto"/>
          <w:sz w:val="24"/>
          <w:lang w:val="en-US" w:eastAsia="zh-CN"/>
        </w:rPr>
        <w:t>现行国家标准</w:t>
      </w:r>
      <w:r>
        <w:rPr>
          <w:rFonts w:hint="eastAsia" w:ascii="宋体" w:hAnsi="宋体" w:eastAsia="宋体" w:cs="宋体"/>
          <w:color w:val="auto"/>
          <w:sz w:val="24"/>
          <w:lang w:val="en-US" w:eastAsia="zh-CN"/>
        </w:rPr>
        <w:t>的燃气。</w:t>
      </w:r>
    </w:p>
    <w:p w14:paraId="7F857134">
      <w:pPr>
        <w:spacing w:line="360" w:lineRule="auto"/>
        <w:ind w:left="0" w:leftChars="0" w:firstLine="0" w:firstLineChars="0"/>
        <w:rPr>
          <w:rFonts w:hint="eastAsia" w:ascii="宋体" w:hAnsi="宋体" w:eastAsia="宋体" w:cs="宋体"/>
          <w:color w:val="auto"/>
          <w:sz w:val="24"/>
          <w:lang w:val="en-US" w:eastAsia="zh-CN"/>
        </w:rPr>
      </w:pPr>
      <w:r>
        <w:rPr>
          <w:rFonts w:hint="eastAsia" w:ascii="宋体" w:hAnsi="宋体" w:cs="宋体"/>
          <w:color w:val="auto"/>
          <w:sz w:val="24"/>
          <w:lang w:val="en-US" w:eastAsia="zh-CN"/>
        </w:rPr>
        <w:t>B.7</w:t>
      </w:r>
      <w:r>
        <w:rPr>
          <w:rFonts w:hint="eastAsia" w:ascii="宋体" w:hAnsi="宋体" w:eastAsia="宋体" w:cs="宋体"/>
          <w:color w:val="auto"/>
          <w:sz w:val="24"/>
          <w:lang w:val="en-US" w:eastAsia="zh-CN"/>
        </w:rPr>
        <w:t>.</w:t>
      </w:r>
      <w:r>
        <w:rPr>
          <w:rFonts w:hint="eastAsia" w:ascii="宋体" w:hAnsi="宋体" w:cs="宋体"/>
          <w:color w:val="auto"/>
          <w:sz w:val="24"/>
          <w:lang w:val="en-US" w:eastAsia="zh-CN"/>
        </w:rPr>
        <w:t>12</w:t>
      </w:r>
      <w:r>
        <w:rPr>
          <w:rFonts w:hint="eastAsia" w:ascii="宋体" w:hAnsi="宋体" w:eastAsia="宋体" w:cs="宋体"/>
          <w:color w:val="auto"/>
          <w:sz w:val="24"/>
          <w:lang w:val="en-US" w:eastAsia="zh-CN"/>
        </w:rPr>
        <w:t xml:space="preserve"> 燃气设施运行、维护和抢修符合</w:t>
      </w:r>
      <w:r>
        <w:rPr>
          <w:rFonts w:hint="eastAsia" w:ascii="宋体" w:hAnsi="宋体" w:cs="宋体"/>
          <w:color w:val="auto"/>
          <w:sz w:val="24"/>
          <w:lang w:val="en-US" w:eastAsia="zh-CN"/>
        </w:rPr>
        <w:t>现行行业标准</w:t>
      </w:r>
      <w:r>
        <w:rPr>
          <w:rFonts w:hint="eastAsia" w:ascii="宋体" w:hAnsi="宋体" w:eastAsia="宋体" w:cs="宋体"/>
          <w:color w:val="auto"/>
          <w:sz w:val="24"/>
          <w:lang w:val="en-US" w:eastAsia="zh-CN"/>
        </w:rPr>
        <w:t>要求，</w:t>
      </w:r>
      <w:r>
        <w:rPr>
          <w:rFonts w:hint="eastAsia" w:ascii="宋体" w:hAnsi="宋体" w:cs="宋体"/>
          <w:color w:val="auto"/>
          <w:sz w:val="24"/>
          <w:lang w:val="en-US" w:eastAsia="zh-CN"/>
        </w:rPr>
        <w:t>应按下列</w:t>
      </w:r>
      <w:r>
        <w:rPr>
          <w:rFonts w:hint="eastAsia" w:ascii="宋体" w:hAnsi="宋体" w:eastAsia="宋体" w:cs="宋体"/>
          <w:color w:val="auto"/>
          <w:sz w:val="24"/>
          <w:lang w:val="en-US" w:eastAsia="zh-CN"/>
        </w:rPr>
        <w:t>内容评分：</w:t>
      </w:r>
    </w:p>
    <w:p w14:paraId="23981511">
      <w:pPr>
        <w:numPr>
          <w:ilvl w:val="-1"/>
          <w:numId w:val="0"/>
        </w:numPr>
        <w:spacing w:line="360" w:lineRule="auto"/>
        <w:ind w:left="0" w:leftChars="0" w:firstLine="480" w:firstLineChars="200"/>
        <w:rPr>
          <w:rFonts w:hint="eastAsia" w:ascii="宋体" w:hAnsi="宋体" w:eastAsia="宋体" w:cs="宋体"/>
          <w:color w:val="auto"/>
          <w:sz w:val="24"/>
          <w:lang w:val="en-US" w:eastAsia="zh-CN"/>
        </w:rPr>
      </w:pPr>
      <w:r>
        <w:rPr>
          <w:rFonts w:hint="eastAsia" w:ascii="宋体" w:hAnsi="宋体" w:eastAsia="宋体" w:cs="宋体"/>
          <w:color w:val="auto"/>
          <w:sz w:val="24"/>
          <w:lang w:val="en-US" w:eastAsia="zh-CN"/>
        </w:rPr>
        <w:t>1 对燃气设施包括管道、设备、监控系统进行定期检查和维护；</w:t>
      </w:r>
    </w:p>
    <w:p w14:paraId="02C14BD3">
      <w:pPr>
        <w:numPr>
          <w:ilvl w:val="-1"/>
          <w:numId w:val="0"/>
        </w:numPr>
        <w:spacing w:line="360" w:lineRule="auto"/>
        <w:ind w:left="0" w:leftChars="0" w:firstLine="480" w:firstLineChars="200"/>
        <w:rPr>
          <w:rFonts w:hint="eastAsia" w:ascii="宋体" w:hAnsi="宋体" w:eastAsia="宋体" w:cs="宋体"/>
          <w:color w:val="auto"/>
          <w:sz w:val="24"/>
          <w:lang w:val="en-US" w:eastAsia="zh-CN"/>
        </w:rPr>
      </w:pPr>
      <w:r>
        <w:rPr>
          <w:rFonts w:hint="eastAsia" w:ascii="宋体" w:hAnsi="宋体" w:eastAsia="宋体" w:cs="宋体"/>
          <w:color w:val="auto"/>
          <w:sz w:val="24"/>
          <w:lang w:val="en-US" w:eastAsia="zh-CN"/>
        </w:rPr>
        <w:t>2 对于调压装置、加臭装置、储气柜等关键设备，定期进行维护保养，并制定分级维护保养制度；</w:t>
      </w:r>
    </w:p>
    <w:p w14:paraId="02D87E33">
      <w:pPr>
        <w:numPr>
          <w:ilvl w:val="-1"/>
          <w:numId w:val="0"/>
        </w:numPr>
        <w:spacing w:line="360" w:lineRule="auto"/>
        <w:ind w:left="0" w:leftChars="0" w:firstLine="480" w:firstLineChars="200"/>
        <w:rPr>
          <w:rFonts w:hint="eastAsia" w:ascii="宋体" w:hAnsi="宋体" w:eastAsia="宋体" w:cs="宋体"/>
          <w:color w:val="auto"/>
          <w:sz w:val="24"/>
          <w:lang w:val="en-US" w:eastAsia="zh-CN"/>
        </w:rPr>
      </w:pPr>
      <w:r>
        <w:rPr>
          <w:rFonts w:hint="eastAsia" w:ascii="宋体" w:hAnsi="宋体" w:eastAsia="宋体" w:cs="宋体"/>
          <w:color w:val="auto"/>
          <w:sz w:val="24"/>
          <w:lang w:val="en-US" w:eastAsia="zh-CN"/>
        </w:rPr>
        <w:t>3 对燃气安全事故进行统计分析，并制定事故等级标准；</w:t>
      </w:r>
    </w:p>
    <w:p w14:paraId="41462424">
      <w:pPr>
        <w:numPr>
          <w:ilvl w:val="-1"/>
          <w:numId w:val="0"/>
        </w:numPr>
        <w:spacing w:line="360" w:lineRule="auto"/>
        <w:ind w:left="0" w:leftChars="0" w:firstLine="480" w:firstLineChars="200"/>
        <w:rPr>
          <w:rFonts w:hint="eastAsia" w:ascii="宋体" w:hAnsi="宋体" w:eastAsia="宋体" w:cs="宋体"/>
          <w:color w:val="auto"/>
          <w:sz w:val="24"/>
          <w:lang w:val="en-US" w:eastAsia="zh-CN"/>
        </w:rPr>
      </w:pPr>
      <w:r>
        <w:rPr>
          <w:rFonts w:hint="eastAsia" w:ascii="宋体" w:hAnsi="宋体" w:eastAsia="宋体" w:cs="宋体"/>
          <w:color w:val="auto"/>
          <w:sz w:val="24"/>
          <w:lang w:val="en-US" w:eastAsia="zh-CN"/>
        </w:rPr>
        <w:t>4 对于抢修后的设施，要求进行全面检查，确保安全后方可恢复供气。</w:t>
      </w:r>
    </w:p>
    <w:p w14:paraId="1BF124BA">
      <w:pPr>
        <w:spacing w:line="360" w:lineRule="auto"/>
        <w:rPr>
          <w:rFonts w:hint="eastAsia" w:ascii="宋体" w:hAnsi="宋体" w:eastAsia="宋体" w:cs="宋体"/>
          <w:color w:val="auto"/>
          <w:sz w:val="24"/>
          <w:lang w:val="en-US" w:eastAsia="zh-CN"/>
        </w:rPr>
      </w:pPr>
      <w:r>
        <w:rPr>
          <w:rFonts w:hint="eastAsia" w:ascii="宋体" w:hAnsi="宋体" w:cs="宋体"/>
          <w:color w:val="auto"/>
          <w:sz w:val="24"/>
          <w:lang w:val="en-US" w:eastAsia="zh-CN"/>
        </w:rPr>
        <w:t>B.7</w:t>
      </w:r>
      <w:r>
        <w:rPr>
          <w:rFonts w:hint="eastAsia" w:ascii="宋体" w:hAnsi="宋体" w:eastAsia="宋体" w:cs="宋体"/>
          <w:color w:val="auto"/>
          <w:sz w:val="24"/>
          <w:lang w:val="en-US" w:eastAsia="zh-CN"/>
        </w:rPr>
        <w:t>.</w:t>
      </w:r>
      <w:r>
        <w:rPr>
          <w:rFonts w:hint="eastAsia" w:ascii="宋体" w:hAnsi="宋体" w:cs="宋体"/>
          <w:color w:val="auto"/>
          <w:sz w:val="24"/>
          <w:lang w:val="en-US" w:eastAsia="zh-CN"/>
        </w:rPr>
        <w:t>13</w:t>
      </w:r>
      <w:r>
        <w:rPr>
          <w:rFonts w:hint="eastAsia" w:ascii="宋体" w:hAnsi="宋体" w:eastAsia="宋体" w:cs="宋体"/>
          <w:color w:val="auto"/>
          <w:sz w:val="24"/>
          <w:lang w:val="en-US" w:eastAsia="zh-CN"/>
        </w:rPr>
        <w:t>从事燃气经营活动的企业</w:t>
      </w:r>
      <w:r>
        <w:rPr>
          <w:rFonts w:hint="eastAsia" w:ascii="宋体" w:hAnsi="宋体" w:cs="宋体"/>
          <w:color w:val="auto"/>
          <w:sz w:val="24"/>
          <w:lang w:val="en-US" w:eastAsia="zh-CN"/>
        </w:rPr>
        <w:t>应</w:t>
      </w:r>
      <w:r>
        <w:rPr>
          <w:rFonts w:hint="eastAsia" w:ascii="宋体" w:hAnsi="宋体" w:eastAsia="宋体" w:cs="宋体"/>
          <w:color w:val="auto"/>
          <w:sz w:val="24"/>
          <w:lang w:val="en-US" w:eastAsia="zh-CN"/>
        </w:rPr>
        <w:t>具备与业务规模相适应的偿债和抗风险能力。</w:t>
      </w:r>
    </w:p>
    <w:p w14:paraId="18D5C13E">
      <w:pPr>
        <w:spacing w:line="360" w:lineRule="auto"/>
        <w:rPr>
          <w:rFonts w:hint="eastAsia" w:ascii="宋体" w:hAnsi="宋体" w:eastAsia="宋体" w:cs="宋体"/>
          <w:color w:val="auto"/>
          <w:sz w:val="24"/>
          <w:lang w:val="en-US" w:eastAsia="zh-CN"/>
        </w:rPr>
      </w:pPr>
      <w:r>
        <w:rPr>
          <w:rFonts w:hint="eastAsia" w:ascii="宋体" w:hAnsi="宋体" w:cs="宋体"/>
          <w:color w:val="auto"/>
          <w:sz w:val="24"/>
          <w:lang w:val="en-US" w:eastAsia="zh-CN"/>
        </w:rPr>
        <w:t>B.7</w:t>
      </w:r>
      <w:r>
        <w:rPr>
          <w:rFonts w:hint="eastAsia" w:ascii="宋体" w:hAnsi="宋体" w:eastAsia="宋体" w:cs="宋体"/>
          <w:color w:val="auto"/>
          <w:sz w:val="24"/>
          <w:lang w:val="en-US" w:eastAsia="zh-CN"/>
        </w:rPr>
        <w:t>.</w:t>
      </w:r>
      <w:r>
        <w:rPr>
          <w:rFonts w:hint="eastAsia" w:ascii="宋体" w:hAnsi="宋体" w:cs="宋体"/>
          <w:color w:val="auto"/>
          <w:sz w:val="24"/>
          <w:lang w:val="en-US" w:eastAsia="zh-CN"/>
        </w:rPr>
        <w:t>14</w:t>
      </w:r>
      <w:r>
        <w:rPr>
          <w:rFonts w:hint="eastAsia" w:ascii="宋体" w:hAnsi="宋体" w:eastAsia="宋体" w:cs="宋体"/>
          <w:color w:val="auto"/>
          <w:sz w:val="24"/>
          <w:lang w:val="en-US" w:eastAsia="zh-CN"/>
        </w:rPr>
        <w:t>燃气供应企业</w:t>
      </w:r>
      <w:r>
        <w:rPr>
          <w:rFonts w:hint="eastAsia" w:ascii="宋体" w:hAnsi="宋体" w:cs="宋体"/>
          <w:color w:val="auto"/>
          <w:sz w:val="24"/>
          <w:lang w:val="en-US" w:eastAsia="zh-CN"/>
        </w:rPr>
        <w:t>应</w:t>
      </w:r>
      <w:r>
        <w:rPr>
          <w:rFonts w:hint="eastAsia" w:ascii="宋体" w:hAnsi="宋体" w:eastAsia="宋体" w:cs="宋体"/>
          <w:color w:val="auto"/>
          <w:sz w:val="24"/>
          <w:lang w:val="en-US" w:eastAsia="zh-CN"/>
        </w:rPr>
        <w:t>具备维持正常运营和保障安全生产条件所需的资金投入。</w:t>
      </w:r>
    </w:p>
    <w:p w14:paraId="5EEA579C">
      <w:pPr>
        <w:numPr>
          <w:ilvl w:val="0"/>
          <w:numId w:val="0"/>
        </w:numPr>
        <w:spacing w:line="360" w:lineRule="auto"/>
        <w:rPr>
          <w:rFonts w:hint="eastAsia" w:ascii="宋体" w:hAnsi="宋体" w:eastAsia="宋体" w:cs="宋体"/>
          <w:color w:val="auto"/>
          <w:sz w:val="24"/>
          <w:lang w:val="en-US" w:eastAsia="zh-CN"/>
        </w:rPr>
      </w:pPr>
      <w:r>
        <w:rPr>
          <w:rFonts w:hint="eastAsia" w:ascii="宋体" w:hAnsi="宋体" w:cs="宋体"/>
          <w:color w:val="auto"/>
          <w:sz w:val="24"/>
          <w:lang w:val="en-US" w:eastAsia="zh-CN"/>
        </w:rPr>
        <w:t>B.7</w:t>
      </w:r>
      <w:r>
        <w:rPr>
          <w:rFonts w:hint="eastAsia" w:ascii="宋体" w:hAnsi="宋体" w:eastAsia="宋体" w:cs="宋体"/>
          <w:color w:val="auto"/>
          <w:sz w:val="24"/>
          <w:lang w:val="en-US" w:eastAsia="zh-CN"/>
        </w:rPr>
        <w:t>.</w:t>
      </w:r>
      <w:r>
        <w:rPr>
          <w:rFonts w:hint="eastAsia" w:ascii="宋体" w:hAnsi="宋体" w:cs="宋体"/>
          <w:color w:val="auto"/>
          <w:sz w:val="24"/>
          <w:lang w:val="en-US" w:eastAsia="zh-CN"/>
        </w:rPr>
        <w:t>15</w:t>
      </w:r>
      <w:r>
        <w:rPr>
          <w:rFonts w:hint="eastAsia" w:ascii="宋体" w:hAnsi="宋体" w:eastAsia="宋体" w:cs="宋体"/>
          <w:color w:val="auto"/>
          <w:sz w:val="24"/>
          <w:lang w:val="en-US" w:eastAsia="zh-CN"/>
        </w:rPr>
        <w:t>燃气供应企业</w:t>
      </w:r>
      <w:r>
        <w:rPr>
          <w:rFonts w:hint="eastAsia" w:ascii="宋体" w:hAnsi="宋体" w:cs="宋体"/>
          <w:color w:val="auto"/>
          <w:sz w:val="24"/>
          <w:lang w:val="en-US" w:eastAsia="zh-CN"/>
        </w:rPr>
        <w:t>应</w:t>
      </w:r>
      <w:r>
        <w:rPr>
          <w:rFonts w:hint="eastAsia" w:ascii="宋体" w:hAnsi="宋体" w:eastAsia="宋体" w:cs="宋体"/>
          <w:color w:val="auto"/>
          <w:sz w:val="24"/>
          <w:lang w:val="en-US" w:eastAsia="zh-CN"/>
        </w:rPr>
        <w:t>开展燃气安全知识宣传和普及工作，增强社会公众的燃气安全意识。</w:t>
      </w:r>
    </w:p>
    <w:p w14:paraId="37A4A229">
      <w:pPr>
        <w:numPr>
          <w:ilvl w:val="0"/>
          <w:numId w:val="0"/>
        </w:numPr>
        <w:spacing w:line="360" w:lineRule="auto"/>
        <w:rPr>
          <w:rFonts w:hint="eastAsia" w:ascii="宋体" w:hAnsi="宋体" w:eastAsia="宋体" w:cs="宋体"/>
          <w:color w:val="auto"/>
          <w:sz w:val="24"/>
        </w:rPr>
      </w:pPr>
      <w:r>
        <w:rPr>
          <w:rFonts w:hint="eastAsia" w:ascii="宋体" w:hAnsi="宋体" w:cs="宋体"/>
          <w:color w:val="auto"/>
          <w:sz w:val="24"/>
          <w:lang w:val="en-US" w:eastAsia="zh-CN"/>
        </w:rPr>
        <w:t>B.7</w:t>
      </w:r>
      <w:r>
        <w:rPr>
          <w:rFonts w:hint="eastAsia" w:ascii="宋体" w:hAnsi="宋体" w:eastAsia="宋体" w:cs="宋体"/>
          <w:color w:val="auto"/>
          <w:sz w:val="24"/>
          <w:lang w:val="en-US" w:eastAsia="zh-CN"/>
        </w:rPr>
        <w:t>.</w:t>
      </w:r>
      <w:r>
        <w:rPr>
          <w:rFonts w:hint="eastAsia" w:ascii="宋体" w:hAnsi="宋体" w:cs="宋体"/>
          <w:color w:val="auto"/>
          <w:sz w:val="24"/>
          <w:lang w:val="en-US" w:eastAsia="zh-CN"/>
        </w:rPr>
        <w:t>16</w:t>
      </w:r>
      <w:r>
        <w:rPr>
          <w:rFonts w:hint="eastAsia" w:ascii="宋体" w:hAnsi="宋体" w:eastAsia="宋体" w:cs="宋体"/>
          <w:color w:val="auto"/>
          <w:sz w:val="24"/>
          <w:lang w:val="en-US" w:eastAsia="zh-CN"/>
        </w:rPr>
        <w:t>加强</w:t>
      </w:r>
      <w:r>
        <w:rPr>
          <w:rFonts w:hint="eastAsia" w:ascii="宋体" w:hAnsi="宋体" w:eastAsia="宋体" w:cs="宋体"/>
          <w:color w:val="auto"/>
          <w:sz w:val="24"/>
        </w:rPr>
        <w:t>公共安全与应急保障</w:t>
      </w:r>
      <w:r>
        <w:rPr>
          <w:rFonts w:hint="eastAsia" w:ascii="宋体" w:hAnsi="宋体" w:eastAsia="宋体" w:cs="宋体"/>
          <w:color w:val="auto"/>
          <w:sz w:val="24"/>
          <w:lang w:eastAsia="zh-CN"/>
        </w:rPr>
        <w:t>，</w:t>
      </w:r>
      <w:r>
        <w:rPr>
          <w:rFonts w:hint="eastAsia" w:ascii="宋体" w:hAnsi="宋体" w:cs="宋体"/>
          <w:color w:val="auto"/>
          <w:sz w:val="24"/>
          <w:lang w:eastAsia="zh-CN"/>
        </w:rPr>
        <w:t>应按下列</w:t>
      </w:r>
      <w:r>
        <w:rPr>
          <w:rFonts w:hint="eastAsia" w:ascii="宋体" w:hAnsi="宋体" w:eastAsia="宋体" w:cs="宋体"/>
          <w:color w:val="auto"/>
          <w:sz w:val="24"/>
        </w:rPr>
        <w:t>内容分别评分：</w:t>
      </w:r>
    </w:p>
    <w:p w14:paraId="4656675B">
      <w:pPr>
        <w:numPr>
          <w:ilvl w:val="-1"/>
          <w:numId w:val="0"/>
        </w:numPr>
        <w:spacing w:line="360" w:lineRule="auto"/>
        <w:ind w:left="420" w:leftChars="0" w:firstLine="0" w:firstLineChars="0"/>
        <w:rPr>
          <w:rFonts w:hint="eastAsia" w:ascii="宋体" w:hAnsi="宋体" w:eastAsia="宋体" w:cs="宋体"/>
          <w:strike w:val="0"/>
          <w:color w:val="auto"/>
          <w:sz w:val="24"/>
        </w:rPr>
      </w:pPr>
      <w:r>
        <w:rPr>
          <w:rFonts w:hint="eastAsia" w:ascii="宋体" w:hAnsi="宋体" w:eastAsia="宋体" w:cs="宋体"/>
          <w:strike w:val="0"/>
          <w:color w:val="auto"/>
          <w:sz w:val="24"/>
          <w:lang w:val="en-US" w:eastAsia="zh-CN"/>
        </w:rPr>
        <w:t xml:space="preserve">1 </w:t>
      </w:r>
      <w:r>
        <w:rPr>
          <w:rFonts w:hint="eastAsia" w:ascii="宋体" w:hAnsi="宋体" w:eastAsia="宋体" w:cs="宋体"/>
          <w:strike w:val="0"/>
          <w:color w:val="auto"/>
          <w:sz w:val="24"/>
        </w:rPr>
        <w:t>燃气企业需制定应急预案</w:t>
      </w:r>
      <w:r>
        <w:rPr>
          <w:rFonts w:hint="eastAsia" w:ascii="宋体" w:hAnsi="宋体" w:eastAsia="宋体" w:cs="宋体"/>
          <w:strike w:val="0"/>
          <w:color w:val="auto"/>
          <w:sz w:val="24"/>
          <w:lang w:val="en-US" w:eastAsia="zh-CN"/>
        </w:rPr>
        <w:t>;</w:t>
      </w:r>
    </w:p>
    <w:p w14:paraId="04E3DB36">
      <w:pPr>
        <w:numPr>
          <w:ilvl w:val="-1"/>
          <w:numId w:val="0"/>
        </w:numPr>
        <w:spacing w:line="360" w:lineRule="auto"/>
        <w:ind w:left="420" w:leftChars="0" w:firstLine="0" w:firstLineChars="0"/>
        <w:rPr>
          <w:rFonts w:hint="eastAsia" w:ascii="宋体" w:hAnsi="宋体" w:eastAsia="宋体" w:cs="宋体"/>
          <w:color w:val="auto"/>
          <w:sz w:val="24"/>
        </w:rPr>
      </w:pPr>
      <w:r>
        <w:rPr>
          <w:rFonts w:hint="eastAsia" w:ascii="宋体" w:hAnsi="宋体" w:eastAsia="宋体" w:cs="宋体"/>
          <w:color w:val="auto"/>
          <w:sz w:val="24"/>
          <w:lang w:val="en-US" w:eastAsia="zh-CN"/>
        </w:rPr>
        <w:t>2 燃气设施或燃气设施重要部位设置统一、明显的识别标志，</w:t>
      </w:r>
      <w:r>
        <w:rPr>
          <w:rFonts w:hint="eastAsia" w:ascii="宋体" w:hAnsi="宋体" w:eastAsia="宋体" w:cs="宋体"/>
          <w:color w:val="auto"/>
          <w:sz w:val="24"/>
        </w:rPr>
        <w:t>居民区安全距离≥15米</w:t>
      </w:r>
      <w:r>
        <w:rPr>
          <w:rFonts w:hint="eastAsia" w:ascii="宋体" w:hAnsi="宋体" w:eastAsia="宋体" w:cs="宋体"/>
          <w:color w:val="auto"/>
          <w:sz w:val="24"/>
          <w:lang w:eastAsia="zh-CN"/>
        </w:rPr>
        <w:t>；</w:t>
      </w:r>
    </w:p>
    <w:p w14:paraId="1CE4BC2D">
      <w:pPr>
        <w:numPr>
          <w:ilvl w:val="-1"/>
          <w:numId w:val="0"/>
        </w:numPr>
        <w:spacing w:line="360" w:lineRule="auto"/>
        <w:ind w:left="420" w:leftChars="0" w:firstLine="0" w:firstLineChars="0"/>
        <w:rPr>
          <w:rFonts w:hint="eastAsia" w:ascii="宋体" w:hAnsi="宋体" w:eastAsia="宋体" w:cs="宋体"/>
          <w:color w:val="auto"/>
          <w:sz w:val="24"/>
        </w:rPr>
      </w:pPr>
      <w:r>
        <w:rPr>
          <w:rFonts w:hint="eastAsia" w:ascii="宋体" w:hAnsi="宋体" w:eastAsia="宋体" w:cs="宋体"/>
          <w:color w:val="auto"/>
          <w:sz w:val="24"/>
          <w:lang w:val="en-US" w:eastAsia="zh-CN"/>
        </w:rPr>
        <w:t xml:space="preserve">3 </w:t>
      </w:r>
      <w:r>
        <w:rPr>
          <w:rFonts w:hint="eastAsia" w:ascii="宋体" w:hAnsi="宋体" w:eastAsia="宋体" w:cs="宋体"/>
          <w:color w:val="auto"/>
          <w:sz w:val="24"/>
        </w:rPr>
        <w:t>抢修响应时间≤30分钟</w:t>
      </w:r>
      <w:r>
        <w:rPr>
          <w:rFonts w:hint="eastAsia" w:ascii="宋体" w:hAnsi="宋体" w:eastAsia="宋体" w:cs="宋体"/>
          <w:color w:val="auto"/>
          <w:sz w:val="24"/>
          <w:lang w:eastAsia="zh-CN"/>
        </w:rPr>
        <w:t>；</w:t>
      </w:r>
    </w:p>
    <w:p w14:paraId="3AC02591">
      <w:pPr>
        <w:numPr>
          <w:ilvl w:val="-1"/>
          <w:numId w:val="0"/>
        </w:numPr>
        <w:spacing w:line="360" w:lineRule="auto"/>
        <w:ind w:left="420" w:leftChars="0" w:firstLine="0" w:firstLineChars="0"/>
        <w:rPr>
          <w:rFonts w:hint="eastAsia" w:ascii="宋体" w:hAnsi="宋体" w:eastAsia="宋体" w:cs="宋体"/>
          <w:color w:val="auto"/>
          <w:sz w:val="24"/>
          <w:lang w:val="en-US" w:eastAsia="zh-CN"/>
        </w:rPr>
      </w:pPr>
      <w:r>
        <w:rPr>
          <w:rFonts w:hint="eastAsia" w:ascii="宋体" w:hAnsi="宋体" w:eastAsia="宋体" w:cs="宋体"/>
          <w:color w:val="auto"/>
          <w:sz w:val="24"/>
          <w:lang w:val="en-US" w:eastAsia="zh-CN"/>
        </w:rPr>
        <w:t xml:space="preserve">4 </w:t>
      </w:r>
      <w:r>
        <w:rPr>
          <w:rFonts w:hint="eastAsia" w:ascii="宋体" w:hAnsi="宋体" w:eastAsia="宋体" w:cs="宋体"/>
          <w:color w:val="auto"/>
          <w:sz w:val="24"/>
        </w:rPr>
        <w:t>全年</w:t>
      </w:r>
      <w:r>
        <w:rPr>
          <w:rFonts w:hint="eastAsia" w:ascii="宋体" w:hAnsi="宋体" w:eastAsia="宋体" w:cs="宋体"/>
          <w:color w:val="auto"/>
          <w:sz w:val="24"/>
          <w:lang w:val="en-US" w:eastAsia="zh-CN"/>
        </w:rPr>
        <w:t>安全应急报站</w:t>
      </w:r>
      <w:r>
        <w:rPr>
          <w:rFonts w:hint="eastAsia" w:ascii="宋体" w:hAnsi="宋体" w:eastAsia="宋体" w:cs="宋体"/>
          <w:color w:val="auto"/>
          <w:sz w:val="24"/>
        </w:rPr>
        <w:t>演练</w:t>
      </w:r>
      <w:r>
        <w:rPr>
          <w:rFonts w:hint="eastAsia" w:ascii="宋体" w:hAnsi="宋体" w:eastAsia="宋体" w:cs="宋体"/>
          <w:color w:val="auto"/>
          <w:sz w:val="24"/>
          <w:lang w:val="en-US" w:eastAsia="zh-CN"/>
        </w:rPr>
        <w:t>不少于</w:t>
      </w:r>
      <w:r>
        <w:rPr>
          <w:rFonts w:hint="eastAsia" w:ascii="宋体" w:hAnsi="宋体" w:eastAsia="宋体" w:cs="宋体"/>
          <w:color w:val="auto"/>
          <w:sz w:val="24"/>
        </w:rPr>
        <w:t>2次</w:t>
      </w:r>
      <w:r>
        <w:rPr>
          <w:rFonts w:hint="eastAsia" w:ascii="宋体" w:hAnsi="宋体" w:eastAsia="宋体" w:cs="宋体"/>
          <w:color w:val="auto"/>
          <w:sz w:val="24"/>
          <w:lang w:eastAsia="zh-CN"/>
        </w:rPr>
        <w:t>。</w:t>
      </w:r>
    </w:p>
    <w:p w14:paraId="04C1F632">
      <w:pPr>
        <w:spacing w:line="360" w:lineRule="auto"/>
        <w:rPr>
          <w:rFonts w:hint="eastAsia" w:ascii="宋体" w:hAnsi="宋体" w:eastAsia="宋体" w:cs="宋体"/>
          <w:color w:val="auto"/>
          <w:sz w:val="24"/>
          <w:lang w:val="en-US" w:eastAsia="zh-CN"/>
        </w:rPr>
      </w:pPr>
      <w:r>
        <w:rPr>
          <w:rFonts w:hint="eastAsia" w:ascii="宋体" w:hAnsi="宋体" w:cs="宋体"/>
          <w:color w:val="auto"/>
          <w:sz w:val="24"/>
          <w:lang w:val="en-US" w:eastAsia="zh-CN"/>
        </w:rPr>
        <w:t>B.7</w:t>
      </w:r>
      <w:r>
        <w:rPr>
          <w:rFonts w:hint="eastAsia" w:ascii="宋体" w:hAnsi="宋体" w:eastAsia="宋体" w:cs="宋体"/>
          <w:color w:val="auto"/>
          <w:sz w:val="24"/>
          <w:lang w:val="en-US" w:eastAsia="zh-CN"/>
        </w:rPr>
        <w:t>.</w:t>
      </w:r>
      <w:r>
        <w:rPr>
          <w:rFonts w:hint="eastAsia" w:ascii="宋体" w:hAnsi="宋体" w:cs="宋体"/>
          <w:color w:val="auto"/>
          <w:sz w:val="24"/>
          <w:lang w:val="en-US" w:eastAsia="zh-CN"/>
        </w:rPr>
        <w:t>17</w:t>
      </w:r>
      <w:r>
        <w:rPr>
          <w:rFonts w:hint="eastAsia" w:ascii="宋体" w:hAnsi="宋体" w:eastAsia="宋体" w:cs="宋体"/>
          <w:color w:val="auto"/>
          <w:sz w:val="24"/>
          <w:lang w:val="en-US" w:eastAsia="zh-CN"/>
        </w:rPr>
        <w:t>减少事故隐患，保障用气安全要求，</w:t>
      </w:r>
      <w:r>
        <w:rPr>
          <w:rFonts w:hint="eastAsia" w:ascii="宋体" w:hAnsi="宋体" w:cs="宋体"/>
          <w:color w:val="auto"/>
          <w:sz w:val="24"/>
          <w:lang w:val="en-US" w:eastAsia="zh-CN"/>
        </w:rPr>
        <w:t>应按下列</w:t>
      </w:r>
      <w:r>
        <w:rPr>
          <w:rFonts w:hint="eastAsia" w:ascii="宋体" w:hAnsi="宋体" w:eastAsia="宋体" w:cs="宋体"/>
          <w:color w:val="auto"/>
          <w:sz w:val="24"/>
          <w:lang w:val="en-US" w:eastAsia="zh-CN"/>
        </w:rPr>
        <w:t>内容评分：</w:t>
      </w:r>
    </w:p>
    <w:p w14:paraId="13947688">
      <w:pPr>
        <w:numPr>
          <w:ilvl w:val="-1"/>
          <w:numId w:val="0"/>
        </w:numPr>
        <w:spacing w:line="360" w:lineRule="auto"/>
        <w:ind w:left="0" w:leftChars="0"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1 居民用户室内燃气管道未采用暗埋敷设；</w:t>
      </w:r>
    </w:p>
    <w:p w14:paraId="3E178CB7">
      <w:pPr>
        <w:numPr>
          <w:ilvl w:val="-1"/>
          <w:numId w:val="0"/>
        </w:numPr>
        <w:spacing w:line="360" w:lineRule="auto"/>
        <w:ind w:left="0" w:leftChars="0"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2 地下室及无外窗房间禁设置燃具，防止燃气泄漏引发的窒息或爆炸事故，保障居民人身安全；</w:t>
      </w:r>
    </w:p>
    <w:p w14:paraId="1BBC390C">
      <w:pPr>
        <w:numPr>
          <w:ilvl w:val="-1"/>
          <w:numId w:val="0"/>
        </w:numPr>
        <w:spacing w:line="360" w:lineRule="auto"/>
        <w:ind w:left="0" w:leftChars="0" w:firstLine="480" w:firstLineChars="200"/>
        <w:rPr>
          <w:rFonts w:hint="eastAsia" w:ascii="宋体" w:hAnsi="宋体" w:eastAsia="宋体" w:cs="宋体"/>
          <w:color w:val="auto"/>
          <w:sz w:val="24"/>
          <w:lang w:val="en-US" w:eastAsia="zh-CN"/>
        </w:rPr>
      </w:pPr>
      <w:r>
        <w:rPr>
          <w:rFonts w:hint="eastAsia" w:ascii="宋体" w:hAnsi="宋体" w:eastAsia="宋体" w:cs="宋体"/>
          <w:color w:val="auto"/>
          <w:sz w:val="24"/>
          <w:lang w:val="en-US" w:eastAsia="zh-CN"/>
        </w:rPr>
        <w:t>3 燃具和用气设备燃气燃烧所产生的烟气应排出至室外。</w:t>
      </w:r>
    </w:p>
    <w:p w14:paraId="7F9ED88B">
      <w:pPr>
        <w:spacing w:line="360" w:lineRule="auto"/>
        <w:rPr>
          <w:rFonts w:hint="eastAsia" w:ascii="宋体" w:hAnsi="宋体" w:eastAsia="宋体" w:cs="宋体"/>
          <w:color w:val="auto"/>
          <w:sz w:val="24"/>
          <w:lang w:val="en-US" w:eastAsia="zh-CN"/>
        </w:rPr>
      </w:pPr>
      <w:r>
        <w:rPr>
          <w:rFonts w:hint="eastAsia" w:ascii="宋体" w:hAnsi="宋体" w:cs="宋体"/>
          <w:color w:val="auto"/>
          <w:sz w:val="24"/>
          <w:lang w:val="en-US" w:eastAsia="zh-CN"/>
        </w:rPr>
        <w:t>B.7</w:t>
      </w:r>
      <w:r>
        <w:rPr>
          <w:rFonts w:hint="eastAsia" w:ascii="宋体" w:hAnsi="宋体" w:eastAsia="宋体" w:cs="宋体"/>
          <w:color w:val="auto"/>
          <w:sz w:val="24"/>
          <w:lang w:val="en-US" w:eastAsia="zh-CN"/>
        </w:rPr>
        <w:t>.</w:t>
      </w:r>
      <w:r>
        <w:rPr>
          <w:rFonts w:hint="eastAsia" w:ascii="宋体" w:hAnsi="宋体" w:cs="宋体"/>
          <w:color w:val="auto"/>
          <w:sz w:val="24"/>
          <w:lang w:val="en-US" w:eastAsia="zh-CN"/>
        </w:rPr>
        <w:t>18</w:t>
      </w:r>
      <w:r>
        <w:rPr>
          <w:rFonts w:hint="eastAsia" w:ascii="宋体" w:hAnsi="宋体" w:eastAsia="宋体" w:cs="宋体"/>
          <w:color w:val="auto"/>
          <w:sz w:val="24"/>
          <w:lang w:val="en-US" w:eastAsia="zh-CN"/>
        </w:rPr>
        <w:t>燃气设施投入使用前</w:t>
      </w:r>
      <w:r>
        <w:rPr>
          <w:rFonts w:hint="eastAsia" w:ascii="宋体" w:hAnsi="宋体" w:cs="宋体"/>
          <w:color w:val="auto"/>
          <w:sz w:val="24"/>
          <w:lang w:val="en-US" w:eastAsia="zh-CN"/>
        </w:rPr>
        <w:t>应</w:t>
      </w:r>
      <w:r>
        <w:rPr>
          <w:rFonts w:hint="eastAsia" w:ascii="宋体" w:hAnsi="宋体" w:eastAsia="宋体" w:cs="宋体"/>
          <w:color w:val="auto"/>
          <w:sz w:val="24"/>
          <w:lang w:val="en-US" w:eastAsia="zh-CN"/>
        </w:rPr>
        <w:t>具备预防安全事故发生的安全设施和防治或减少污染的设施。</w:t>
      </w:r>
    </w:p>
    <w:p w14:paraId="7C871612">
      <w:pPr>
        <w:spacing w:line="360" w:lineRule="auto"/>
        <w:rPr>
          <w:rFonts w:hint="eastAsia" w:ascii="宋体" w:hAnsi="宋体" w:eastAsia="宋体" w:cs="宋体"/>
          <w:color w:val="auto"/>
          <w:sz w:val="24"/>
          <w:lang w:eastAsia="zh-CN"/>
        </w:rPr>
      </w:pPr>
      <w:r>
        <w:rPr>
          <w:rFonts w:hint="eastAsia" w:ascii="宋体" w:hAnsi="宋体" w:cs="宋体"/>
          <w:color w:val="auto"/>
          <w:sz w:val="24"/>
          <w:lang w:val="en-US" w:eastAsia="zh-CN"/>
        </w:rPr>
        <w:t>B.7</w:t>
      </w:r>
      <w:r>
        <w:rPr>
          <w:rFonts w:hint="eastAsia" w:ascii="宋体" w:hAnsi="宋体" w:eastAsia="宋体" w:cs="宋体"/>
          <w:color w:val="auto"/>
          <w:sz w:val="24"/>
          <w:lang w:val="en-US" w:eastAsia="zh-CN"/>
        </w:rPr>
        <w:t>.</w:t>
      </w:r>
      <w:r>
        <w:rPr>
          <w:rFonts w:hint="eastAsia" w:ascii="宋体" w:hAnsi="宋体" w:cs="宋体"/>
          <w:color w:val="auto"/>
          <w:sz w:val="24"/>
          <w:lang w:val="en-US" w:eastAsia="zh-CN"/>
        </w:rPr>
        <w:t>19</w:t>
      </w:r>
      <w:r>
        <w:rPr>
          <w:rFonts w:hint="eastAsia" w:ascii="宋体" w:hAnsi="宋体" w:eastAsia="宋体" w:cs="宋体"/>
          <w:color w:val="auto"/>
          <w:sz w:val="24"/>
        </w:rPr>
        <w:t>废弃</w:t>
      </w:r>
      <w:r>
        <w:rPr>
          <w:rFonts w:hint="eastAsia" w:ascii="宋体" w:hAnsi="宋体" w:eastAsia="宋体" w:cs="宋体"/>
          <w:color w:val="auto"/>
          <w:sz w:val="24"/>
          <w:lang w:val="en-US" w:eastAsia="zh-CN"/>
        </w:rPr>
        <w:t>燃气</w:t>
      </w:r>
      <w:r>
        <w:rPr>
          <w:rFonts w:hint="eastAsia" w:ascii="宋体" w:hAnsi="宋体" w:eastAsia="宋体" w:cs="宋体"/>
          <w:color w:val="auto"/>
          <w:sz w:val="24"/>
        </w:rPr>
        <w:t>设施</w:t>
      </w:r>
      <w:r>
        <w:rPr>
          <w:rFonts w:hint="eastAsia" w:ascii="宋体" w:hAnsi="宋体" w:cs="宋体"/>
          <w:color w:val="auto"/>
          <w:sz w:val="24"/>
          <w:lang w:val="en-US" w:eastAsia="zh-CN"/>
        </w:rPr>
        <w:t>应</w:t>
      </w:r>
      <w:r>
        <w:rPr>
          <w:rFonts w:hint="eastAsia" w:ascii="宋体" w:hAnsi="宋体" w:eastAsia="宋体" w:cs="宋体"/>
          <w:color w:val="auto"/>
          <w:sz w:val="24"/>
          <w:lang w:val="en-US" w:eastAsia="zh-CN"/>
        </w:rPr>
        <w:t>及时处置，</w:t>
      </w:r>
      <w:r>
        <w:rPr>
          <w:rFonts w:hint="eastAsia" w:ascii="宋体" w:hAnsi="宋体" w:eastAsia="宋体" w:cs="宋体"/>
          <w:color w:val="auto"/>
          <w:sz w:val="24"/>
        </w:rPr>
        <w:t>管道内无残余燃气</w:t>
      </w:r>
      <w:r>
        <w:rPr>
          <w:rFonts w:hint="eastAsia" w:ascii="宋体" w:hAnsi="宋体" w:eastAsia="宋体" w:cs="宋体"/>
          <w:color w:val="auto"/>
          <w:sz w:val="24"/>
          <w:lang w:eastAsia="zh-CN"/>
        </w:rPr>
        <w:t>，</w:t>
      </w:r>
      <w:r>
        <w:rPr>
          <w:rFonts w:hint="eastAsia" w:ascii="宋体" w:hAnsi="宋体" w:eastAsia="宋体" w:cs="宋体"/>
          <w:color w:val="auto"/>
          <w:sz w:val="24"/>
        </w:rPr>
        <w:t>资源浪费和潜在的安全隐患</w:t>
      </w:r>
      <w:r>
        <w:rPr>
          <w:rFonts w:hint="eastAsia" w:ascii="宋体" w:hAnsi="宋体" w:eastAsia="宋体" w:cs="宋体"/>
          <w:color w:val="auto"/>
          <w:sz w:val="24"/>
          <w:lang w:val="en-US" w:eastAsia="zh-CN"/>
        </w:rPr>
        <w:t>低</w:t>
      </w:r>
      <w:r>
        <w:rPr>
          <w:rFonts w:hint="eastAsia" w:ascii="宋体" w:hAnsi="宋体" w:eastAsia="宋体" w:cs="宋体"/>
          <w:color w:val="auto"/>
          <w:sz w:val="24"/>
          <w:lang w:eastAsia="zh-CN"/>
        </w:rPr>
        <w:t>。</w:t>
      </w:r>
    </w:p>
    <w:p w14:paraId="083D1126">
      <w:pPr>
        <w:numPr>
          <w:ilvl w:val="0"/>
          <w:numId w:val="0"/>
        </w:numPr>
        <w:spacing w:line="360" w:lineRule="auto"/>
        <w:rPr>
          <w:rFonts w:hint="eastAsia" w:ascii="宋体" w:hAnsi="宋体" w:eastAsia="宋体" w:cs="宋体"/>
          <w:color w:val="auto"/>
          <w:sz w:val="24"/>
          <w:lang w:val="en-US" w:eastAsia="zh-CN"/>
        </w:rPr>
      </w:pPr>
      <w:r>
        <w:rPr>
          <w:rFonts w:hint="eastAsia" w:ascii="宋体" w:hAnsi="宋体" w:cs="宋体"/>
          <w:color w:val="auto"/>
          <w:sz w:val="24"/>
          <w:lang w:val="en-US" w:eastAsia="zh-CN"/>
        </w:rPr>
        <w:t>B.7</w:t>
      </w:r>
      <w:r>
        <w:rPr>
          <w:rFonts w:hint="eastAsia" w:ascii="宋体" w:hAnsi="宋体" w:eastAsia="宋体" w:cs="宋体"/>
          <w:color w:val="auto"/>
          <w:sz w:val="24"/>
          <w:lang w:val="en-US" w:eastAsia="zh-CN"/>
        </w:rPr>
        <w:t>.</w:t>
      </w:r>
      <w:r>
        <w:rPr>
          <w:rFonts w:hint="eastAsia" w:ascii="宋体" w:hAnsi="宋体" w:cs="宋体"/>
          <w:color w:val="auto"/>
          <w:sz w:val="24"/>
          <w:lang w:val="en-US" w:eastAsia="zh-CN"/>
        </w:rPr>
        <w:t>20</w:t>
      </w:r>
      <w:r>
        <w:rPr>
          <w:rFonts w:hint="eastAsia" w:ascii="宋体" w:hAnsi="宋体" w:eastAsia="宋体" w:cs="宋体"/>
          <w:color w:val="auto"/>
          <w:sz w:val="24"/>
        </w:rPr>
        <w:t>燃气设施</w:t>
      </w:r>
      <w:r>
        <w:rPr>
          <w:rFonts w:hint="eastAsia" w:ascii="宋体" w:hAnsi="宋体" w:cs="宋体"/>
          <w:color w:val="auto"/>
          <w:sz w:val="24"/>
          <w:lang w:val="en-US" w:eastAsia="zh-CN"/>
        </w:rPr>
        <w:t>应</w:t>
      </w:r>
      <w:r>
        <w:rPr>
          <w:rFonts w:hint="eastAsia" w:ascii="宋体" w:hAnsi="宋体" w:eastAsia="宋体" w:cs="宋体"/>
          <w:color w:val="auto"/>
          <w:sz w:val="24"/>
          <w:lang w:val="en-US" w:eastAsia="zh-CN"/>
        </w:rPr>
        <w:t>采取</w:t>
      </w:r>
      <w:r>
        <w:rPr>
          <w:rFonts w:hint="eastAsia" w:ascii="宋体" w:hAnsi="宋体" w:eastAsia="宋体" w:cs="宋体"/>
          <w:color w:val="auto"/>
          <w:sz w:val="24"/>
        </w:rPr>
        <w:t>防火、防爆、抗震</w:t>
      </w:r>
      <w:r>
        <w:rPr>
          <w:rFonts w:hint="eastAsia" w:ascii="宋体" w:hAnsi="宋体" w:eastAsia="宋体" w:cs="宋体"/>
          <w:color w:val="auto"/>
          <w:sz w:val="24"/>
          <w:lang w:eastAsia="zh-CN"/>
        </w:rPr>
        <w:t>、</w:t>
      </w:r>
      <w:r>
        <w:rPr>
          <w:rFonts w:hint="eastAsia" w:ascii="宋体" w:hAnsi="宋体" w:eastAsia="宋体" w:cs="宋体"/>
          <w:color w:val="auto"/>
          <w:sz w:val="24"/>
          <w:lang w:val="en-US" w:eastAsia="zh-CN"/>
        </w:rPr>
        <w:t>防雷接地</w:t>
      </w:r>
      <w:r>
        <w:rPr>
          <w:rFonts w:hint="eastAsia" w:ascii="宋体" w:hAnsi="宋体" w:eastAsia="宋体" w:cs="宋体"/>
          <w:color w:val="auto"/>
          <w:sz w:val="24"/>
        </w:rPr>
        <w:t>等安全措施与防护</w:t>
      </w:r>
      <w:r>
        <w:rPr>
          <w:rFonts w:hint="eastAsia" w:ascii="宋体" w:hAnsi="宋体" w:eastAsia="宋体" w:cs="宋体"/>
          <w:color w:val="auto"/>
          <w:sz w:val="24"/>
          <w:lang w:eastAsia="zh-CN"/>
        </w:rPr>
        <w:t>，</w:t>
      </w:r>
      <w:r>
        <w:rPr>
          <w:rFonts w:hint="eastAsia" w:ascii="宋体" w:hAnsi="宋体" w:eastAsia="宋体" w:cs="宋体"/>
          <w:color w:val="auto"/>
          <w:sz w:val="24"/>
        </w:rPr>
        <w:t>确保燃气设施的安全运行，减少事故风险，保障能源供应。</w:t>
      </w:r>
    </w:p>
    <w:p w14:paraId="2828CF88">
      <w:pPr>
        <w:spacing w:line="360" w:lineRule="auto"/>
        <w:rPr>
          <w:rFonts w:hint="eastAsia" w:ascii="宋体" w:hAnsi="宋体" w:eastAsia="宋体" w:cs="宋体"/>
          <w:color w:val="auto"/>
          <w:sz w:val="24"/>
          <w:lang w:val="en-US" w:eastAsia="zh-CN"/>
        </w:rPr>
      </w:pPr>
      <w:r>
        <w:rPr>
          <w:rFonts w:hint="eastAsia" w:ascii="宋体" w:hAnsi="宋体" w:cs="宋体"/>
          <w:color w:val="auto"/>
          <w:sz w:val="24"/>
          <w:lang w:val="en-US" w:eastAsia="zh-CN"/>
        </w:rPr>
        <w:t>B.7</w:t>
      </w:r>
      <w:r>
        <w:rPr>
          <w:rFonts w:hint="eastAsia" w:ascii="宋体" w:hAnsi="宋体" w:eastAsia="宋体" w:cs="宋体"/>
          <w:color w:val="auto"/>
          <w:sz w:val="24"/>
          <w:lang w:val="en-US" w:eastAsia="zh-CN"/>
        </w:rPr>
        <w:t>.</w:t>
      </w:r>
      <w:r>
        <w:rPr>
          <w:rFonts w:hint="eastAsia" w:ascii="宋体" w:hAnsi="宋体" w:cs="宋体"/>
          <w:color w:val="auto"/>
          <w:sz w:val="24"/>
          <w:lang w:val="en-US" w:eastAsia="zh-CN"/>
        </w:rPr>
        <w:t>21</w:t>
      </w:r>
      <w:r>
        <w:rPr>
          <w:rFonts w:hint="eastAsia" w:ascii="宋体" w:hAnsi="宋体" w:eastAsia="宋体" w:cs="宋体"/>
          <w:color w:val="auto"/>
          <w:sz w:val="24"/>
          <w:lang w:val="en-US" w:eastAsia="zh-CN"/>
        </w:rPr>
        <w:t>建立信息管理系统，</w:t>
      </w:r>
      <w:r>
        <w:rPr>
          <w:rFonts w:hint="eastAsia" w:ascii="宋体" w:hAnsi="宋体" w:cs="宋体"/>
          <w:color w:val="auto"/>
          <w:sz w:val="24"/>
          <w:lang w:val="en-US" w:eastAsia="zh-CN"/>
        </w:rPr>
        <w:t>应</w:t>
      </w:r>
      <w:r>
        <w:rPr>
          <w:rFonts w:hint="eastAsia" w:ascii="宋体" w:hAnsi="宋体" w:eastAsia="宋体" w:cs="宋体"/>
          <w:color w:val="auto"/>
          <w:sz w:val="24"/>
          <w:lang w:val="en-US" w:eastAsia="zh-CN"/>
        </w:rPr>
        <w:t>实现对</w:t>
      </w:r>
      <w:r>
        <w:rPr>
          <w:rFonts w:hint="eastAsia" w:ascii="宋体" w:hAnsi="宋体" w:eastAsia="宋体" w:cs="宋体"/>
          <w:color w:val="auto"/>
          <w:sz w:val="24"/>
        </w:rPr>
        <w:t>燃气管网和燃气设备</w:t>
      </w:r>
      <w:r>
        <w:rPr>
          <w:rFonts w:hint="eastAsia" w:ascii="宋体" w:hAnsi="宋体" w:eastAsia="宋体" w:cs="宋体"/>
          <w:color w:val="auto"/>
          <w:sz w:val="24"/>
          <w:lang w:val="en-US" w:eastAsia="zh-CN"/>
        </w:rPr>
        <w:t>管理、</w:t>
      </w:r>
      <w:r>
        <w:rPr>
          <w:rFonts w:hint="eastAsia" w:ascii="宋体" w:hAnsi="宋体" w:eastAsia="宋体" w:cs="宋体"/>
          <w:color w:val="auto"/>
          <w:sz w:val="24"/>
        </w:rPr>
        <w:t>数据采集</w:t>
      </w:r>
      <w:r>
        <w:rPr>
          <w:rFonts w:hint="eastAsia" w:ascii="宋体" w:hAnsi="宋体" w:eastAsia="宋体" w:cs="宋体"/>
          <w:color w:val="auto"/>
          <w:sz w:val="24"/>
          <w:lang w:eastAsia="zh-CN"/>
        </w:rPr>
        <w:t>、</w:t>
      </w:r>
      <w:r>
        <w:rPr>
          <w:rFonts w:hint="eastAsia" w:ascii="宋体" w:hAnsi="宋体" w:eastAsia="宋体" w:cs="宋体"/>
          <w:color w:val="auto"/>
          <w:sz w:val="24"/>
          <w:lang w:val="en-US" w:eastAsia="zh-CN"/>
        </w:rPr>
        <w:t>运行</w:t>
      </w:r>
      <w:r>
        <w:rPr>
          <w:rFonts w:hint="eastAsia" w:ascii="宋体" w:hAnsi="宋体" w:eastAsia="宋体" w:cs="宋体"/>
          <w:color w:val="auto"/>
          <w:sz w:val="24"/>
        </w:rPr>
        <w:t>监控</w:t>
      </w:r>
      <w:r>
        <w:rPr>
          <w:rFonts w:hint="eastAsia" w:ascii="宋体" w:hAnsi="宋体" w:eastAsia="宋体" w:cs="宋体"/>
          <w:color w:val="auto"/>
          <w:sz w:val="24"/>
          <w:lang w:eastAsia="zh-CN"/>
        </w:rPr>
        <w:t>、</w:t>
      </w:r>
      <w:r>
        <w:rPr>
          <w:rFonts w:hint="eastAsia" w:ascii="宋体" w:hAnsi="宋体" w:eastAsia="宋体" w:cs="宋体"/>
          <w:color w:val="auto"/>
          <w:sz w:val="24"/>
        </w:rPr>
        <w:t>燃气自动化控制</w:t>
      </w:r>
      <w:r>
        <w:rPr>
          <w:rFonts w:hint="eastAsia" w:ascii="宋体" w:hAnsi="宋体" w:eastAsia="宋体" w:cs="宋体"/>
          <w:color w:val="auto"/>
          <w:sz w:val="24"/>
          <w:lang w:eastAsia="zh-CN"/>
        </w:rPr>
        <w:t>、</w:t>
      </w:r>
      <w:r>
        <w:rPr>
          <w:rFonts w:hint="eastAsia" w:ascii="宋体" w:hAnsi="宋体" w:eastAsia="宋体" w:cs="宋体"/>
          <w:color w:val="auto"/>
          <w:sz w:val="24"/>
        </w:rPr>
        <w:t>客户服务</w:t>
      </w:r>
      <w:r>
        <w:rPr>
          <w:rFonts w:hint="eastAsia" w:ascii="宋体" w:hAnsi="宋体" w:eastAsia="宋体" w:cs="宋体"/>
          <w:color w:val="auto"/>
          <w:sz w:val="24"/>
          <w:lang w:val="en-US" w:eastAsia="zh-CN"/>
        </w:rPr>
        <w:t>等的实时动态管理。</w:t>
      </w:r>
    </w:p>
    <w:p w14:paraId="64E9B7A3">
      <w:pPr>
        <w:wordWrap/>
        <w:spacing w:line="360" w:lineRule="auto"/>
        <w:jc w:val="center"/>
        <w:textAlignment w:val="auto"/>
        <w:outlineLvl w:val="1"/>
        <w:rPr>
          <w:rFonts w:hint="eastAsia" w:ascii="黑体" w:hAnsi="黑体" w:eastAsia="黑体" w:cs="黑体"/>
          <w:b/>
          <w:bCs/>
          <w:color w:val="auto"/>
          <w:sz w:val="28"/>
          <w:szCs w:val="28"/>
        </w:rPr>
      </w:pPr>
      <w:bookmarkStart w:id="626" w:name="_Toc20972"/>
      <w:bookmarkStart w:id="627" w:name="_Toc18351"/>
      <w:bookmarkStart w:id="628" w:name="_Toc14662"/>
      <w:bookmarkStart w:id="629" w:name="_Toc17779"/>
      <w:r>
        <w:rPr>
          <w:rFonts w:hint="eastAsia" w:ascii="黑体" w:hAnsi="黑体" w:eastAsia="黑体" w:cs="黑体"/>
          <w:b/>
          <w:bCs/>
          <w:color w:val="auto"/>
          <w:sz w:val="28"/>
          <w:szCs w:val="28"/>
        </w:rPr>
        <w:t>B</w:t>
      </w:r>
      <w:r>
        <w:rPr>
          <w:rFonts w:hint="eastAsia" w:ascii="黑体" w:hAnsi="黑体" w:eastAsia="黑体" w:cs="黑体"/>
          <w:b/>
          <w:bCs/>
          <w:color w:val="auto"/>
          <w:sz w:val="28"/>
          <w:szCs w:val="28"/>
          <w:lang w:val="en-US" w:eastAsia="zh-CN"/>
        </w:rPr>
        <w:t>.8</w:t>
      </w:r>
      <w:r>
        <w:rPr>
          <w:rFonts w:hint="eastAsia" w:ascii="黑体" w:hAnsi="黑体" w:eastAsia="黑体" w:cs="黑体"/>
          <w:b/>
          <w:bCs/>
          <w:color w:val="auto"/>
          <w:sz w:val="28"/>
          <w:szCs w:val="28"/>
        </w:rPr>
        <w:t xml:space="preserve"> </w:t>
      </w:r>
      <w:r>
        <w:rPr>
          <w:rFonts w:hint="eastAsia" w:ascii="黑体" w:hAnsi="黑体" w:eastAsia="黑体" w:cs="黑体"/>
          <w:b/>
          <w:bCs/>
          <w:color w:val="auto"/>
          <w:sz w:val="28"/>
          <w:szCs w:val="28"/>
          <w:lang w:val="en-US" w:eastAsia="zh-CN"/>
        </w:rPr>
        <w:t>城市供水工程</w:t>
      </w:r>
      <w:r>
        <w:rPr>
          <w:rFonts w:hint="eastAsia" w:ascii="黑体" w:hAnsi="黑体" w:eastAsia="黑体" w:cs="黑体"/>
          <w:b/>
          <w:bCs/>
          <w:color w:val="auto"/>
          <w:sz w:val="28"/>
          <w:szCs w:val="28"/>
        </w:rPr>
        <w:t>项目</w:t>
      </w:r>
      <w:bookmarkEnd w:id="626"/>
      <w:r>
        <w:rPr>
          <w:rFonts w:hint="eastAsia" w:ascii="黑体" w:hAnsi="黑体" w:eastAsia="黑体" w:cs="黑体"/>
          <w:b/>
          <w:bCs/>
          <w:color w:val="auto"/>
          <w:sz w:val="28"/>
          <w:szCs w:val="28"/>
        </w:rPr>
        <w:t>专项内容评价指标</w:t>
      </w:r>
      <w:bookmarkEnd w:id="627"/>
      <w:bookmarkEnd w:id="628"/>
      <w:bookmarkEnd w:id="629"/>
    </w:p>
    <w:p w14:paraId="304E9D3C">
      <w:pPr>
        <w:numPr>
          <w:ilvl w:val="0"/>
          <w:numId w:val="0"/>
        </w:numPr>
        <w:spacing w:line="360" w:lineRule="auto"/>
        <w:rPr>
          <w:rFonts w:hint="eastAsia" w:ascii="宋体" w:hAnsi="宋体" w:eastAsia="宋体" w:cs="宋体"/>
          <w:color w:val="auto"/>
          <w:sz w:val="24"/>
        </w:rPr>
      </w:pPr>
      <w:r>
        <w:rPr>
          <w:rFonts w:hint="eastAsia" w:ascii="宋体" w:hAnsi="宋体" w:cs="宋体"/>
          <w:color w:val="auto"/>
          <w:sz w:val="24"/>
          <w:lang w:val="en-US" w:eastAsia="zh-CN"/>
        </w:rPr>
        <w:t>B.8</w:t>
      </w:r>
      <w:r>
        <w:rPr>
          <w:rFonts w:hint="eastAsia" w:ascii="宋体" w:hAnsi="宋体" w:eastAsia="宋体" w:cs="宋体"/>
          <w:color w:val="auto"/>
          <w:sz w:val="24"/>
          <w:lang w:val="en-US" w:eastAsia="zh-CN"/>
        </w:rPr>
        <w:t xml:space="preserve">.1 </w:t>
      </w:r>
      <w:r>
        <w:rPr>
          <w:rFonts w:hint="eastAsia" w:ascii="宋体" w:hAnsi="宋体" w:eastAsia="宋体" w:cs="宋体"/>
          <w:color w:val="auto"/>
          <w:sz w:val="24"/>
        </w:rPr>
        <w:t>在饮用水水源保护区内</w:t>
      </w:r>
      <w:r>
        <w:rPr>
          <w:rFonts w:hint="eastAsia" w:ascii="宋体" w:hAnsi="宋体" w:eastAsia="宋体" w:cs="宋体"/>
          <w:color w:val="auto"/>
          <w:sz w:val="24"/>
          <w:lang w:val="en-US" w:eastAsia="zh-CN"/>
        </w:rPr>
        <w:t>无</w:t>
      </w:r>
      <w:r>
        <w:rPr>
          <w:rFonts w:hint="eastAsia" w:ascii="宋体" w:hAnsi="宋体" w:eastAsia="宋体" w:cs="宋体"/>
          <w:color w:val="auto"/>
          <w:sz w:val="24"/>
        </w:rPr>
        <w:t>任何污染水质的活动，从源头上减少环境污染。</w:t>
      </w:r>
    </w:p>
    <w:p w14:paraId="0C65EEC6">
      <w:pPr>
        <w:numPr>
          <w:ilvl w:val="0"/>
          <w:numId w:val="0"/>
        </w:numPr>
        <w:spacing w:line="360" w:lineRule="auto"/>
        <w:rPr>
          <w:rFonts w:hint="eastAsia" w:ascii="宋体" w:hAnsi="宋体" w:eastAsia="宋体" w:cs="宋体"/>
          <w:color w:val="auto"/>
          <w:sz w:val="24"/>
          <w:lang w:val="en-US" w:eastAsia="zh-CN"/>
        </w:rPr>
      </w:pPr>
      <w:r>
        <w:rPr>
          <w:rFonts w:hint="eastAsia" w:ascii="宋体" w:hAnsi="宋体" w:cs="宋体"/>
          <w:color w:val="auto"/>
          <w:sz w:val="24"/>
          <w:lang w:val="en-US" w:eastAsia="zh-CN"/>
        </w:rPr>
        <w:t>B.8</w:t>
      </w:r>
      <w:r>
        <w:rPr>
          <w:rFonts w:hint="eastAsia" w:ascii="宋体" w:hAnsi="宋体" w:eastAsia="宋体" w:cs="宋体"/>
          <w:color w:val="auto"/>
          <w:sz w:val="24"/>
          <w:lang w:val="en-US" w:eastAsia="zh-CN"/>
        </w:rPr>
        <w:t>.2 供水水质与用户受水点的水质均达到标准要求，</w:t>
      </w:r>
      <w:r>
        <w:rPr>
          <w:rFonts w:hint="eastAsia" w:ascii="宋体" w:hAnsi="宋体" w:cs="宋体"/>
          <w:color w:val="auto"/>
          <w:sz w:val="24"/>
          <w:lang w:val="en-US" w:eastAsia="zh-CN"/>
        </w:rPr>
        <w:t>应按下列</w:t>
      </w:r>
      <w:r>
        <w:rPr>
          <w:rFonts w:hint="eastAsia" w:ascii="宋体" w:hAnsi="宋体" w:eastAsia="宋体" w:cs="宋体"/>
          <w:color w:val="auto"/>
          <w:sz w:val="24"/>
          <w:lang w:val="en-US" w:eastAsia="zh-CN"/>
        </w:rPr>
        <w:t>内容分别评分：</w:t>
      </w:r>
    </w:p>
    <w:p w14:paraId="6B127899">
      <w:pPr>
        <w:numPr>
          <w:ilvl w:val="-1"/>
          <w:numId w:val="0"/>
        </w:numPr>
        <w:spacing w:line="360" w:lineRule="auto"/>
        <w:ind w:left="0" w:leftChars="0" w:firstLine="480" w:firstLineChars="200"/>
        <w:rPr>
          <w:rFonts w:hint="eastAsia" w:ascii="宋体" w:hAnsi="宋体" w:eastAsia="宋体" w:cs="宋体"/>
          <w:color w:val="auto"/>
          <w:sz w:val="24"/>
        </w:rPr>
      </w:pPr>
      <w:r>
        <w:rPr>
          <w:rFonts w:hint="eastAsia" w:ascii="宋体" w:hAnsi="宋体" w:eastAsia="宋体" w:cs="宋体"/>
          <w:color w:val="auto"/>
          <w:sz w:val="24"/>
          <w:lang w:val="en-US" w:eastAsia="zh-CN"/>
        </w:rPr>
        <w:t xml:space="preserve">1 </w:t>
      </w:r>
      <w:r>
        <w:rPr>
          <w:rFonts w:hint="eastAsia" w:ascii="宋体" w:hAnsi="宋体" w:eastAsia="宋体" w:cs="宋体"/>
          <w:color w:val="auto"/>
          <w:sz w:val="24"/>
        </w:rPr>
        <w:t>原水水质符合</w:t>
      </w:r>
      <w:r>
        <w:rPr>
          <w:rFonts w:hint="eastAsia" w:ascii="宋体" w:hAnsi="宋体" w:cs="宋体"/>
          <w:color w:val="auto"/>
          <w:sz w:val="24"/>
          <w:lang w:val="en-US" w:eastAsia="zh-CN"/>
        </w:rPr>
        <w:t>现行国家标准</w:t>
      </w:r>
      <w:r>
        <w:rPr>
          <w:rFonts w:hint="eastAsia" w:ascii="宋体" w:hAnsi="宋体" w:eastAsia="宋体" w:cs="宋体"/>
          <w:color w:val="auto"/>
          <w:sz w:val="24"/>
        </w:rPr>
        <w:t>《地表水环境质量标准》GB3838、《地下水质量标准》GB/T14848</w:t>
      </w:r>
      <w:r>
        <w:rPr>
          <w:rFonts w:hint="eastAsia" w:ascii="宋体" w:hAnsi="宋体" w:cs="宋体"/>
          <w:color w:val="auto"/>
          <w:sz w:val="24"/>
          <w:lang w:val="en-US" w:eastAsia="zh-CN"/>
        </w:rPr>
        <w:t>的有关规定</w:t>
      </w:r>
      <w:r>
        <w:rPr>
          <w:rFonts w:hint="eastAsia" w:ascii="宋体" w:hAnsi="宋体" w:eastAsia="宋体" w:cs="宋体"/>
          <w:color w:val="auto"/>
          <w:sz w:val="24"/>
          <w:lang w:eastAsia="zh-CN"/>
        </w:rPr>
        <w:t>；</w:t>
      </w:r>
    </w:p>
    <w:p w14:paraId="777FB01E">
      <w:pPr>
        <w:numPr>
          <w:ilvl w:val="-1"/>
          <w:numId w:val="0"/>
        </w:numPr>
        <w:spacing w:line="360" w:lineRule="auto"/>
        <w:ind w:left="0" w:leftChars="0" w:firstLine="480" w:firstLineChars="200"/>
        <w:rPr>
          <w:rFonts w:hint="eastAsia" w:ascii="宋体" w:hAnsi="宋体" w:eastAsia="宋体" w:cs="宋体"/>
          <w:color w:val="auto"/>
          <w:sz w:val="24"/>
        </w:rPr>
      </w:pPr>
      <w:r>
        <w:rPr>
          <w:rFonts w:hint="eastAsia" w:ascii="宋体" w:hAnsi="宋体" w:eastAsia="宋体" w:cs="宋体"/>
          <w:color w:val="auto"/>
          <w:sz w:val="24"/>
          <w:lang w:val="en-US" w:eastAsia="zh-CN"/>
        </w:rPr>
        <w:t xml:space="preserve">2 </w:t>
      </w:r>
      <w:r>
        <w:rPr>
          <w:rFonts w:hint="eastAsia" w:ascii="宋体" w:hAnsi="宋体" w:eastAsia="宋体" w:cs="宋体"/>
          <w:color w:val="auto"/>
          <w:sz w:val="24"/>
        </w:rPr>
        <w:t>对原水水质进行在线监测及预警，及时发现异常变化并采取措施，当水源水质不符合要求时，需经过净化处理后达到标准</w:t>
      </w:r>
      <w:r>
        <w:rPr>
          <w:rFonts w:hint="eastAsia" w:ascii="宋体" w:hAnsi="宋体" w:eastAsia="宋体" w:cs="宋体"/>
          <w:color w:val="auto"/>
          <w:sz w:val="24"/>
          <w:lang w:eastAsia="zh-CN"/>
        </w:rPr>
        <w:t>，</w:t>
      </w:r>
      <w:r>
        <w:rPr>
          <w:rFonts w:hint="eastAsia" w:ascii="宋体" w:hAnsi="宋体" w:eastAsia="宋体" w:cs="宋体"/>
          <w:color w:val="auto"/>
          <w:sz w:val="24"/>
        </w:rPr>
        <w:t>减少对环境的潜在污染。</w:t>
      </w:r>
    </w:p>
    <w:p w14:paraId="747DD960">
      <w:pPr>
        <w:spacing w:line="360" w:lineRule="auto"/>
        <w:rPr>
          <w:rFonts w:hint="eastAsia" w:ascii="宋体" w:hAnsi="宋体" w:eastAsia="宋体" w:cs="宋体"/>
          <w:color w:val="auto"/>
          <w:sz w:val="24"/>
          <w:lang w:val="en-US" w:eastAsia="zh-CN"/>
        </w:rPr>
      </w:pPr>
      <w:r>
        <w:rPr>
          <w:rFonts w:hint="eastAsia" w:ascii="宋体" w:hAnsi="宋体" w:cs="宋体"/>
          <w:color w:val="auto"/>
          <w:sz w:val="24"/>
          <w:lang w:val="en-US" w:eastAsia="zh-CN"/>
        </w:rPr>
        <w:t>B.8</w:t>
      </w:r>
      <w:r>
        <w:rPr>
          <w:rFonts w:hint="eastAsia" w:ascii="宋体" w:hAnsi="宋体" w:eastAsia="宋体" w:cs="宋体"/>
          <w:color w:val="auto"/>
          <w:sz w:val="24"/>
          <w:lang w:val="en-US" w:eastAsia="zh-CN"/>
        </w:rPr>
        <w:t>.3 采取地下水源保护措施，</w:t>
      </w:r>
      <w:r>
        <w:rPr>
          <w:rFonts w:hint="eastAsia" w:ascii="宋体" w:hAnsi="宋体" w:cs="宋体"/>
          <w:color w:val="auto"/>
          <w:sz w:val="24"/>
          <w:lang w:val="en-US" w:eastAsia="zh-CN"/>
        </w:rPr>
        <w:t>应按下列</w:t>
      </w:r>
      <w:r>
        <w:rPr>
          <w:rFonts w:hint="eastAsia" w:ascii="宋体" w:hAnsi="宋体" w:eastAsia="宋体" w:cs="宋体"/>
          <w:color w:val="auto"/>
          <w:sz w:val="24"/>
          <w:lang w:val="en-US" w:eastAsia="zh-CN"/>
        </w:rPr>
        <w:t>内容分别评分：</w:t>
      </w:r>
    </w:p>
    <w:p w14:paraId="25ACF2F6">
      <w:pPr>
        <w:numPr>
          <w:ilvl w:val="-1"/>
          <w:numId w:val="0"/>
        </w:numPr>
        <w:spacing w:line="360" w:lineRule="auto"/>
        <w:ind w:left="0" w:leftChars="0" w:firstLine="480" w:firstLineChars="200"/>
        <w:rPr>
          <w:rFonts w:hint="eastAsia" w:ascii="宋体" w:hAnsi="宋体" w:eastAsia="宋体" w:cs="宋体"/>
          <w:color w:val="auto"/>
          <w:sz w:val="24"/>
        </w:rPr>
      </w:pPr>
      <w:r>
        <w:rPr>
          <w:rFonts w:hint="eastAsia" w:ascii="宋体" w:hAnsi="宋体" w:eastAsia="宋体" w:cs="宋体"/>
          <w:color w:val="auto"/>
          <w:sz w:val="24"/>
          <w:lang w:val="en-US" w:eastAsia="zh-CN"/>
        </w:rPr>
        <w:t xml:space="preserve">1 </w:t>
      </w:r>
      <w:r>
        <w:rPr>
          <w:rFonts w:hint="eastAsia" w:ascii="宋体" w:hAnsi="宋体" w:eastAsia="宋体" w:cs="宋体"/>
          <w:color w:val="auto"/>
          <w:sz w:val="24"/>
        </w:rPr>
        <w:t>建立长期观测设施（观测网、观测孔），实时监测地下水开采动态，</w:t>
      </w:r>
      <w:r>
        <w:rPr>
          <w:rFonts w:hint="eastAsia" w:ascii="宋体" w:hAnsi="宋体" w:eastAsia="宋体" w:cs="宋体"/>
          <w:color w:val="auto"/>
          <w:sz w:val="24"/>
          <w:lang w:val="en-US" w:eastAsia="zh-CN"/>
        </w:rPr>
        <w:t>地下水水源监测符合</w:t>
      </w:r>
      <w:r>
        <w:rPr>
          <w:rFonts w:hint="eastAsia" w:ascii="宋体" w:hAnsi="宋体" w:cs="宋体"/>
          <w:color w:val="auto"/>
          <w:sz w:val="24"/>
          <w:lang w:val="en-US" w:eastAsia="zh-CN"/>
        </w:rPr>
        <w:t>现行国家标准</w:t>
      </w:r>
      <w:r>
        <w:rPr>
          <w:rFonts w:hint="eastAsia" w:ascii="宋体" w:hAnsi="宋体" w:eastAsia="宋体" w:cs="宋体"/>
          <w:color w:val="auto"/>
          <w:sz w:val="24"/>
          <w:lang w:val="en-US" w:eastAsia="zh-CN"/>
        </w:rPr>
        <w:t>《地下水质标准》</w:t>
      </w:r>
      <w:r>
        <w:rPr>
          <w:rFonts w:hint="eastAsia" w:ascii="宋体" w:hAnsi="宋体" w:eastAsia="宋体" w:cs="宋体"/>
          <w:color w:val="auto"/>
          <w:sz w:val="24"/>
        </w:rPr>
        <w:t>GB/T14848</w:t>
      </w:r>
      <w:r>
        <w:rPr>
          <w:rFonts w:hint="eastAsia" w:ascii="宋体" w:hAnsi="宋体" w:cs="宋体"/>
          <w:color w:val="auto"/>
          <w:sz w:val="24"/>
          <w:lang w:val="en-US" w:eastAsia="zh-CN"/>
        </w:rPr>
        <w:t>的有关规定</w:t>
      </w:r>
      <w:r>
        <w:rPr>
          <w:rFonts w:hint="eastAsia" w:ascii="宋体" w:hAnsi="宋体" w:eastAsia="宋体" w:cs="宋体"/>
          <w:color w:val="auto"/>
          <w:sz w:val="24"/>
          <w:lang w:eastAsia="zh-CN"/>
        </w:rPr>
        <w:t>；</w:t>
      </w:r>
      <w:r>
        <w:rPr>
          <w:rFonts w:hint="eastAsia" w:ascii="宋体" w:hAnsi="宋体" w:eastAsia="宋体" w:cs="宋体"/>
          <w:color w:val="auto"/>
          <w:sz w:val="24"/>
        </w:rPr>
        <w:t xml:space="preserve"> </w:t>
      </w:r>
    </w:p>
    <w:p w14:paraId="1ABDE181">
      <w:pPr>
        <w:numPr>
          <w:ilvl w:val="-1"/>
          <w:numId w:val="0"/>
        </w:numPr>
        <w:spacing w:line="360" w:lineRule="auto"/>
        <w:ind w:left="0" w:leftChars="0" w:firstLine="480" w:firstLineChars="200"/>
        <w:rPr>
          <w:rFonts w:hint="eastAsia" w:ascii="宋体" w:hAnsi="宋体" w:eastAsia="宋体" w:cs="宋体"/>
          <w:color w:val="auto"/>
          <w:sz w:val="24"/>
        </w:rPr>
      </w:pPr>
      <w:r>
        <w:rPr>
          <w:rFonts w:hint="eastAsia" w:ascii="宋体" w:hAnsi="宋体" w:eastAsia="宋体" w:cs="宋体"/>
          <w:color w:val="auto"/>
          <w:sz w:val="24"/>
          <w:lang w:val="en-US" w:eastAsia="zh-CN"/>
        </w:rPr>
        <w:t xml:space="preserve">2 </w:t>
      </w:r>
      <w:r>
        <w:rPr>
          <w:rFonts w:hint="eastAsia" w:ascii="宋体" w:hAnsi="宋体" w:eastAsia="宋体" w:cs="宋体"/>
          <w:color w:val="auto"/>
          <w:sz w:val="24"/>
        </w:rPr>
        <w:t>根据水源地地理位置、水文地质条件、供水量及污染源分布，科学划定保护区和防护范围。</w:t>
      </w:r>
    </w:p>
    <w:p w14:paraId="782E5D0B">
      <w:pPr>
        <w:numPr>
          <w:ilvl w:val="0"/>
          <w:numId w:val="0"/>
        </w:numPr>
        <w:spacing w:line="360" w:lineRule="auto"/>
        <w:rPr>
          <w:rFonts w:hint="eastAsia" w:ascii="宋体" w:hAnsi="宋体" w:eastAsia="宋体" w:cs="宋体"/>
          <w:color w:val="auto"/>
          <w:sz w:val="24"/>
          <w:lang w:val="en-US" w:eastAsia="zh-CN"/>
        </w:rPr>
      </w:pPr>
      <w:r>
        <w:rPr>
          <w:rFonts w:hint="eastAsia" w:ascii="宋体" w:hAnsi="宋体" w:cs="宋体"/>
          <w:color w:val="auto"/>
          <w:sz w:val="24"/>
          <w:lang w:val="en-US" w:eastAsia="zh-CN"/>
        </w:rPr>
        <w:t>B.8</w:t>
      </w:r>
      <w:r>
        <w:rPr>
          <w:rFonts w:hint="eastAsia" w:ascii="宋体" w:hAnsi="宋体" w:eastAsia="宋体" w:cs="宋体"/>
          <w:color w:val="auto"/>
          <w:sz w:val="24"/>
          <w:lang w:val="en-US" w:eastAsia="zh-CN"/>
        </w:rPr>
        <w:t xml:space="preserve">.4 </w:t>
      </w:r>
      <w:r>
        <w:rPr>
          <w:rFonts w:hint="eastAsia" w:ascii="宋体" w:hAnsi="宋体" w:eastAsia="宋体" w:cs="宋体"/>
          <w:strike w:val="0"/>
          <w:color w:val="auto"/>
          <w:sz w:val="24"/>
          <w:highlight w:val="none"/>
          <w:lang w:val="en-US" w:eastAsia="zh-CN"/>
        </w:rPr>
        <w:t>集中式供水单位</w:t>
      </w:r>
      <w:r>
        <w:rPr>
          <w:rFonts w:hint="eastAsia" w:ascii="宋体" w:hAnsi="宋体" w:cs="宋体"/>
          <w:strike w:val="0"/>
          <w:color w:val="auto"/>
          <w:sz w:val="24"/>
          <w:highlight w:val="none"/>
          <w:lang w:val="en-US" w:eastAsia="zh-CN"/>
        </w:rPr>
        <w:t>应</w:t>
      </w:r>
      <w:r>
        <w:rPr>
          <w:rFonts w:hint="eastAsia" w:ascii="宋体" w:hAnsi="宋体" w:eastAsia="宋体" w:cs="宋体"/>
          <w:color w:val="auto"/>
          <w:sz w:val="24"/>
          <w:lang w:val="en-US" w:eastAsia="zh-CN"/>
        </w:rPr>
        <w:t>针对取水、输水、净水、蓄水和配水等可能发生污染的环节，制定和落实防范措施，加强检查，严防污染事情发生。</w:t>
      </w:r>
    </w:p>
    <w:p w14:paraId="0471A0A1">
      <w:pPr>
        <w:spacing w:line="360" w:lineRule="auto"/>
        <w:rPr>
          <w:rFonts w:hint="eastAsia" w:ascii="宋体" w:hAnsi="宋体" w:eastAsia="宋体" w:cs="宋体"/>
          <w:color w:val="auto"/>
          <w:sz w:val="24"/>
          <w:lang w:val="en-US" w:eastAsia="zh-CN"/>
        </w:rPr>
      </w:pPr>
      <w:r>
        <w:rPr>
          <w:rFonts w:hint="eastAsia" w:ascii="宋体" w:hAnsi="宋体" w:cs="宋体"/>
          <w:color w:val="auto"/>
          <w:sz w:val="24"/>
          <w:lang w:val="en-US" w:eastAsia="zh-CN"/>
        </w:rPr>
        <w:t>B.8</w:t>
      </w:r>
      <w:r>
        <w:rPr>
          <w:rFonts w:hint="eastAsia" w:ascii="宋体" w:hAnsi="宋体" w:eastAsia="宋体" w:cs="宋体"/>
          <w:color w:val="auto"/>
          <w:sz w:val="24"/>
          <w:lang w:val="en-US" w:eastAsia="zh-CN"/>
        </w:rPr>
        <w:t>.5 二次供水设施污染防范措施，</w:t>
      </w:r>
      <w:r>
        <w:rPr>
          <w:rFonts w:hint="eastAsia" w:ascii="宋体" w:hAnsi="宋体" w:cs="宋体"/>
          <w:color w:val="auto"/>
          <w:sz w:val="24"/>
          <w:lang w:val="en-US" w:eastAsia="zh-CN"/>
        </w:rPr>
        <w:t>应按下列</w:t>
      </w:r>
      <w:r>
        <w:rPr>
          <w:rFonts w:hint="eastAsia" w:ascii="宋体" w:hAnsi="宋体" w:eastAsia="宋体" w:cs="宋体"/>
          <w:color w:val="auto"/>
          <w:sz w:val="24"/>
          <w:lang w:val="en-US" w:eastAsia="zh-CN"/>
        </w:rPr>
        <w:t>内容分别评分：</w:t>
      </w:r>
    </w:p>
    <w:p w14:paraId="04CA8887">
      <w:pPr>
        <w:numPr>
          <w:ilvl w:val="-1"/>
          <w:numId w:val="0"/>
        </w:numPr>
        <w:spacing w:line="360" w:lineRule="auto"/>
        <w:ind w:left="0" w:leftChars="0" w:firstLine="480" w:firstLineChars="200"/>
        <w:rPr>
          <w:rFonts w:hint="eastAsia" w:ascii="宋体" w:hAnsi="宋体" w:eastAsia="宋体" w:cs="宋体"/>
          <w:color w:val="auto"/>
          <w:sz w:val="24"/>
        </w:rPr>
      </w:pPr>
      <w:r>
        <w:rPr>
          <w:rFonts w:hint="eastAsia" w:ascii="宋体" w:hAnsi="宋体" w:eastAsia="宋体" w:cs="宋体"/>
          <w:color w:val="auto"/>
          <w:sz w:val="24"/>
          <w:lang w:val="en-US" w:eastAsia="zh-CN"/>
        </w:rPr>
        <w:t xml:space="preserve">1 </w:t>
      </w:r>
      <w:r>
        <w:rPr>
          <w:rFonts w:hint="eastAsia" w:ascii="宋体" w:hAnsi="宋体" w:eastAsia="宋体" w:cs="宋体"/>
          <w:color w:val="auto"/>
          <w:sz w:val="24"/>
        </w:rPr>
        <w:t>设施周围保持环境整洁，有良好的排水条件，避免对周边环境造成污染</w:t>
      </w:r>
      <w:r>
        <w:rPr>
          <w:rFonts w:hint="eastAsia" w:ascii="宋体" w:hAnsi="宋体" w:eastAsia="宋体" w:cs="宋体"/>
          <w:color w:val="auto"/>
          <w:sz w:val="24"/>
          <w:lang w:eastAsia="zh-CN"/>
        </w:rPr>
        <w:t>；</w:t>
      </w:r>
    </w:p>
    <w:p w14:paraId="7D6D9101">
      <w:pPr>
        <w:numPr>
          <w:ilvl w:val="-1"/>
          <w:numId w:val="0"/>
        </w:numPr>
        <w:spacing w:line="360" w:lineRule="auto"/>
        <w:ind w:left="0" w:leftChars="0" w:firstLine="480" w:firstLineChars="200"/>
        <w:rPr>
          <w:rFonts w:hint="eastAsia" w:ascii="宋体" w:hAnsi="宋体" w:eastAsia="宋体" w:cs="宋体"/>
          <w:color w:val="auto"/>
          <w:sz w:val="24"/>
        </w:rPr>
      </w:pPr>
      <w:r>
        <w:rPr>
          <w:rFonts w:hint="eastAsia" w:ascii="宋体" w:hAnsi="宋体" w:eastAsia="宋体" w:cs="宋体"/>
          <w:color w:val="auto"/>
          <w:sz w:val="24"/>
          <w:lang w:val="en-US" w:eastAsia="zh-CN"/>
        </w:rPr>
        <w:t>2 二次供水</w:t>
      </w:r>
      <w:r>
        <w:rPr>
          <w:rFonts w:hint="eastAsia" w:ascii="宋体" w:hAnsi="宋体" w:eastAsia="宋体" w:cs="宋体"/>
          <w:color w:val="auto"/>
          <w:sz w:val="24"/>
        </w:rPr>
        <w:t>蓄水池周围10米以内</w:t>
      </w:r>
      <w:r>
        <w:rPr>
          <w:rFonts w:hint="eastAsia" w:ascii="宋体" w:hAnsi="宋体" w:eastAsia="宋体" w:cs="宋体"/>
          <w:color w:val="auto"/>
          <w:sz w:val="24"/>
          <w:lang w:val="en-US" w:eastAsia="zh-CN"/>
        </w:rPr>
        <w:t>无</w:t>
      </w:r>
      <w:r>
        <w:rPr>
          <w:rFonts w:hint="eastAsia" w:ascii="宋体" w:hAnsi="宋体" w:eastAsia="宋体" w:cs="宋体"/>
          <w:color w:val="auto"/>
          <w:sz w:val="24"/>
        </w:rPr>
        <w:t>渗水坑和堆放的垃圾等污染源，水箱周围2米内</w:t>
      </w:r>
      <w:r>
        <w:rPr>
          <w:rFonts w:hint="eastAsia" w:ascii="宋体" w:hAnsi="宋体" w:eastAsia="宋体" w:cs="宋体"/>
          <w:color w:val="auto"/>
          <w:sz w:val="24"/>
          <w:lang w:val="en-US" w:eastAsia="zh-CN"/>
        </w:rPr>
        <w:t>无</w:t>
      </w:r>
      <w:r>
        <w:rPr>
          <w:rFonts w:hint="eastAsia" w:ascii="宋体" w:hAnsi="宋体" w:eastAsia="宋体" w:cs="宋体"/>
          <w:color w:val="auto"/>
          <w:sz w:val="24"/>
        </w:rPr>
        <w:t>污水管线及污染物</w:t>
      </w:r>
      <w:r>
        <w:rPr>
          <w:rFonts w:hint="eastAsia" w:ascii="宋体" w:hAnsi="宋体" w:eastAsia="宋体" w:cs="宋体"/>
          <w:color w:val="auto"/>
          <w:sz w:val="24"/>
          <w:lang w:eastAsia="zh-CN"/>
        </w:rPr>
        <w:t>；</w:t>
      </w:r>
    </w:p>
    <w:p w14:paraId="4025E4A4">
      <w:pPr>
        <w:numPr>
          <w:ilvl w:val="-1"/>
          <w:numId w:val="0"/>
        </w:numPr>
        <w:spacing w:line="360" w:lineRule="auto"/>
        <w:ind w:left="0" w:leftChars="0" w:firstLine="480" w:firstLineChars="200"/>
        <w:rPr>
          <w:rFonts w:hint="eastAsia" w:ascii="宋体" w:hAnsi="宋体" w:eastAsia="宋体" w:cs="宋体"/>
          <w:color w:val="auto"/>
          <w:sz w:val="24"/>
        </w:rPr>
      </w:pPr>
      <w:r>
        <w:rPr>
          <w:rFonts w:hint="eastAsia" w:ascii="宋体" w:hAnsi="宋体" w:eastAsia="宋体" w:cs="宋体"/>
          <w:color w:val="auto"/>
          <w:sz w:val="24"/>
          <w:lang w:val="en-US" w:eastAsia="zh-CN"/>
        </w:rPr>
        <w:t>3 二次供水</w:t>
      </w:r>
      <w:r>
        <w:rPr>
          <w:rFonts w:hint="eastAsia" w:ascii="宋体" w:hAnsi="宋体" w:eastAsia="宋体" w:cs="宋体"/>
          <w:color w:val="auto"/>
          <w:sz w:val="24"/>
        </w:rPr>
        <w:t>设施设计中要求水箱的材质和内壁涂料无毒无害，不影响水的感官性状，避免对环境造成化学污染。</w:t>
      </w:r>
    </w:p>
    <w:p w14:paraId="7618037C">
      <w:pPr>
        <w:numPr>
          <w:ilvl w:val="0"/>
          <w:numId w:val="0"/>
        </w:numPr>
        <w:spacing w:line="360" w:lineRule="auto"/>
        <w:ind w:leftChars="0"/>
        <w:rPr>
          <w:rFonts w:hint="eastAsia" w:ascii="宋体" w:hAnsi="宋体" w:eastAsia="宋体" w:cs="宋体"/>
          <w:color w:val="auto"/>
          <w:sz w:val="24"/>
          <w:lang w:eastAsia="zh-CN"/>
        </w:rPr>
      </w:pPr>
      <w:r>
        <w:rPr>
          <w:rFonts w:hint="eastAsia" w:ascii="宋体" w:hAnsi="宋体" w:cs="宋体"/>
          <w:color w:val="auto"/>
          <w:sz w:val="24"/>
          <w:lang w:val="en-US" w:eastAsia="zh-CN"/>
        </w:rPr>
        <w:t>B.8</w:t>
      </w:r>
      <w:r>
        <w:rPr>
          <w:rFonts w:hint="eastAsia" w:ascii="宋体" w:hAnsi="宋体" w:eastAsia="宋体" w:cs="宋体"/>
          <w:color w:val="auto"/>
          <w:sz w:val="24"/>
          <w:lang w:val="en-US" w:eastAsia="zh-CN"/>
        </w:rPr>
        <w:t>.6 二次供水</w:t>
      </w:r>
      <w:r>
        <w:rPr>
          <w:rFonts w:hint="eastAsia" w:ascii="宋体" w:hAnsi="宋体" w:eastAsia="宋体" w:cs="宋体"/>
          <w:color w:val="auto"/>
          <w:sz w:val="24"/>
        </w:rPr>
        <w:t>采用物理学方法和生物学方法测量紫外线强度，</w:t>
      </w:r>
      <w:r>
        <w:rPr>
          <w:rFonts w:hint="eastAsia" w:ascii="宋体" w:hAnsi="宋体" w:cs="宋体"/>
          <w:color w:val="auto"/>
          <w:sz w:val="24"/>
          <w:lang w:val="en-US" w:eastAsia="zh-CN"/>
        </w:rPr>
        <w:t>应在</w:t>
      </w:r>
      <w:r>
        <w:rPr>
          <w:rFonts w:hint="eastAsia" w:ascii="宋体" w:hAnsi="宋体" w:eastAsia="宋体" w:cs="宋体"/>
          <w:color w:val="auto"/>
          <w:sz w:val="24"/>
        </w:rPr>
        <w:t>确保消毒效果的同时，避免过度使用化学消毒剂对环境造成影响</w:t>
      </w:r>
      <w:r>
        <w:rPr>
          <w:rFonts w:hint="eastAsia" w:ascii="宋体" w:hAnsi="宋体" w:eastAsia="宋体" w:cs="宋体"/>
          <w:color w:val="auto"/>
          <w:sz w:val="24"/>
          <w:lang w:eastAsia="zh-CN"/>
        </w:rPr>
        <w:t>。</w:t>
      </w:r>
    </w:p>
    <w:p w14:paraId="2CEC53EE">
      <w:pPr>
        <w:spacing w:line="360" w:lineRule="auto"/>
        <w:rPr>
          <w:rFonts w:hint="eastAsia" w:ascii="宋体" w:hAnsi="宋体" w:eastAsia="宋体" w:cs="宋体"/>
          <w:color w:val="auto"/>
          <w:sz w:val="24"/>
          <w:lang w:val="en-US" w:eastAsia="zh-CN"/>
        </w:rPr>
      </w:pPr>
      <w:r>
        <w:rPr>
          <w:rFonts w:hint="eastAsia" w:ascii="宋体" w:hAnsi="宋体" w:cs="宋体"/>
          <w:color w:val="auto"/>
          <w:sz w:val="24"/>
          <w:lang w:val="en-US" w:eastAsia="zh-CN"/>
        </w:rPr>
        <w:t>B.8</w:t>
      </w:r>
      <w:r>
        <w:rPr>
          <w:rFonts w:hint="eastAsia" w:ascii="宋体" w:hAnsi="宋体" w:eastAsia="宋体" w:cs="宋体"/>
          <w:color w:val="auto"/>
          <w:sz w:val="24"/>
          <w:lang w:val="en-US" w:eastAsia="zh-CN"/>
        </w:rPr>
        <w:t>.7 供水厂污泥处理，</w:t>
      </w:r>
      <w:r>
        <w:rPr>
          <w:rFonts w:hint="eastAsia" w:ascii="宋体" w:hAnsi="宋体" w:cs="宋体"/>
          <w:color w:val="auto"/>
          <w:sz w:val="24"/>
          <w:lang w:val="en-US" w:eastAsia="zh-CN"/>
        </w:rPr>
        <w:t>应按下列</w:t>
      </w:r>
      <w:r>
        <w:rPr>
          <w:rFonts w:hint="eastAsia" w:ascii="宋体" w:hAnsi="宋体" w:eastAsia="宋体" w:cs="宋体"/>
          <w:color w:val="auto"/>
          <w:sz w:val="24"/>
          <w:lang w:val="en-US" w:eastAsia="zh-CN"/>
        </w:rPr>
        <w:t>内容分别评分：</w:t>
      </w:r>
    </w:p>
    <w:p w14:paraId="7211D203">
      <w:pPr>
        <w:numPr>
          <w:ilvl w:val="-1"/>
          <w:numId w:val="0"/>
        </w:numPr>
        <w:spacing w:line="360" w:lineRule="auto"/>
        <w:ind w:left="0" w:leftChars="0" w:firstLine="480" w:firstLineChars="200"/>
        <w:rPr>
          <w:rFonts w:hint="eastAsia" w:ascii="宋体" w:hAnsi="宋体" w:eastAsia="宋体" w:cs="宋体"/>
          <w:color w:val="auto"/>
          <w:sz w:val="24"/>
        </w:rPr>
      </w:pPr>
      <w:r>
        <w:rPr>
          <w:rFonts w:hint="eastAsia" w:ascii="宋体" w:hAnsi="宋体" w:eastAsia="宋体" w:cs="宋体"/>
          <w:color w:val="auto"/>
          <w:sz w:val="24"/>
          <w:lang w:val="en-US" w:eastAsia="zh-CN"/>
        </w:rPr>
        <w:t xml:space="preserve">1 </w:t>
      </w:r>
      <w:r>
        <w:rPr>
          <w:rFonts w:hint="eastAsia" w:ascii="宋体" w:hAnsi="宋体" w:eastAsia="宋体" w:cs="宋体"/>
          <w:color w:val="auto"/>
          <w:sz w:val="24"/>
        </w:rPr>
        <w:t>污泥处理系统的设计和运行与制水生产能力相匹配，避免污泥对环境造成二次污染</w:t>
      </w:r>
      <w:r>
        <w:rPr>
          <w:rFonts w:hint="eastAsia" w:ascii="宋体" w:hAnsi="宋体" w:eastAsia="宋体" w:cs="宋体"/>
          <w:color w:val="auto"/>
          <w:sz w:val="24"/>
          <w:lang w:eastAsia="zh-CN"/>
        </w:rPr>
        <w:t>；</w:t>
      </w:r>
    </w:p>
    <w:p w14:paraId="73E4BF17">
      <w:pPr>
        <w:numPr>
          <w:ilvl w:val="-1"/>
          <w:numId w:val="0"/>
        </w:numPr>
        <w:spacing w:line="360" w:lineRule="auto"/>
        <w:ind w:left="0" w:leftChars="0" w:firstLine="480" w:firstLineChars="200"/>
        <w:rPr>
          <w:rFonts w:hint="eastAsia" w:ascii="宋体" w:hAnsi="宋体" w:eastAsia="宋体" w:cs="宋体"/>
          <w:color w:val="auto"/>
          <w:sz w:val="24"/>
        </w:rPr>
      </w:pPr>
      <w:r>
        <w:rPr>
          <w:rFonts w:hint="eastAsia" w:ascii="宋体" w:hAnsi="宋体" w:eastAsia="宋体" w:cs="宋体"/>
          <w:color w:val="auto"/>
          <w:sz w:val="24"/>
          <w:lang w:val="en-US" w:eastAsia="zh-CN"/>
        </w:rPr>
        <w:t xml:space="preserve">2 </w:t>
      </w:r>
      <w:r>
        <w:rPr>
          <w:rFonts w:hint="eastAsia" w:ascii="宋体" w:hAnsi="宋体" w:eastAsia="宋体" w:cs="宋体"/>
          <w:color w:val="auto"/>
          <w:sz w:val="24"/>
        </w:rPr>
        <w:t>污泥脱水后的脱水液</w:t>
      </w:r>
      <w:r>
        <w:rPr>
          <w:rFonts w:hint="eastAsia" w:ascii="宋体" w:hAnsi="宋体" w:eastAsia="宋体" w:cs="宋体"/>
          <w:color w:val="auto"/>
          <w:sz w:val="24"/>
          <w:lang w:val="en-US" w:eastAsia="zh-CN"/>
        </w:rPr>
        <w:t>无</w:t>
      </w:r>
      <w:r>
        <w:rPr>
          <w:rFonts w:hint="eastAsia" w:ascii="宋体" w:hAnsi="宋体" w:eastAsia="宋体" w:cs="宋体"/>
          <w:color w:val="auto"/>
          <w:sz w:val="24"/>
        </w:rPr>
        <w:t>回用，且排入下水道时应符合排放标准，以防止对水体的污染。</w:t>
      </w:r>
    </w:p>
    <w:p w14:paraId="3EBF9A0A">
      <w:pPr>
        <w:spacing w:line="360" w:lineRule="auto"/>
        <w:rPr>
          <w:rFonts w:hint="eastAsia" w:ascii="宋体" w:hAnsi="宋体" w:eastAsia="宋体" w:cs="宋体"/>
          <w:color w:val="auto"/>
          <w:sz w:val="24"/>
          <w:lang w:val="en-US" w:eastAsia="zh-CN"/>
        </w:rPr>
      </w:pPr>
      <w:r>
        <w:rPr>
          <w:rFonts w:hint="eastAsia" w:ascii="宋体" w:hAnsi="宋体" w:cs="宋体"/>
          <w:color w:val="auto"/>
          <w:sz w:val="24"/>
          <w:lang w:val="en-US" w:eastAsia="zh-CN"/>
        </w:rPr>
        <w:t>B.8</w:t>
      </w:r>
      <w:r>
        <w:rPr>
          <w:rFonts w:hint="eastAsia" w:ascii="宋体" w:hAnsi="宋体" w:eastAsia="宋体" w:cs="宋体"/>
          <w:color w:val="auto"/>
          <w:sz w:val="24"/>
          <w:lang w:val="en-US" w:eastAsia="zh-CN"/>
        </w:rPr>
        <w:t>.</w:t>
      </w:r>
      <w:r>
        <w:rPr>
          <w:rFonts w:hint="eastAsia" w:ascii="宋体" w:hAnsi="宋体" w:cs="宋体"/>
          <w:color w:val="auto"/>
          <w:sz w:val="24"/>
          <w:lang w:val="en-US" w:eastAsia="zh-CN"/>
        </w:rPr>
        <w:t>8</w:t>
      </w:r>
      <w:r>
        <w:rPr>
          <w:rFonts w:hint="eastAsia" w:ascii="宋体" w:hAnsi="宋体" w:eastAsia="宋体" w:cs="宋体"/>
          <w:color w:val="auto"/>
          <w:sz w:val="24"/>
          <w:lang w:val="en-US" w:eastAsia="zh-CN"/>
        </w:rPr>
        <w:t xml:space="preserve"> 优化管网运行减少能耗，</w:t>
      </w:r>
      <w:r>
        <w:rPr>
          <w:rFonts w:hint="eastAsia" w:ascii="宋体" w:hAnsi="宋体" w:cs="宋体"/>
          <w:color w:val="auto"/>
          <w:sz w:val="24"/>
          <w:lang w:val="en-US" w:eastAsia="zh-CN"/>
        </w:rPr>
        <w:t>应按下列</w:t>
      </w:r>
      <w:r>
        <w:rPr>
          <w:rFonts w:hint="eastAsia" w:ascii="宋体" w:hAnsi="宋体" w:eastAsia="宋体" w:cs="宋体"/>
          <w:color w:val="auto"/>
          <w:sz w:val="24"/>
          <w:lang w:val="en-US" w:eastAsia="zh-CN"/>
        </w:rPr>
        <w:t>内容分别评分：</w:t>
      </w:r>
    </w:p>
    <w:p w14:paraId="5CABEF23">
      <w:pPr>
        <w:numPr>
          <w:ilvl w:val="-1"/>
          <w:numId w:val="0"/>
        </w:numPr>
        <w:spacing w:line="360" w:lineRule="auto"/>
        <w:ind w:left="0" w:leftChars="0" w:firstLine="480" w:firstLineChars="200"/>
        <w:rPr>
          <w:rFonts w:hint="eastAsia" w:ascii="宋体" w:hAnsi="宋体" w:eastAsia="宋体" w:cs="宋体"/>
          <w:color w:val="auto"/>
          <w:sz w:val="24"/>
        </w:rPr>
      </w:pPr>
      <w:r>
        <w:rPr>
          <w:rFonts w:hint="eastAsia" w:ascii="宋体" w:hAnsi="宋体" w:eastAsia="宋体" w:cs="宋体"/>
          <w:color w:val="auto"/>
          <w:sz w:val="24"/>
          <w:lang w:val="en-US" w:eastAsia="zh-CN"/>
        </w:rPr>
        <w:t xml:space="preserve">1 </w:t>
      </w:r>
      <w:r>
        <w:rPr>
          <w:rFonts w:hint="eastAsia" w:ascii="宋体" w:hAnsi="宋体" w:eastAsia="宋体" w:cs="宋体"/>
          <w:color w:val="auto"/>
          <w:sz w:val="24"/>
        </w:rPr>
        <w:t>通过建立管网水力模型系统，优化管网运行和压力管理，减少不必要的能耗</w:t>
      </w:r>
      <w:r>
        <w:rPr>
          <w:rFonts w:hint="eastAsia" w:ascii="宋体" w:hAnsi="宋体" w:eastAsia="宋体" w:cs="宋体"/>
          <w:color w:val="auto"/>
          <w:sz w:val="24"/>
          <w:lang w:eastAsia="zh-CN"/>
        </w:rPr>
        <w:t>；</w:t>
      </w:r>
    </w:p>
    <w:p w14:paraId="6E679DC8">
      <w:pPr>
        <w:numPr>
          <w:ilvl w:val="-1"/>
          <w:numId w:val="0"/>
        </w:numPr>
        <w:spacing w:line="360" w:lineRule="auto"/>
        <w:ind w:left="0" w:leftChars="0" w:firstLine="480" w:firstLineChars="200"/>
        <w:rPr>
          <w:rFonts w:hint="eastAsia" w:ascii="宋体" w:hAnsi="宋体" w:eastAsia="宋体" w:cs="宋体"/>
          <w:color w:val="auto"/>
          <w:sz w:val="24"/>
        </w:rPr>
      </w:pPr>
      <w:r>
        <w:rPr>
          <w:rFonts w:hint="eastAsia" w:ascii="宋体" w:hAnsi="宋体" w:eastAsia="宋体" w:cs="宋体"/>
          <w:color w:val="auto"/>
          <w:sz w:val="24"/>
          <w:lang w:val="en-US" w:eastAsia="zh-CN"/>
        </w:rPr>
        <w:t xml:space="preserve">2 </w:t>
      </w:r>
      <w:r>
        <w:rPr>
          <w:rFonts w:hint="eastAsia" w:ascii="宋体" w:hAnsi="宋体" w:eastAsia="宋体" w:cs="宋体"/>
          <w:color w:val="auto"/>
          <w:sz w:val="24"/>
        </w:rPr>
        <w:t>采用中途增压泵站的方式，降低出厂水压力，减少能耗</w:t>
      </w:r>
      <w:r>
        <w:rPr>
          <w:rFonts w:hint="eastAsia" w:ascii="宋体" w:hAnsi="宋体" w:eastAsia="宋体" w:cs="宋体"/>
          <w:color w:val="auto"/>
          <w:sz w:val="24"/>
          <w:lang w:eastAsia="zh-CN"/>
        </w:rPr>
        <w:t>。</w:t>
      </w:r>
    </w:p>
    <w:p w14:paraId="7E9B4159">
      <w:pPr>
        <w:spacing w:line="360" w:lineRule="auto"/>
        <w:rPr>
          <w:rFonts w:hint="eastAsia" w:ascii="宋体" w:hAnsi="宋体" w:eastAsia="宋体" w:cs="宋体"/>
          <w:color w:val="auto"/>
          <w:sz w:val="24"/>
          <w:lang w:val="en-US" w:eastAsia="zh-CN"/>
        </w:rPr>
      </w:pPr>
      <w:r>
        <w:rPr>
          <w:rFonts w:hint="eastAsia" w:ascii="宋体" w:hAnsi="宋体" w:cs="宋体"/>
          <w:color w:val="auto"/>
          <w:sz w:val="24"/>
          <w:lang w:val="en-US" w:eastAsia="zh-CN"/>
        </w:rPr>
        <w:t>B.8</w:t>
      </w:r>
      <w:r>
        <w:rPr>
          <w:rFonts w:hint="eastAsia" w:ascii="宋体" w:hAnsi="宋体" w:eastAsia="宋体" w:cs="宋体"/>
          <w:color w:val="auto"/>
          <w:sz w:val="24"/>
          <w:lang w:val="en-US" w:eastAsia="zh-CN"/>
        </w:rPr>
        <w:t>.</w:t>
      </w:r>
      <w:r>
        <w:rPr>
          <w:rFonts w:hint="eastAsia" w:ascii="宋体" w:hAnsi="宋体" w:cs="宋体"/>
          <w:color w:val="auto"/>
          <w:sz w:val="24"/>
          <w:lang w:val="en-US" w:eastAsia="zh-CN"/>
        </w:rPr>
        <w:t>9</w:t>
      </w:r>
      <w:r>
        <w:rPr>
          <w:rFonts w:hint="eastAsia" w:ascii="宋体" w:hAnsi="宋体" w:eastAsia="宋体" w:cs="宋体"/>
          <w:color w:val="auto"/>
          <w:sz w:val="24"/>
          <w:lang w:val="en-US" w:eastAsia="zh-CN"/>
        </w:rPr>
        <w:t xml:space="preserve"> </w:t>
      </w:r>
      <w:r>
        <w:rPr>
          <w:rFonts w:hint="eastAsia" w:ascii="宋体" w:hAnsi="宋体" w:eastAsia="宋体" w:cs="宋体"/>
          <w:color w:val="auto"/>
          <w:sz w:val="24"/>
        </w:rPr>
        <w:t>减少供水管网的漏损水量，节约水资源</w:t>
      </w:r>
      <w:r>
        <w:rPr>
          <w:rFonts w:hint="eastAsia" w:ascii="宋体" w:hAnsi="宋体" w:eastAsia="宋体" w:cs="宋体"/>
          <w:color w:val="auto"/>
          <w:sz w:val="24"/>
          <w:lang w:eastAsia="zh-CN"/>
        </w:rPr>
        <w:t>，</w:t>
      </w:r>
      <w:r>
        <w:rPr>
          <w:rFonts w:hint="eastAsia" w:ascii="宋体" w:hAnsi="宋体" w:cs="宋体"/>
          <w:color w:val="auto"/>
          <w:sz w:val="24"/>
          <w:lang w:val="en-US" w:eastAsia="zh-CN"/>
        </w:rPr>
        <w:t>应按下列</w:t>
      </w:r>
      <w:r>
        <w:rPr>
          <w:rFonts w:hint="eastAsia" w:ascii="宋体" w:hAnsi="宋体" w:eastAsia="宋体" w:cs="宋体"/>
          <w:color w:val="auto"/>
          <w:sz w:val="24"/>
          <w:lang w:val="en-US" w:eastAsia="zh-CN"/>
        </w:rPr>
        <w:t>分别评分：</w:t>
      </w:r>
    </w:p>
    <w:p w14:paraId="4F5860D6">
      <w:pPr>
        <w:numPr>
          <w:ilvl w:val="-1"/>
          <w:numId w:val="0"/>
        </w:numPr>
        <w:spacing w:line="360" w:lineRule="auto"/>
        <w:ind w:left="0" w:leftChars="0" w:firstLine="480" w:firstLineChars="200"/>
        <w:rPr>
          <w:rFonts w:hint="eastAsia" w:ascii="宋体" w:hAnsi="宋体" w:eastAsia="宋体" w:cs="宋体"/>
          <w:color w:val="auto"/>
          <w:sz w:val="24"/>
        </w:rPr>
      </w:pPr>
      <w:r>
        <w:rPr>
          <w:rFonts w:hint="eastAsia" w:ascii="宋体" w:hAnsi="宋体" w:eastAsia="宋体" w:cs="宋体"/>
          <w:color w:val="auto"/>
          <w:sz w:val="24"/>
          <w:lang w:val="en-US" w:eastAsia="zh-CN"/>
        </w:rPr>
        <w:t>1 供水管网</w:t>
      </w:r>
      <w:r>
        <w:rPr>
          <w:rFonts w:hint="eastAsia" w:ascii="宋体" w:hAnsi="宋体" w:eastAsia="宋体" w:cs="宋体"/>
          <w:color w:val="auto"/>
          <w:sz w:val="24"/>
        </w:rPr>
        <w:t>漏损控制</w:t>
      </w:r>
      <w:r>
        <w:rPr>
          <w:rFonts w:hint="eastAsia" w:ascii="宋体" w:hAnsi="宋体" w:eastAsia="宋体" w:cs="宋体"/>
          <w:color w:val="auto"/>
          <w:sz w:val="24"/>
          <w:lang w:val="en-US" w:eastAsia="zh-CN"/>
        </w:rPr>
        <w:t>符合</w:t>
      </w:r>
      <w:r>
        <w:rPr>
          <w:rFonts w:hint="eastAsia" w:ascii="宋体" w:hAnsi="宋体" w:cs="宋体"/>
          <w:color w:val="auto"/>
          <w:sz w:val="24"/>
          <w:lang w:val="en-US" w:eastAsia="zh-CN"/>
        </w:rPr>
        <w:t>现行行业标准</w:t>
      </w:r>
      <w:r>
        <w:rPr>
          <w:rFonts w:hint="eastAsia" w:ascii="宋体" w:hAnsi="宋体" w:eastAsia="宋体" w:cs="宋体"/>
          <w:color w:val="auto"/>
          <w:sz w:val="24"/>
          <w:lang w:val="en-US" w:eastAsia="zh-CN"/>
        </w:rPr>
        <w:t>《城镇供水管网漏损控制机评定标准》CJJ92-2016</w:t>
      </w:r>
      <w:r>
        <w:rPr>
          <w:rFonts w:hint="eastAsia" w:ascii="宋体" w:hAnsi="宋体" w:cs="宋体"/>
          <w:color w:val="auto"/>
          <w:sz w:val="24"/>
          <w:lang w:val="en-US" w:eastAsia="zh-CN"/>
        </w:rPr>
        <w:t>的有关规定</w:t>
      </w:r>
      <w:r>
        <w:rPr>
          <w:rFonts w:hint="eastAsia" w:ascii="宋体" w:hAnsi="宋体" w:eastAsia="宋体" w:cs="宋体"/>
          <w:color w:val="auto"/>
          <w:sz w:val="24"/>
          <w:lang w:eastAsia="zh-CN"/>
        </w:rPr>
        <w:t>；</w:t>
      </w:r>
    </w:p>
    <w:p w14:paraId="351AF73E">
      <w:pPr>
        <w:numPr>
          <w:ilvl w:val="-1"/>
          <w:numId w:val="0"/>
        </w:numPr>
        <w:spacing w:line="360" w:lineRule="auto"/>
        <w:ind w:left="0" w:leftChars="0" w:firstLine="480" w:firstLineChars="200"/>
        <w:rPr>
          <w:rFonts w:hint="eastAsia" w:ascii="宋体" w:hAnsi="宋体" w:eastAsia="宋体" w:cs="宋体"/>
          <w:color w:val="auto"/>
          <w:sz w:val="24"/>
          <w:lang w:eastAsia="zh-CN"/>
        </w:rPr>
      </w:pPr>
      <w:r>
        <w:rPr>
          <w:rFonts w:hint="eastAsia" w:ascii="宋体" w:hAnsi="宋体" w:eastAsia="宋体" w:cs="宋体"/>
          <w:color w:val="auto"/>
          <w:sz w:val="24"/>
          <w:lang w:val="en-US" w:eastAsia="zh-CN"/>
        </w:rPr>
        <w:t>2 采取</w:t>
      </w:r>
      <w:r>
        <w:rPr>
          <w:rFonts w:hint="eastAsia" w:ascii="宋体" w:hAnsi="宋体" w:eastAsia="宋体" w:cs="宋体"/>
          <w:color w:val="auto"/>
          <w:sz w:val="24"/>
        </w:rPr>
        <w:t>漏损控制措施，</w:t>
      </w:r>
      <w:r>
        <w:rPr>
          <w:rFonts w:hint="eastAsia" w:ascii="宋体" w:hAnsi="宋体" w:eastAsia="宋体" w:cs="宋体"/>
          <w:color w:val="auto"/>
          <w:sz w:val="24"/>
          <w:lang w:val="en-US" w:eastAsia="zh-CN"/>
        </w:rPr>
        <w:t>包括：</w:t>
      </w:r>
      <w:r>
        <w:rPr>
          <w:rFonts w:hint="eastAsia" w:ascii="宋体" w:hAnsi="宋体" w:eastAsia="宋体" w:cs="宋体"/>
          <w:color w:val="auto"/>
          <w:sz w:val="24"/>
        </w:rPr>
        <w:t>分区管理、压力调控、计量损失控制等，降低管网漏损率，提高水资源利用效率</w:t>
      </w:r>
      <w:r>
        <w:rPr>
          <w:rFonts w:hint="eastAsia" w:ascii="宋体" w:hAnsi="宋体" w:eastAsia="宋体" w:cs="宋体"/>
          <w:color w:val="auto"/>
          <w:sz w:val="24"/>
          <w:lang w:eastAsia="zh-CN"/>
        </w:rPr>
        <w:t>；</w:t>
      </w:r>
    </w:p>
    <w:p w14:paraId="2503C806">
      <w:pPr>
        <w:numPr>
          <w:ilvl w:val="-1"/>
          <w:numId w:val="0"/>
        </w:numPr>
        <w:spacing w:line="360" w:lineRule="auto"/>
        <w:ind w:left="0" w:leftChars="0" w:firstLine="480" w:firstLineChars="200"/>
        <w:rPr>
          <w:rFonts w:hint="eastAsia" w:ascii="宋体" w:hAnsi="宋体" w:eastAsia="宋体" w:cs="宋体"/>
          <w:color w:val="auto"/>
          <w:sz w:val="24"/>
          <w:lang w:eastAsia="zh-CN"/>
        </w:rPr>
      </w:pPr>
      <w:r>
        <w:rPr>
          <w:rFonts w:hint="eastAsia" w:ascii="宋体" w:hAnsi="宋体" w:eastAsia="宋体" w:cs="宋体"/>
          <w:color w:val="auto"/>
          <w:sz w:val="24"/>
          <w:lang w:val="en-US" w:eastAsia="zh-CN"/>
        </w:rPr>
        <w:t xml:space="preserve">3 </w:t>
      </w:r>
      <w:r>
        <w:rPr>
          <w:rFonts w:hint="eastAsia" w:ascii="宋体" w:hAnsi="宋体" w:eastAsia="宋体" w:cs="宋体"/>
          <w:color w:val="auto"/>
          <w:sz w:val="24"/>
        </w:rPr>
        <w:t>通过合理的压力调控，降低管网漏失和爆管风险，减少因管道破裂导致的水资源浪费和环境破坏</w:t>
      </w:r>
      <w:r>
        <w:rPr>
          <w:rFonts w:hint="eastAsia" w:ascii="宋体" w:hAnsi="宋体" w:eastAsia="宋体" w:cs="宋体"/>
          <w:color w:val="auto"/>
          <w:sz w:val="24"/>
          <w:lang w:eastAsia="zh-CN"/>
        </w:rPr>
        <w:t>。</w:t>
      </w:r>
    </w:p>
    <w:p w14:paraId="73A3BA82">
      <w:pPr>
        <w:spacing w:line="360" w:lineRule="auto"/>
        <w:rPr>
          <w:rFonts w:hint="eastAsia" w:ascii="宋体" w:hAnsi="宋体" w:eastAsia="宋体" w:cs="宋体"/>
          <w:color w:val="auto"/>
          <w:sz w:val="24"/>
          <w:lang w:val="en-US" w:eastAsia="zh-CN"/>
        </w:rPr>
      </w:pPr>
      <w:r>
        <w:rPr>
          <w:rFonts w:hint="eastAsia" w:ascii="宋体" w:hAnsi="宋体" w:cs="宋体"/>
          <w:color w:val="auto"/>
          <w:sz w:val="24"/>
          <w:lang w:val="en-US" w:eastAsia="zh-CN"/>
        </w:rPr>
        <w:t>B.8</w:t>
      </w:r>
      <w:r>
        <w:rPr>
          <w:rFonts w:hint="eastAsia" w:ascii="宋体" w:hAnsi="宋体" w:eastAsia="宋体" w:cs="宋体"/>
          <w:color w:val="auto"/>
          <w:sz w:val="24"/>
          <w:lang w:val="en-US" w:eastAsia="zh-CN"/>
        </w:rPr>
        <w:t>.</w:t>
      </w:r>
      <w:r>
        <w:rPr>
          <w:rFonts w:hint="eastAsia" w:ascii="宋体" w:hAnsi="宋体" w:cs="宋体"/>
          <w:color w:val="auto"/>
          <w:sz w:val="24"/>
          <w:lang w:val="en-US" w:eastAsia="zh-CN"/>
        </w:rPr>
        <w:t>10</w:t>
      </w:r>
      <w:r>
        <w:rPr>
          <w:rFonts w:hint="eastAsia" w:ascii="宋体" w:hAnsi="宋体" w:eastAsia="宋体" w:cs="宋体"/>
          <w:color w:val="auto"/>
          <w:sz w:val="24"/>
          <w:lang w:val="en-US" w:eastAsia="zh-CN"/>
        </w:rPr>
        <w:t xml:space="preserve"> 二次供水设施合理设置，减少水资源浪费，</w:t>
      </w:r>
      <w:r>
        <w:rPr>
          <w:rFonts w:hint="eastAsia" w:ascii="宋体" w:hAnsi="宋体" w:cs="宋体"/>
          <w:color w:val="auto"/>
          <w:sz w:val="24"/>
          <w:lang w:val="en-US" w:eastAsia="zh-CN"/>
        </w:rPr>
        <w:t>应按下列</w:t>
      </w:r>
      <w:r>
        <w:rPr>
          <w:rFonts w:hint="eastAsia" w:ascii="宋体" w:hAnsi="宋体" w:eastAsia="宋体" w:cs="宋体"/>
          <w:color w:val="auto"/>
          <w:sz w:val="24"/>
          <w:lang w:val="en-US" w:eastAsia="zh-CN"/>
        </w:rPr>
        <w:t>分别评分：</w:t>
      </w:r>
    </w:p>
    <w:p w14:paraId="21AE62E2">
      <w:pPr>
        <w:numPr>
          <w:ilvl w:val="-1"/>
          <w:numId w:val="0"/>
        </w:numPr>
        <w:spacing w:line="360" w:lineRule="auto"/>
        <w:ind w:left="0" w:leftChars="0" w:firstLine="480" w:firstLineChars="200"/>
        <w:rPr>
          <w:rFonts w:hint="eastAsia" w:ascii="宋体" w:hAnsi="宋体" w:eastAsia="宋体" w:cs="宋体"/>
          <w:color w:val="auto"/>
          <w:sz w:val="24"/>
        </w:rPr>
      </w:pPr>
      <w:r>
        <w:rPr>
          <w:rFonts w:hint="eastAsia" w:ascii="宋体" w:hAnsi="宋体" w:eastAsia="宋体" w:cs="宋体"/>
          <w:color w:val="auto"/>
          <w:sz w:val="24"/>
          <w:lang w:val="en-US" w:eastAsia="zh-CN"/>
        </w:rPr>
        <w:t xml:space="preserve">1 </w:t>
      </w:r>
      <w:r>
        <w:rPr>
          <w:rFonts w:hint="eastAsia" w:ascii="宋体" w:hAnsi="宋体" w:eastAsia="宋体" w:cs="宋体"/>
          <w:color w:val="auto"/>
          <w:sz w:val="24"/>
        </w:rPr>
        <w:t>设施设计要求饮用水箱或水池专用，</w:t>
      </w:r>
      <w:r>
        <w:rPr>
          <w:rFonts w:hint="eastAsia" w:ascii="宋体" w:hAnsi="宋体" w:eastAsia="宋体" w:cs="宋体"/>
          <w:color w:val="auto"/>
          <w:sz w:val="24"/>
          <w:lang w:val="en-US" w:eastAsia="zh-CN"/>
        </w:rPr>
        <w:t>无</w:t>
      </w:r>
      <w:r>
        <w:rPr>
          <w:rFonts w:hint="eastAsia" w:ascii="宋体" w:hAnsi="宋体" w:eastAsia="宋体" w:cs="宋体"/>
          <w:color w:val="auto"/>
          <w:sz w:val="24"/>
        </w:rPr>
        <w:t>渗漏，防止水资源浪费</w:t>
      </w:r>
      <w:r>
        <w:rPr>
          <w:rFonts w:hint="eastAsia" w:ascii="宋体" w:hAnsi="宋体" w:eastAsia="宋体" w:cs="宋体"/>
          <w:color w:val="auto"/>
          <w:sz w:val="24"/>
          <w:lang w:eastAsia="zh-CN"/>
        </w:rPr>
        <w:t>；</w:t>
      </w:r>
    </w:p>
    <w:p w14:paraId="36757AFD">
      <w:pPr>
        <w:numPr>
          <w:ilvl w:val="-1"/>
          <w:numId w:val="0"/>
        </w:numPr>
        <w:spacing w:line="360" w:lineRule="auto"/>
        <w:ind w:left="0" w:leftChars="0" w:firstLine="480" w:firstLineChars="200"/>
        <w:rPr>
          <w:rFonts w:hint="eastAsia" w:ascii="宋体" w:hAnsi="宋体" w:eastAsia="宋体" w:cs="宋体"/>
          <w:color w:val="auto"/>
          <w:sz w:val="24"/>
        </w:rPr>
      </w:pPr>
      <w:r>
        <w:rPr>
          <w:rFonts w:hint="eastAsia" w:ascii="宋体" w:hAnsi="宋体" w:eastAsia="宋体" w:cs="宋体"/>
          <w:color w:val="auto"/>
          <w:sz w:val="24"/>
          <w:lang w:val="en-US" w:eastAsia="zh-CN"/>
        </w:rPr>
        <w:t xml:space="preserve">2 </w:t>
      </w:r>
      <w:r>
        <w:rPr>
          <w:rFonts w:hint="eastAsia" w:ascii="宋体" w:hAnsi="宋体" w:eastAsia="宋体" w:cs="宋体"/>
          <w:color w:val="auto"/>
          <w:sz w:val="24"/>
        </w:rPr>
        <w:t>水箱的容积设计不超过用户48小时的用水量，避免过度储存导致水资源闲置或浪费</w:t>
      </w:r>
      <w:r>
        <w:rPr>
          <w:rFonts w:hint="eastAsia" w:ascii="宋体" w:hAnsi="宋体" w:eastAsia="宋体" w:cs="宋体"/>
          <w:color w:val="auto"/>
          <w:sz w:val="24"/>
          <w:lang w:eastAsia="zh-CN"/>
        </w:rPr>
        <w:t>；</w:t>
      </w:r>
    </w:p>
    <w:p w14:paraId="055DAFE3">
      <w:pPr>
        <w:numPr>
          <w:ilvl w:val="-1"/>
          <w:numId w:val="0"/>
        </w:numPr>
        <w:spacing w:line="360" w:lineRule="auto"/>
        <w:ind w:left="0" w:leftChars="0" w:firstLine="480" w:firstLineChars="200"/>
        <w:rPr>
          <w:rFonts w:hint="eastAsia" w:ascii="宋体" w:hAnsi="宋体" w:eastAsia="宋体" w:cs="宋体"/>
          <w:color w:val="auto"/>
          <w:sz w:val="24"/>
        </w:rPr>
      </w:pPr>
      <w:r>
        <w:rPr>
          <w:rFonts w:hint="eastAsia" w:ascii="宋体" w:hAnsi="宋体" w:eastAsia="宋体" w:cs="宋体"/>
          <w:color w:val="auto"/>
          <w:sz w:val="24"/>
          <w:lang w:val="en-US" w:eastAsia="zh-CN"/>
        </w:rPr>
        <w:t xml:space="preserve">3 </w:t>
      </w:r>
      <w:r>
        <w:rPr>
          <w:rFonts w:hint="eastAsia" w:ascii="宋体" w:hAnsi="宋体" w:eastAsia="宋体" w:cs="宋体"/>
          <w:color w:val="auto"/>
          <w:sz w:val="24"/>
        </w:rPr>
        <w:t>设施不得与市政供水管道直接连通，特殊情况需设置不承压水箱，防止水资源在输送过程中的浪费</w:t>
      </w:r>
      <w:r>
        <w:rPr>
          <w:rFonts w:hint="eastAsia" w:ascii="宋体" w:hAnsi="宋体" w:eastAsia="宋体" w:cs="宋体"/>
          <w:color w:val="auto"/>
          <w:sz w:val="24"/>
          <w:lang w:eastAsia="zh-CN"/>
        </w:rPr>
        <w:t>；</w:t>
      </w:r>
    </w:p>
    <w:p w14:paraId="725D089E">
      <w:pPr>
        <w:numPr>
          <w:ilvl w:val="-1"/>
          <w:numId w:val="0"/>
        </w:numPr>
        <w:spacing w:line="360" w:lineRule="auto"/>
        <w:ind w:left="0" w:leftChars="0" w:firstLine="480" w:firstLineChars="200"/>
        <w:rPr>
          <w:rFonts w:hint="eastAsia" w:ascii="宋体" w:hAnsi="宋体" w:eastAsia="宋体" w:cs="宋体"/>
          <w:color w:val="auto"/>
          <w:sz w:val="24"/>
        </w:rPr>
      </w:pPr>
      <w:r>
        <w:rPr>
          <w:rFonts w:hint="eastAsia" w:ascii="宋体" w:hAnsi="宋体" w:eastAsia="宋体" w:cs="宋体"/>
          <w:color w:val="auto"/>
          <w:sz w:val="24"/>
          <w:lang w:val="en-US" w:eastAsia="zh-CN"/>
        </w:rPr>
        <w:t xml:space="preserve">4 </w:t>
      </w:r>
      <w:r>
        <w:rPr>
          <w:rFonts w:hint="eastAsia" w:ascii="宋体" w:hAnsi="宋体" w:eastAsia="宋体" w:cs="宋体"/>
          <w:color w:val="auto"/>
          <w:sz w:val="24"/>
        </w:rPr>
        <w:t>设施管道与非饮用水管道</w:t>
      </w:r>
      <w:r>
        <w:rPr>
          <w:rFonts w:hint="eastAsia" w:ascii="宋体" w:hAnsi="宋体" w:eastAsia="宋体" w:cs="宋体"/>
          <w:color w:val="auto"/>
          <w:sz w:val="24"/>
          <w:lang w:val="en-US" w:eastAsia="zh-CN"/>
        </w:rPr>
        <w:t>无</w:t>
      </w:r>
      <w:r>
        <w:rPr>
          <w:rFonts w:hint="eastAsia" w:ascii="宋体" w:hAnsi="宋体" w:eastAsia="宋体" w:cs="宋体"/>
          <w:color w:val="auto"/>
          <w:sz w:val="24"/>
        </w:rPr>
        <w:t>连接，避免水资源的交叉污染，确保水资源的有效利用。</w:t>
      </w:r>
    </w:p>
    <w:p w14:paraId="48074155">
      <w:pPr>
        <w:spacing w:line="360" w:lineRule="auto"/>
        <w:rPr>
          <w:rFonts w:hint="eastAsia" w:ascii="宋体" w:hAnsi="宋体" w:eastAsia="宋体" w:cs="宋体"/>
          <w:color w:val="auto"/>
          <w:sz w:val="24"/>
          <w:lang w:val="en-US" w:eastAsia="zh-CN"/>
        </w:rPr>
      </w:pPr>
      <w:r>
        <w:rPr>
          <w:rFonts w:hint="eastAsia" w:ascii="宋体" w:hAnsi="宋体" w:cs="宋体"/>
          <w:color w:val="auto"/>
          <w:sz w:val="24"/>
          <w:lang w:val="en-US" w:eastAsia="zh-CN"/>
        </w:rPr>
        <w:t>B.8</w:t>
      </w:r>
      <w:r>
        <w:rPr>
          <w:rFonts w:hint="eastAsia" w:ascii="宋体" w:hAnsi="宋体" w:eastAsia="宋体" w:cs="宋体"/>
          <w:color w:val="auto"/>
          <w:sz w:val="24"/>
          <w:lang w:val="en-US" w:eastAsia="zh-CN"/>
        </w:rPr>
        <w:t>.</w:t>
      </w:r>
      <w:r>
        <w:rPr>
          <w:rFonts w:hint="eastAsia" w:ascii="宋体" w:hAnsi="宋体" w:cs="宋体"/>
          <w:color w:val="auto"/>
          <w:sz w:val="24"/>
          <w:lang w:val="en-US" w:eastAsia="zh-CN"/>
        </w:rPr>
        <w:t>11</w:t>
      </w:r>
      <w:r>
        <w:rPr>
          <w:rFonts w:hint="eastAsia" w:ascii="宋体" w:hAnsi="宋体" w:eastAsia="宋体" w:cs="宋体"/>
          <w:color w:val="auto"/>
          <w:sz w:val="24"/>
          <w:lang w:val="en-US" w:eastAsia="zh-CN"/>
        </w:rPr>
        <w:t xml:space="preserve"> </w:t>
      </w:r>
      <w:r>
        <w:rPr>
          <w:rFonts w:hint="eastAsia" w:ascii="宋体" w:hAnsi="宋体" w:eastAsia="宋体" w:cs="宋体"/>
          <w:color w:val="auto"/>
          <w:sz w:val="24"/>
        </w:rPr>
        <w:t>给水管道系统所用的管材、管件及相关材料选择</w:t>
      </w:r>
      <w:r>
        <w:rPr>
          <w:rFonts w:hint="eastAsia" w:ascii="宋体" w:hAnsi="宋体" w:eastAsia="宋体" w:cs="宋体"/>
          <w:color w:val="auto"/>
          <w:sz w:val="24"/>
          <w:lang w:eastAsia="zh-CN"/>
        </w:rPr>
        <w:t>，</w:t>
      </w:r>
      <w:r>
        <w:rPr>
          <w:rFonts w:hint="eastAsia" w:ascii="宋体" w:hAnsi="宋体" w:cs="宋体"/>
          <w:color w:val="auto"/>
          <w:sz w:val="24"/>
          <w:lang w:val="en-US" w:eastAsia="zh-CN"/>
        </w:rPr>
        <w:t>应按下列</w:t>
      </w:r>
      <w:r>
        <w:rPr>
          <w:rFonts w:hint="eastAsia" w:ascii="宋体" w:hAnsi="宋体" w:eastAsia="宋体" w:cs="宋体"/>
          <w:color w:val="auto"/>
          <w:sz w:val="24"/>
          <w:lang w:val="en-US" w:eastAsia="zh-CN"/>
        </w:rPr>
        <w:t>内容分别评分：</w:t>
      </w:r>
    </w:p>
    <w:p w14:paraId="030A7876">
      <w:pPr>
        <w:numPr>
          <w:ilvl w:val="-1"/>
          <w:numId w:val="0"/>
        </w:numPr>
        <w:spacing w:line="360" w:lineRule="auto"/>
        <w:ind w:left="0" w:leftChars="0" w:firstLine="480" w:firstLineChars="200"/>
        <w:rPr>
          <w:rFonts w:hint="eastAsia" w:ascii="宋体" w:hAnsi="宋体" w:eastAsia="宋体" w:cs="宋体"/>
          <w:color w:val="auto"/>
          <w:sz w:val="24"/>
          <w:lang w:eastAsia="zh-CN"/>
        </w:rPr>
      </w:pPr>
      <w:r>
        <w:rPr>
          <w:rFonts w:hint="eastAsia" w:ascii="宋体" w:hAnsi="宋体" w:eastAsia="宋体" w:cs="宋体"/>
          <w:color w:val="auto"/>
          <w:sz w:val="24"/>
          <w:lang w:val="en-US" w:eastAsia="zh-CN"/>
        </w:rPr>
        <w:t xml:space="preserve">1 </w:t>
      </w:r>
      <w:r>
        <w:rPr>
          <w:rFonts w:hint="eastAsia" w:ascii="宋体" w:hAnsi="宋体" w:eastAsia="宋体" w:cs="宋体"/>
          <w:color w:val="auto"/>
          <w:sz w:val="24"/>
        </w:rPr>
        <w:t>埋地塑料给水管道系统</w:t>
      </w:r>
      <w:r>
        <w:rPr>
          <w:rFonts w:hint="eastAsia" w:ascii="宋体" w:hAnsi="宋体" w:eastAsia="宋体" w:cs="宋体"/>
          <w:color w:val="auto"/>
          <w:sz w:val="24"/>
          <w:lang w:val="en-US" w:eastAsia="zh-CN"/>
        </w:rPr>
        <w:t>材料</w:t>
      </w:r>
      <w:r>
        <w:rPr>
          <w:rFonts w:hint="eastAsia" w:ascii="宋体" w:hAnsi="宋体" w:eastAsia="宋体" w:cs="宋体"/>
          <w:color w:val="auto"/>
          <w:sz w:val="24"/>
        </w:rPr>
        <w:t>卫生性能</w:t>
      </w:r>
      <w:r>
        <w:rPr>
          <w:rFonts w:hint="eastAsia" w:ascii="宋体" w:hAnsi="宋体" w:eastAsia="宋体" w:cs="宋体"/>
          <w:color w:val="auto"/>
          <w:sz w:val="24"/>
          <w:lang w:eastAsia="zh-CN"/>
        </w:rPr>
        <w:t>，</w:t>
      </w:r>
      <w:r>
        <w:rPr>
          <w:rFonts w:hint="eastAsia" w:ascii="宋体" w:hAnsi="宋体" w:eastAsia="宋体" w:cs="宋体"/>
          <w:color w:val="auto"/>
          <w:sz w:val="24"/>
        </w:rPr>
        <w:t>符合</w:t>
      </w:r>
      <w:r>
        <w:rPr>
          <w:rFonts w:hint="eastAsia" w:ascii="宋体" w:hAnsi="宋体" w:cs="宋体"/>
          <w:color w:val="auto"/>
          <w:sz w:val="24"/>
          <w:lang w:val="en-US" w:eastAsia="zh-CN"/>
        </w:rPr>
        <w:t>现行国家标准</w:t>
      </w:r>
      <w:r>
        <w:rPr>
          <w:rFonts w:hint="eastAsia" w:ascii="宋体" w:hAnsi="宋体" w:eastAsia="宋体" w:cs="宋体"/>
          <w:color w:val="auto"/>
          <w:sz w:val="24"/>
        </w:rPr>
        <w:t>《生活饮用水输配水设备及防护材料的安全性评价标准》GB/T17219的有关规定，减少对环境的污染</w:t>
      </w:r>
      <w:r>
        <w:rPr>
          <w:rFonts w:hint="eastAsia" w:ascii="宋体" w:hAnsi="宋体" w:eastAsia="宋体" w:cs="宋体"/>
          <w:color w:val="auto"/>
          <w:sz w:val="24"/>
          <w:lang w:eastAsia="zh-CN"/>
        </w:rPr>
        <w:t>；</w:t>
      </w:r>
    </w:p>
    <w:p w14:paraId="60EC6727">
      <w:pPr>
        <w:numPr>
          <w:ilvl w:val="-1"/>
          <w:numId w:val="0"/>
        </w:numPr>
        <w:spacing w:line="360" w:lineRule="auto"/>
        <w:ind w:left="0" w:leftChars="0" w:firstLine="480" w:firstLineChars="200"/>
        <w:rPr>
          <w:rFonts w:hint="eastAsia" w:ascii="宋体" w:hAnsi="宋体" w:eastAsia="宋体" w:cs="宋体"/>
          <w:color w:val="auto"/>
          <w:sz w:val="24"/>
          <w:lang w:eastAsia="zh-CN"/>
        </w:rPr>
      </w:pPr>
      <w:r>
        <w:rPr>
          <w:rFonts w:hint="eastAsia" w:ascii="宋体" w:hAnsi="宋体" w:eastAsia="宋体" w:cs="宋体"/>
          <w:color w:val="auto"/>
          <w:sz w:val="24"/>
          <w:lang w:val="en-US" w:eastAsia="zh-CN"/>
        </w:rPr>
        <w:t xml:space="preserve">2 </w:t>
      </w:r>
      <w:r>
        <w:rPr>
          <w:rFonts w:hint="eastAsia" w:ascii="宋体" w:hAnsi="宋体" w:eastAsia="宋体" w:cs="宋体"/>
          <w:color w:val="auto"/>
          <w:sz w:val="24"/>
        </w:rPr>
        <w:t>使用良好耐腐蚀性和较长使用寿命</w:t>
      </w:r>
      <w:r>
        <w:rPr>
          <w:rFonts w:hint="eastAsia" w:ascii="宋体" w:hAnsi="宋体" w:eastAsia="宋体" w:cs="宋体"/>
          <w:color w:val="auto"/>
          <w:sz w:val="24"/>
          <w:lang w:eastAsia="zh-CN"/>
        </w:rPr>
        <w:t>的</w:t>
      </w:r>
      <w:r>
        <w:rPr>
          <w:rFonts w:hint="eastAsia" w:ascii="宋体" w:hAnsi="宋体" w:eastAsia="宋体" w:cs="宋体"/>
          <w:color w:val="auto"/>
          <w:sz w:val="24"/>
        </w:rPr>
        <w:t>聚乙烯（PE）、聚氯乙烯（PVC）等塑料材料，减少因管道损坏而频繁更换对环境的影响</w:t>
      </w:r>
      <w:r>
        <w:rPr>
          <w:rFonts w:hint="eastAsia" w:ascii="宋体" w:hAnsi="宋体" w:eastAsia="宋体" w:cs="宋体"/>
          <w:color w:val="auto"/>
          <w:sz w:val="24"/>
          <w:lang w:eastAsia="zh-CN"/>
        </w:rPr>
        <w:t>；</w:t>
      </w:r>
    </w:p>
    <w:p w14:paraId="0426497C">
      <w:pPr>
        <w:numPr>
          <w:ilvl w:val="-1"/>
          <w:numId w:val="0"/>
        </w:numPr>
        <w:spacing w:line="360" w:lineRule="auto"/>
        <w:ind w:left="0" w:leftChars="0" w:firstLine="480" w:firstLineChars="200"/>
        <w:rPr>
          <w:rFonts w:hint="eastAsia" w:ascii="宋体" w:hAnsi="宋体" w:eastAsia="宋体" w:cs="宋体"/>
          <w:color w:val="auto"/>
          <w:sz w:val="24"/>
        </w:rPr>
      </w:pPr>
      <w:r>
        <w:rPr>
          <w:rFonts w:hint="eastAsia" w:ascii="宋体" w:hAnsi="宋体" w:eastAsia="宋体" w:cs="宋体"/>
          <w:color w:val="auto"/>
          <w:sz w:val="24"/>
          <w:lang w:val="en-US" w:eastAsia="zh-CN"/>
        </w:rPr>
        <w:t>3 采用</w:t>
      </w:r>
      <w:r>
        <w:rPr>
          <w:rFonts w:hint="eastAsia" w:ascii="宋体" w:hAnsi="宋体" w:eastAsia="宋体" w:cs="宋体"/>
          <w:color w:val="auto"/>
          <w:sz w:val="24"/>
        </w:rPr>
        <w:t>热熔对接、电熔连接等管道连接方式</w:t>
      </w:r>
      <w:r>
        <w:rPr>
          <w:rFonts w:hint="eastAsia" w:ascii="宋体" w:hAnsi="宋体" w:eastAsia="宋体" w:cs="宋体"/>
          <w:color w:val="auto"/>
          <w:sz w:val="24"/>
          <w:lang w:eastAsia="zh-CN"/>
        </w:rPr>
        <w:t>，</w:t>
      </w:r>
      <w:r>
        <w:rPr>
          <w:rFonts w:hint="eastAsia" w:ascii="宋体" w:hAnsi="宋体" w:eastAsia="宋体" w:cs="宋体"/>
          <w:color w:val="auto"/>
          <w:sz w:val="24"/>
        </w:rPr>
        <w:t>减少胶粘剂等化学物质的使用，降低对土壤和地下水的污染风险</w:t>
      </w:r>
      <w:r>
        <w:rPr>
          <w:rFonts w:hint="eastAsia" w:ascii="宋体" w:hAnsi="宋体" w:eastAsia="宋体" w:cs="宋体"/>
          <w:color w:val="auto"/>
          <w:sz w:val="24"/>
          <w:lang w:eastAsia="zh-CN"/>
        </w:rPr>
        <w:t>；</w:t>
      </w:r>
    </w:p>
    <w:p w14:paraId="7D672AEE">
      <w:pPr>
        <w:numPr>
          <w:ilvl w:val="-1"/>
          <w:numId w:val="0"/>
        </w:numPr>
        <w:spacing w:line="360" w:lineRule="auto"/>
        <w:ind w:left="0" w:leftChars="0" w:firstLine="480" w:firstLineChars="200"/>
        <w:rPr>
          <w:rFonts w:hint="eastAsia" w:ascii="宋体" w:hAnsi="宋体" w:eastAsia="宋体" w:cs="宋体"/>
          <w:color w:val="auto"/>
          <w:sz w:val="24"/>
          <w:lang w:val="en-US" w:eastAsia="zh-CN"/>
        </w:rPr>
      </w:pPr>
      <w:r>
        <w:rPr>
          <w:rFonts w:hint="eastAsia" w:ascii="宋体" w:hAnsi="宋体" w:eastAsia="宋体" w:cs="宋体"/>
          <w:color w:val="auto"/>
          <w:sz w:val="24"/>
          <w:lang w:val="en-US" w:eastAsia="zh-CN"/>
        </w:rPr>
        <w:t>4 选择接口安全可靠性高、破损概率小、内壁阻力系统低和全寿命周期成本低的供水管道材料。</w:t>
      </w:r>
    </w:p>
    <w:p w14:paraId="774F250C">
      <w:pPr>
        <w:spacing w:line="360" w:lineRule="auto"/>
        <w:rPr>
          <w:rFonts w:hint="eastAsia" w:ascii="宋体" w:hAnsi="宋体" w:eastAsia="宋体" w:cs="宋体"/>
          <w:color w:val="auto"/>
          <w:sz w:val="24"/>
          <w:lang w:val="en-US" w:eastAsia="zh-CN"/>
        </w:rPr>
      </w:pPr>
      <w:r>
        <w:rPr>
          <w:rFonts w:hint="eastAsia" w:ascii="宋体" w:hAnsi="宋体" w:cs="宋体"/>
          <w:color w:val="auto"/>
          <w:sz w:val="24"/>
          <w:lang w:val="en-US" w:eastAsia="zh-CN"/>
        </w:rPr>
        <w:t>B.8</w:t>
      </w:r>
      <w:r>
        <w:rPr>
          <w:rFonts w:hint="eastAsia" w:ascii="宋体" w:hAnsi="宋体" w:eastAsia="宋体" w:cs="宋体"/>
          <w:color w:val="auto"/>
          <w:sz w:val="24"/>
          <w:lang w:val="en-US" w:eastAsia="zh-CN"/>
        </w:rPr>
        <w:t>.</w:t>
      </w:r>
      <w:r>
        <w:rPr>
          <w:rFonts w:hint="eastAsia" w:ascii="宋体" w:hAnsi="宋体" w:cs="宋体"/>
          <w:color w:val="auto"/>
          <w:sz w:val="24"/>
          <w:lang w:val="en-US" w:eastAsia="zh-CN"/>
        </w:rPr>
        <w:t>12</w:t>
      </w:r>
      <w:r>
        <w:rPr>
          <w:rFonts w:hint="eastAsia" w:ascii="宋体" w:hAnsi="宋体" w:eastAsia="宋体" w:cs="宋体"/>
          <w:color w:val="auto"/>
          <w:sz w:val="24"/>
          <w:lang w:val="en-US" w:eastAsia="zh-CN"/>
        </w:rPr>
        <w:t xml:space="preserve"> </w:t>
      </w:r>
      <w:r>
        <w:rPr>
          <w:rFonts w:hint="eastAsia" w:ascii="宋体" w:hAnsi="宋体" w:eastAsia="宋体" w:cs="宋体"/>
          <w:color w:val="auto"/>
          <w:sz w:val="24"/>
        </w:rPr>
        <w:t>材料的耐久性与使用寿命</w:t>
      </w:r>
      <w:r>
        <w:rPr>
          <w:rFonts w:hint="eastAsia" w:ascii="宋体" w:hAnsi="宋体" w:eastAsia="宋体" w:cs="宋体"/>
          <w:color w:val="auto"/>
          <w:sz w:val="24"/>
          <w:lang w:eastAsia="zh-CN"/>
        </w:rPr>
        <w:t>，</w:t>
      </w:r>
      <w:r>
        <w:rPr>
          <w:rFonts w:hint="eastAsia" w:ascii="宋体" w:hAnsi="宋体" w:cs="宋体"/>
          <w:color w:val="auto"/>
          <w:sz w:val="24"/>
          <w:lang w:val="en-US" w:eastAsia="zh-CN"/>
        </w:rPr>
        <w:t>应按下列</w:t>
      </w:r>
      <w:r>
        <w:rPr>
          <w:rFonts w:hint="eastAsia" w:ascii="宋体" w:hAnsi="宋体" w:eastAsia="宋体" w:cs="宋体"/>
          <w:color w:val="auto"/>
          <w:sz w:val="24"/>
          <w:lang w:val="en-US" w:eastAsia="zh-CN"/>
        </w:rPr>
        <w:t>内容分别评分：</w:t>
      </w:r>
    </w:p>
    <w:p w14:paraId="06690ECE">
      <w:pPr>
        <w:numPr>
          <w:ilvl w:val="-1"/>
          <w:numId w:val="0"/>
        </w:numPr>
        <w:spacing w:line="360" w:lineRule="auto"/>
        <w:ind w:left="0" w:leftChars="0" w:firstLine="480" w:firstLineChars="200"/>
        <w:rPr>
          <w:rFonts w:hint="eastAsia" w:ascii="宋体" w:hAnsi="宋体" w:eastAsia="宋体" w:cs="宋体"/>
          <w:color w:val="auto"/>
          <w:sz w:val="24"/>
        </w:rPr>
      </w:pPr>
      <w:r>
        <w:rPr>
          <w:rFonts w:hint="eastAsia" w:ascii="宋体" w:hAnsi="宋体" w:eastAsia="宋体" w:cs="宋体"/>
          <w:color w:val="auto"/>
          <w:sz w:val="24"/>
          <w:lang w:val="en-US" w:eastAsia="zh-CN"/>
        </w:rPr>
        <w:t xml:space="preserve">1 </w:t>
      </w:r>
      <w:r>
        <w:rPr>
          <w:rFonts w:hint="eastAsia" w:ascii="宋体" w:hAnsi="宋体" w:eastAsia="宋体" w:cs="宋体"/>
          <w:color w:val="auto"/>
          <w:sz w:val="24"/>
        </w:rPr>
        <w:t>管道设计使用年限不低于50年，结构安全等级不低于二级，减少因管道频繁更换而造成的资源浪费</w:t>
      </w:r>
      <w:r>
        <w:rPr>
          <w:rFonts w:hint="eastAsia" w:ascii="宋体" w:hAnsi="宋体" w:eastAsia="宋体" w:cs="宋体"/>
          <w:color w:val="auto"/>
          <w:sz w:val="24"/>
          <w:lang w:eastAsia="zh-CN"/>
        </w:rPr>
        <w:t>；</w:t>
      </w:r>
    </w:p>
    <w:p w14:paraId="40DF9EE4">
      <w:pPr>
        <w:numPr>
          <w:ilvl w:val="-1"/>
          <w:numId w:val="0"/>
        </w:numPr>
        <w:spacing w:line="360" w:lineRule="auto"/>
        <w:ind w:left="0" w:leftChars="0" w:firstLine="480" w:firstLineChars="200"/>
        <w:rPr>
          <w:rFonts w:hint="eastAsia" w:ascii="宋体" w:hAnsi="宋体" w:eastAsia="宋体" w:cs="宋体"/>
          <w:color w:val="auto"/>
          <w:sz w:val="24"/>
        </w:rPr>
      </w:pPr>
      <w:r>
        <w:rPr>
          <w:rFonts w:hint="eastAsia" w:ascii="宋体" w:hAnsi="宋体" w:eastAsia="宋体" w:cs="宋体"/>
          <w:color w:val="auto"/>
          <w:sz w:val="24"/>
          <w:lang w:val="en-US" w:eastAsia="zh-CN"/>
        </w:rPr>
        <w:t xml:space="preserve">2 </w:t>
      </w:r>
      <w:r>
        <w:rPr>
          <w:rFonts w:hint="eastAsia" w:ascii="宋体" w:hAnsi="宋体" w:eastAsia="宋体" w:cs="宋体"/>
          <w:color w:val="auto"/>
          <w:sz w:val="24"/>
        </w:rPr>
        <w:t>管材从生产到使用的存放时间不超过18个月，管件不超过24个月，避免因存放过久导致材料性能下降而浪费资源。</w:t>
      </w:r>
    </w:p>
    <w:p w14:paraId="2E24D477">
      <w:pPr>
        <w:spacing w:line="360" w:lineRule="auto"/>
        <w:rPr>
          <w:rFonts w:hint="eastAsia" w:ascii="宋体" w:hAnsi="宋体" w:eastAsia="宋体" w:cs="宋体"/>
          <w:color w:val="auto"/>
          <w:sz w:val="24"/>
          <w:lang w:val="en-US" w:eastAsia="zh-CN"/>
        </w:rPr>
      </w:pPr>
      <w:r>
        <w:rPr>
          <w:rFonts w:hint="eastAsia" w:ascii="宋体" w:hAnsi="宋体" w:cs="宋体"/>
          <w:color w:val="auto"/>
          <w:sz w:val="24"/>
          <w:lang w:val="en-US" w:eastAsia="zh-CN"/>
        </w:rPr>
        <w:t>B.8</w:t>
      </w:r>
      <w:r>
        <w:rPr>
          <w:rFonts w:hint="eastAsia" w:ascii="宋体" w:hAnsi="宋体" w:eastAsia="宋体" w:cs="宋体"/>
          <w:color w:val="auto"/>
          <w:sz w:val="24"/>
          <w:lang w:val="en-US" w:eastAsia="zh-CN"/>
        </w:rPr>
        <w:t>.</w:t>
      </w:r>
      <w:r>
        <w:rPr>
          <w:rFonts w:hint="eastAsia" w:ascii="宋体" w:hAnsi="宋体" w:cs="宋体"/>
          <w:color w:val="auto"/>
          <w:sz w:val="24"/>
          <w:lang w:val="en-US" w:eastAsia="zh-CN"/>
        </w:rPr>
        <w:t>13</w:t>
      </w:r>
      <w:r>
        <w:rPr>
          <w:rFonts w:hint="eastAsia" w:ascii="宋体" w:hAnsi="宋体" w:eastAsia="宋体" w:cs="宋体"/>
          <w:color w:val="auto"/>
          <w:sz w:val="24"/>
          <w:lang w:val="en-US" w:eastAsia="zh-CN"/>
        </w:rPr>
        <w:t xml:space="preserve"> </w:t>
      </w:r>
      <w:r>
        <w:rPr>
          <w:rFonts w:hint="eastAsia" w:ascii="宋体" w:hAnsi="宋体" w:eastAsia="宋体" w:cs="宋体"/>
          <w:color w:val="auto"/>
          <w:sz w:val="24"/>
        </w:rPr>
        <w:t>施工过程中资源节约</w:t>
      </w:r>
      <w:r>
        <w:rPr>
          <w:rFonts w:hint="eastAsia" w:ascii="宋体" w:hAnsi="宋体" w:eastAsia="宋体" w:cs="宋体"/>
          <w:color w:val="auto"/>
          <w:sz w:val="24"/>
          <w:lang w:eastAsia="zh-CN"/>
        </w:rPr>
        <w:t>，</w:t>
      </w:r>
      <w:r>
        <w:rPr>
          <w:rFonts w:hint="eastAsia" w:ascii="宋体" w:hAnsi="宋体" w:cs="宋体"/>
          <w:color w:val="auto"/>
          <w:sz w:val="24"/>
          <w:lang w:val="en-US" w:eastAsia="zh-CN"/>
        </w:rPr>
        <w:t>应按下列</w:t>
      </w:r>
      <w:r>
        <w:rPr>
          <w:rFonts w:hint="eastAsia" w:ascii="宋体" w:hAnsi="宋体" w:eastAsia="宋体" w:cs="宋体"/>
          <w:color w:val="auto"/>
          <w:sz w:val="24"/>
          <w:lang w:val="en-US" w:eastAsia="zh-CN"/>
        </w:rPr>
        <w:t>内容分别评分：</w:t>
      </w:r>
    </w:p>
    <w:p w14:paraId="2EE55918">
      <w:pPr>
        <w:numPr>
          <w:ilvl w:val="-1"/>
          <w:numId w:val="0"/>
        </w:numPr>
        <w:spacing w:line="360" w:lineRule="auto"/>
        <w:ind w:left="0" w:leftChars="0" w:firstLine="480" w:firstLineChars="200"/>
        <w:rPr>
          <w:rFonts w:hint="eastAsia" w:ascii="宋体" w:hAnsi="宋体" w:eastAsia="宋体" w:cs="宋体"/>
          <w:color w:val="auto"/>
          <w:sz w:val="24"/>
        </w:rPr>
      </w:pPr>
      <w:r>
        <w:rPr>
          <w:rFonts w:hint="eastAsia" w:ascii="宋体" w:hAnsi="宋体" w:eastAsia="宋体" w:cs="宋体"/>
          <w:color w:val="auto"/>
          <w:sz w:val="24"/>
          <w:lang w:val="en-US" w:eastAsia="zh-CN"/>
        </w:rPr>
        <w:t xml:space="preserve">1 </w:t>
      </w:r>
      <w:r>
        <w:rPr>
          <w:rFonts w:hint="eastAsia" w:ascii="宋体" w:hAnsi="宋体" w:eastAsia="宋体" w:cs="宋体"/>
          <w:color w:val="auto"/>
          <w:sz w:val="24"/>
        </w:rPr>
        <w:t>在施工过程中，管材、管件应小心轻放，</w:t>
      </w:r>
      <w:r>
        <w:rPr>
          <w:rFonts w:hint="eastAsia" w:ascii="宋体" w:hAnsi="宋体" w:eastAsia="宋体" w:cs="宋体"/>
          <w:color w:val="auto"/>
          <w:sz w:val="24"/>
          <w:lang w:val="en-US" w:eastAsia="zh-CN"/>
        </w:rPr>
        <w:t>无</w:t>
      </w:r>
      <w:r>
        <w:rPr>
          <w:rFonts w:hint="eastAsia" w:ascii="宋体" w:hAnsi="宋体" w:eastAsia="宋体" w:cs="宋体"/>
          <w:color w:val="auto"/>
          <w:sz w:val="24"/>
        </w:rPr>
        <w:t>抛、摔、滚、拖</w:t>
      </w:r>
      <w:r>
        <w:rPr>
          <w:rFonts w:hint="eastAsia" w:ascii="宋体" w:hAnsi="宋体" w:eastAsia="宋体" w:cs="宋体"/>
          <w:color w:val="auto"/>
          <w:sz w:val="24"/>
          <w:lang w:val="en-US" w:eastAsia="zh-CN"/>
        </w:rPr>
        <w:t>现象</w:t>
      </w:r>
      <w:r>
        <w:rPr>
          <w:rFonts w:hint="eastAsia" w:ascii="宋体" w:hAnsi="宋体" w:eastAsia="宋体" w:cs="宋体"/>
          <w:color w:val="auto"/>
          <w:sz w:val="24"/>
        </w:rPr>
        <w:t>，运输时应水平放置并采取保护措施，避免因损坏而导致资源浪费</w:t>
      </w:r>
      <w:r>
        <w:rPr>
          <w:rFonts w:hint="eastAsia" w:ascii="宋体" w:hAnsi="宋体" w:eastAsia="宋体" w:cs="宋体"/>
          <w:color w:val="auto"/>
          <w:sz w:val="24"/>
          <w:lang w:eastAsia="zh-CN"/>
        </w:rPr>
        <w:t>；</w:t>
      </w:r>
    </w:p>
    <w:p w14:paraId="7C914319">
      <w:pPr>
        <w:numPr>
          <w:ilvl w:val="-1"/>
          <w:numId w:val="0"/>
        </w:numPr>
        <w:spacing w:line="360" w:lineRule="auto"/>
        <w:ind w:left="0" w:leftChars="0" w:firstLine="480" w:firstLineChars="200"/>
        <w:rPr>
          <w:rFonts w:hint="eastAsia" w:ascii="宋体" w:hAnsi="宋体" w:eastAsia="宋体" w:cs="宋体"/>
          <w:color w:val="auto"/>
          <w:sz w:val="24"/>
        </w:rPr>
      </w:pPr>
      <w:r>
        <w:rPr>
          <w:rFonts w:hint="eastAsia" w:ascii="宋体" w:hAnsi="宋体" w:eastAsia="宋体" w:cs="宋体"/>
          <w:color w:val="auto"/>
          <w:sz w:val="24"/>
          <w:lang w:val="en-US" w:eastAsia="zh-CN"/>
        </w:rPr>
        <w:t xml:space="preserve">2 </w:t>
      </w:r>
      <w:r>
        <w:rPr>
          <w:rFonts w:hint="eastAsia" w:ascii="宋体" w:hAnsi="宋体" w:eastAsia="宋体" w:cs="宋体"/>
          <w:color w:val="auto"/>
          <w:sz w:val="24"/>
        </w:rPr>
        <w:t>回填材料的选择和压实</w:t>
      </w:r>
      <w:r>
        <w:rPr>
          <w:rFonts w:hint="eastAsia" w:ascii="宋体" w:hAnsi="宋体" w:eastAsia="宋体" w:cs="宋体"/>
          <w:color w:val="auto"/>
          <w:sz w:val="24"/>
          <w:lang w:val="en-US" w:eastAsia="zh-CN"/>
        </w:rPr>
        <w:t>作业</w:t>
      </w:r>
      <w:r>
        <w:rPr>
          <w:rFonts w:hint="eastAsia" w:ascii="宋体" w:hAnsi="宋体" w:eastAsia="宋体" w:cs="宋体"/>
          <w:color w:val="auto"/>
          <w:sz w:val="24"/>
        </w:rPr>
        <w:t>要求有助于提高管道系统的稳定性和使用寿命，减少因管道损坏而需要重新施工的资源消耗。</w:t>
      </w:r>
    </w:p>
    <w:p w14:paraId="67692B3D">
      <w:pPr>
        <w:numPr>
          <w:ilvl w:val="0"/>
          <w:numId w:val="0"/>
        </w:numPr>
        <w:spacing w:line="360" w:lineRule="auto"/>
        <w:rPr>
          <w:rFonts w:hint="eastAsia" w:ascii="宋体" w:hAnsi="宋体" w:eastAsia="宋体" w:cs="宋体"/>
          <w:color w:val="auto"/>
          <w:sz w:val="24"/>
          <w:lang w:eastAsia="zh-CN"/>
        </w:rPr>
      </w:pPr>
      <w:r>
        <w:rPr>
          <w:rFonts w:hint="eastAsia" w:ascii="宋体" w:hAnsi="宋体" w:cs="宋体"/>
          <w:color w:val="auto"/>
          <w:sz w:val="24"/>
          <w:lang w:val="en-US" w:eastAsia="zh-CN"/>
        </w:rPr>
        <w:t>B.8</w:t>
      </w:r>
      <w:r>
        <w:rPr>
          <w:rFonts w:hint="eastAsia" w:ascii="宋体" w:hAnsi="宋体" w:eastAsia="宋体" w:cs="宋体"/>
          <w:color w:val="auto"/>
          <w:sz w:val="24"/>
          <w:lang w:val="en-US" w:eastAsia="zh-CN"/>
        </w:rPr>
        <w:t>.</w:t>
      </w:r>
      <w:r>
        <w:rPr>
          <w:rFonts w:hint="eastAsia" w:ascii="宋体" w:hAnsi="宋体" w:cs="宋体"/>
          <w:color w:val="auto"/>
          <w:sz w:val="24"/>
          <w:lang w:val="en-US" w:eastAsia="zh-CN"/>
        </w:rPr>
        <w:t>14</w:t>
      </w:r>
      <w:r>
        <w:rPr>
          <w:rFonts w:hint="eastAsia" w:ascii="宋体" w:hAnsi="宋体" w:eastAsia="宋体" w:cs="宋体"/>
          <w:color w:val="auto"/>
          <w:sz w:val="24"/>
          <w:lang w:val="en-US" w:eastAsia="zh-CN"/>
        </w:rPr>
        <w:t xml:space="preserve"> </w:t>
      </w:r>
      <w:r>
        <w:rPr>
          <w:rFonts w:hint="eastAsia" w:ascii="宋体" w:hAnsi="宋体" w:eastAsia="宋体" w:cs="宋体"/>
          <w:color w:val="auto"/>
          <w:sz w:val="24"/>
        </w:rPr>
        <w:t>供水企业建立水质检测制度，建立水质检验室，配备专业人员和设备，对水源水、净化构筑物出水、出厂水和管网水进行定期检验</w:t>
      </w:r>
      <w:r>
        <w:rPr>
          <w:rFonts w:hint="eastAsia" w:ascii="宋体" w:hAnsi="宋体" w:eastAsia="宋体" w:cs="宋体"/>
          <w:color w:val="auto"/>
          <w:sz w:val="24"/>
          <w:lang w:eastAsia="zh-CN"/>
        </w:rPr>
        <w:t>。</w:t>
      </w:r>
      <w:r>
        <w:rPr>
          <w:rFonts w:hint="eastAsia" w:ascii="宋体" w:hAnsi="宋体" w:eastAsia="宋体" w:cs="宋体"/>
          <w:color w:val="auto"/>
          <w:sz w:val="24"/>
        </w:rPr>
        <w:t>确保供水水质符合国家规定的饮用水卫生标准，防止水质污染对环境和公众健康造成危害</w:t>
      </w:r>
      <w:r>
        <w:rPr>
          <w:rFonts w:hint="eastAsia" w:ascii="宋体" w:hAnsi="宋体" w:eastAsia="宋体" w:cs="宋体"/>
          <w:color w:val="auto"/>
          <w:sz w:val="24"/>
          <w:lang w:eastAsia="zh-CN"/>
        </w:rPr>
        <w:t>。</w:t>
      </w:r>
    </w:p>
    <w:p w14:paraId="1B50EA49">
      <w:pPr>
        <w:spacing w:line="360" w:lineRule="auto"/>
        <w:rPr>
          <w:rFonts w:hint="eastAsia" w:ascii="宋体" w:hAnsi="宋体" w:eastAsia="宋体" w:cs="宋体"/>
          <w:color w:val="auto"/>
          <w:sz w:val="24"/>
        </w:rPr>
      </w:pPr>
      <w:r>
        <w:rPr>
          <w:rFonts w:hint="eastAsia" w:ascii="宋体" w:hAnsi="宋体" w:cs="宋体"/>
          <w:color w:val="auto"/>
          <w:sz w:val="24"/>
          <w:lang w:val="en-US" w:eastAsia="zh-CN"/>
        </w:rPr>
        <w:t>B.8</w:t>
      </w:r>
      <w:r>
        <w:rPr>
          <w:rFonts w:hint="eastAsia" w:ascii="宋体" w:hAnsi="宋体" w:eastAsia="宋体" w:cs="宋体"/>
          <w:color w:val="auto"/>
          <w:sz w:val="24"/>
          <w:lang w:val="en-US" w:eastAsia="zh-CN"/>
        </w:rPr>
        <w:t>.</w:t>
      </w:r>
      <w:r>
        <w:rPr>
          <w:rFonts w:hint="eastAsia" w:ascii="宋体" w:hAnsi="宋体" w:cs="宋体"/>
          <w:color w:val="auto"/>
          <w:sz w:val="24"/>
          <w:lang w:val="en-US" w:eastAsia="zh-CN"/>
        </w:rPr>
        <w:t>15</w:t>
      </w:r>
      <w:r>
        <w:rPr>
          <w:rFonts w:hint="eastAsia" w:ascii="宋体" w:hAnsi="宋体" w:eastAsia="宋体" w:cs="宋体"/>
          <w:color w:val="auto"/>
          <w:sz w:val="24"/>
          <w:lang w:val="en-US" w:eastAsia="zh-CN"/>
        </w:rPr>
        <w:t xml:space="preserve"> </w:t>
      </w:r>
      <w:r>
        <w:rPr>
          <w:rFonts w:hint="eastAsia" w:ascii="宋体" w:hAnsi="宋体" w:eastAsia="宋体" w:cs="宋体"/>
          <w:color w:val="auto"/>
          <w:sz w:val="24"/>
        </w:rPr>
        <w:t>在实施压力调控和分区管理时，对管网水质进行监测分析，发现问题应及时采取处置措施，保障管网水质安全</w:t>
      </w:r>
      <w:r>
        <w:rPr>
          <w:rFonts w:hint="eastAsia" w:ascii="宋体" w:hAnsi="宋体" w:eastAsia="宋体" w:cs="宋体"/>
          <w:color w:val="auto"/>
          <w:sz w:val="24"/>
          <w:lang w:eastAsia="zh-CN"/>
        </w:rPr>
        <w:t>；</w:t>
      </w:r>
      <w:r>
        <w:rPr>
          <w:rFonts w:hint="eastAsia" w:ascii="宋体" w:hAnsi="宋体" w:eastAsia="宋体" w:cs="宋体"/>
          <w:color w:val="auto"/>
          <w:sz w:val="24"/>
        </w:rPr>
        <w:t>避免因管网封闭运行对水质产生不利影响</w:t>
      </w:r>
      <w:r>
        <w:rPr>
          <w:rFonts w:hint="eastAsia" w:ascii="宋体" w:hAnsi="宋体" w:eastAsia="宋体" w:cs="宋体"/>
          <w:color w:val="auto"/>
          <w:sz w:val="24"/>
          <w:lang w:eastAsia="zh-CN"/>
        </w:rPr>
        <w:t>，</w:t>
      </w:r>
      <w:r>
        <w:rPr>
          <w:rFonts w:hint="eastAsia" w:ascii="宋体" w:hAnsi="宋体" w:eastAsia="宋体" w:cs="宋体"/>
          <w:color w:val="auto"/>
          <w:sz w:val="24"/>
          <w:lang w:val="en-US" w:eastAsia="zh-CN"/>
        </w:rPr>
        <w:t>亦</w:t>
      </w:r>
      <w:r>
        <w:rPr>
          <w:rFonts w:hint="eastAsia" w:ascii="宋体" w:hAnsi="宋体" w:eastAsia="宋体" w:cs="宋体"/>
          <w:color w:val="auto"/>
          <w:sz w:val="24"/>
        </w:rPr>
        <w:t>防止因漏损导致的污染扩散，保护环境。</w:t>
      </w:r>
    </w:p>
    <w:p w14:paraId="373F705F">
      <w:pPr>
        <w:spacing w:line="360" w:lineRule="auto"/>
        <w:rPr>
          <w:rFonts w:hint="eastAsia" w:ascii="宋体" w:hAnsi="宋体" w:eastAsia="宋体" w:cs="宋体"/>
          <w:color w:val="auto"/>
          <w:sz w:val="24"/>
        </w:rPr>
      </w:pPr>
      <w:r>
        <w:rPr>
          <w:rFonts w:hint="eastAsia" w:ascii="宋体" w:hAnsi="宋体" w:cs="宋体"/>
          <w:color w:val="auto"/>
          <w:sz w:val="24"/>
          <w:lang w:val="en-US" w:eastAsia="zh-CN"/>
        </w:rPr>
        <w:t>B.8</w:t>
      </w:r>
      <w:r>
        <w:rPr>
          <w:rFonts w:hint="eastAsia" w:ascii="宋体" w:hAnsi="宋体" w:eastAsia="宋体" w:cs="宋体"/>
          <w:color w:val="auto"/>
          <w:sz w:val="24"/>
          <w:lang w:val="en-US" w:eastAsia="zh-CN"/>
        </w:rPr>
        <w:t>.</w:t>
      </w:r>
      <w:r>
        <w:rPr>
          <w:rFonts w:hint="eastAsia" w:ascii="宋体" w:hAnsi="宋体" w:cs="宋体"/>
          <w:color w:val="auto"/>
          <w:sz w:val="24"/>
          <w:lang w:val="en-US" w:eastAsia="zh-CN"/>
        </w:rPr>
        <w:t>16</w:t>
      </w:r>
      <w:r>
        <w:rPr>
          <w:rFonts w:hint="eastAsia" w:ascii="宋体" w:hAnsi="宋体" w:eastAsia="宋体" w:cs="宋体"/>
          <w:color w:val="auto"/>
          <w:sz w:val="24"/>
          <w:lang w:val="en-US" w:eastAsia="zh-CN"/>
        </w:rPr>
        <w:t xml:space="preserve"> 供水</w:t>
      </w:r>
      <w:r>
        <w:rPr>
          <w:rFonts w:hint="eastAsia" w:ascii="宋体" w:hAnsi="宋体" w:eastAsia="宋体" w:cs="宋体"/>
          <w:color w:val="auto"/>
          <w:sz w:val="24"/>
        </w:rPr>
        <w:t>管道系统在并网运行前进行冲洗、消毒，经水质检验</w:t>
      </w:r>
      <w:r>
        <w:rPr>
          <w:rFonts w:hint="eastAsia" w:ascii="宋体" w:hAnsi="宋体" w:eastAsia="宋体" w:cs="宋体"/>
          <w:color w:val="auto"/>
          <w:sz w:val="24"/>
          <w:lang w:val="en-US" w:eastAsia="zh-CN"/>
        </w:rPr>
        <w:t>后</w:t>
      </w:r>
      <w:r>
        <w:rPr>
          <w:rFonts w:hint="eastAsia" w:ascii="宋体" w:hAnsi="宋体" w:eastAsia="宋体" w:cs="宋体"/>
          <w:color w:val="auto"/>
          <w:sz w:val="24"/>
        </w:rPr>
        <w:t>投入使用，保障供水质量</w:t>
      </w:r>
      <w:r>
        <w:rPr>
          <w:rFonts w:hint="eastAsia" w:ascii="宋体" w:hAnsi="宋体" w:eastAsia="宋体" w:cs="宋体"/>
          <w:color w:val="auto"/>
          <w:sz w:val="24"/>
          <w:lang w:eastAsia="zh-CN"/>
        </w:rPr>
        <w:t>、</w:t>
      </w:r>
      <w:r>
        <w:rPr>
          <w:rFonts w:hint="eastAsia" w:ascii="宋体" w:hAnsi="宋体" w:eastAsia="宋体" w:cs="宋体"/>
          <w:color w:val="auto"/>
          <w:sz w:val="24"/>
        </w:rPr>
        <w:t>社会公共利益。</w:t>
      </w:r>
    </w:p>
    <w:p w14:paraId="08FCEF6A">
      <w:pPr>
        <w:spacing w:line="360" w:lineRule="auto"/>
        <w:rPr>
          <w:rFonts w:hint="eastAsia" w:ascii="宋体" w:hAnsi="宋体" w:eastAsia="宋体" w:cs="宋体"/>
          <w:color w:val="auto"/>
          <w:sz w:val="24"/>
          <w:lang w:eastAsia="zh-CN"/>
        </w:rPr>
      </w:pPr>
      <w:r>
        <w:rPr>
          <w:rFonts w:hint="eastAsia" w:ascii="宋体" w:hAnsi="宋体" w:cs="宋体"/>
          <w:color w:val="auto"/>
          <w:sz w:val="24"/>
          <w:lang w:val="en-US" w:eastAsia="zh-CN"/>
        </w:rPr>
        <w:t>B.8</w:t>
      </w:r>
      <w:r>
        <w:rPr>
          <w:rFonts w:hint="eastAsia" w:ascii="宋体" w:hAnsi="宋体" w:eastAsia="宋体" w:cs="宋体"/>
          <w:color w:val="auto"/>
          <w:sz w:val="24"/>
          <w:lang w:val="en-US" w:eastAsia="zh-CN"/>
        </w:rPr>
        <w:t>.</w:t>
      </w:r>
      <w:r>
        <w:rPr>
          <w:rFonts w:hint="eastAsia" w:ascii="宋体" w:hAnsi="宋体" w:cs="宋体"/>
          <w:color w:val="auto"/>
          <w:sz w:val="24"/>
          <w:lang w:val="en-US" w:eastAsia="zh-CN"/>
        </w:rPr>
        <w:t>17</w:t>
      </w:r>
      <w:r>
        <w:rPr>
          <w:rFonts w:hint="eastAsia" w:ascii="宋体" w:hAnsi="宋体" w:eastAsia="宋体" w:cs="宋体"/>
          <w:color w:val="auto"/>
          <w:sz w:val="24"/>
          <w:lang w:val="en-US" w:eastAsia="zh-CN"/>
        </w:rPr>
        <w:t xml:space="preserve"> 供水厂</w:t>
      </w:r>
      <w:r>
        <w:rPr>
          <w:rFonts w:hint="eastAsia" w:ascii="宋体" w:hAnsi="宋体" w:eastAsia="宋体" w:cs="宋体"/>
          <w:color w:val="auto"/>
          <w:sz w:val="24"/>
        </w:rPr>
        <w:t>使用净水药剂及材料符合</w:t>
      </w:r>
      <w:r>
        <w:rPr>
          <w:rFonts w:hint="eastAsia" w:ascii="宋体" w:hAnsi="宋体" w:cs="宋体"/>
          <w:color w:val="auto"/>
          <w:sz w:val="24"/>
          <w:lang w:eastAsia="zh-CN"/>
        </w:rPr>
        <w:t>现行国家标准</w:t>
      </w:r>
      <w:r>
        <w:rPr>
          <w:rFonts w:hint="eastAsia" w:ascii="宋体" w:hAnsi="宋体" w:eastAsia="宋体" w:cs="宋体"/>
          <w:color w:val="auto"/>
          <w:sz w:val="24"/>
        </w:rPr>
        <w:t>，避免对水资源造成污染</w:t>
      </w:r>
      <w:r>
        <w:rPr>
          <w:rFonts w:hint="eastAsia" w:ascii="宋体" w:hAnsi="宋体" w:eastAsia="宋体" w:cs="宋体"/>
          <w:color w:val="auto"/>
          <w:sz w:val="24"/>
          <w:lang w:eastAsia="zh-CN"/>
        </w:rPr>
        <w:t>。</w:t>
      </w:r>
    </w:p>
    <w:p w14:paraId="1FA04947">
      <w:pPr>
        <w:spacing w:line="360" w:lineRule="auto"/>
        <w:rPr>
          <w:rFonts w:hint="eastAsia" w:ascii="宋体" w:hAnsi="宋体" w:eastAsia="宋体" w:cs="宋体"/>
          <w:color w:val="auto"/>
          <w:sz w:val="24"/>
          <w:lang w:val="en-US" w:eastAsia="zh-CN"/>
        </w:rPr>
      </w:pPr>
      <w:r>
        <w:rPr>
          <w:rFonts w:hint="eastAsia" w:ascii="宋体" w:hAnsi="宋体" w:cs="宋体"/>
          <w:color w:val="auto"/>
          <w:sz w:val="24"/>
          <w:lang w:val="en-US" w:eastAsia="zh-CN"/>
        </w:rPr>
        <w:t>B.8</w:t>
      </w:r>
      <w:r>
        <w:rPr>
          <w:rFonts w:hint="eastAsia" w:ascii="宋体" w:hAnsi="宋体" w:eastAsia="宋体" w:cs="宋体"/>
          <w:color w:val="auto"/>
          <w:sz w:val="24"/>
          <w:lang w:val="en-US" w:eastAsia="zh-CN"/>
        </w:rPr>
        <w:t>.</w:t>
      </w:r>
      <w:r>
        <w:rPr>
          <w:rFonts w:hint="eastAsia" w:ascii="宋体" w:hAnsi="宋体" w:cs="宋体"/>
          <w:color w:val="auto"/>
          <w:sz w:val="24"/>
          <w:lang w:val="en-US" w:eastAsia="zh-CN"/>
        </w:rPr>
        <w:t>18</w:t>
      </w:r>
      <w:r>
        <w:rPr>
          <w:rFonts w:hint="eastAsia" w:ascii="宋体" w:hAnsi="宋体" w:eastAsia="宋体" w:cs="宋体"/>
          <w:color w:val="auto"/>
          <w:sz w:val="24"/>
          <w:lang w:val="en-US" w:eastAsia="zh-CN"/>
        </w:rPr>
        <w:t xml:space="preserve"> 二次供水设施建设投入使用，</w:t>
      </w:r>
      <w:r>
        <w:rPr>
          <w:rFonts w:hint="eastAsia" w:ascii="宋体" w:hAnsi="宋体" w:cs="宋体"/>
          <w:color w:val="auto"/>
          <w:sz w:val="24"/>
          <w:lang w:val="en-US" w:eastAsia="zh-CN"/>
        </w:rPr>
        <w:t>应按下列</w:t>
      </w:r>
      <w:r>
        <w:rPr>
          <w:rFonts w:hint="eastAsia" w:ascii="宋体" w:hAnsi="宋体" w:eastAsia="宋体" w:cs="宋体"/>
          <w:color w:val="auto"/>
          <w:sz w:val="24"/>
          <w:lang w:val="en-US" w:eastAsia="zh-CN"/>
        </w:rPr>
        <w:t>内容分别评分：</w:t>
      </w:r>
    </w:p>
    <w:p w14:paraId="5CA22D4F">
      <w:pPr>
        <w:numPr>
          <w:ilvl w:val="-1"/>
          <w:numId w:val="0"/>
        </w:numPr>
        <w:spacing w:line="360" w:lineRule="auto"/>
        <w:ind w:left="0" w:leftChars="0" w:firstLine="480" w:firstLineChars="200"/>
        <w:rPr>
          <w:rFonts w:hint="eastAsia" w:ascii="宋体" w:hAnsi="宋体" w:eastAsia="宋体" w:cs="宋体"/>
          <w:color w:val="auto"/>
          <w:sz w:val="24"/>
        </w:rPr>
      </w:pPr>
      <w:r>
        <w:rPr>
          <w:rFonts w:hint="eastAsia" w:ascii="宋体" w:hAnsi="宋体" w:eastAsia="宋体" w:cs="宋体"/>
          <w:color w:val="auto"/>
          <w:sz w:val="24"/>
          <w:lang w:val="en-US" w:eastAsia="zh-CN"/>
        </w:rPr>
        <w:t xml:space="preserve">1 </w:t>
      </w:r>
      <w:r>
        <w:rPr>
          <w:rFonts w:hint="eastAsia" w:ascii="宋体" w:hAnsi="宋体" w:eastAsia="宋体" w:cs="宋体"/>
          <w:color w:val="auto"/>
          <w:sz w:val="24"/>
        </w:rPr>
        <w:t>卫生部门参与二次供水设施的设计审查、施工验收和水质检测，合格后方能投入使用，确保设施的卫生安全</w:t>
      </w:r>
      <w:r>
        <w:rPr>
          <w:rFonts w:hint="eastAsia" w:ascii="宋体" w:hAnsi="宋体" w:eastAsia="宋体" w:cs="宋体"/>
          <w:color w:val="auto"/>
          <w:sz w:val="24"/>
          <w:lang w:eastAsia="zh-CN"/>
        </w:rPr>
        <w:t>；</w:t>
      </w:r>
    </w:p>
    <w:p w14:paraId="46C6A78D">
      <w:pPr>
        <w:numPr>
          <w:ilvl w:val="-1"/>
          <w:numId w:val="0"/>
        </w:numPr>
        <w:spacing w:line="360" w:lineRule="auto"/>
        <w:ind w:left="0" w:leftChars="0" w:firstLine="480" w:firstLineChars="200"/>
        <w:rPr>
          <w:rFonts w:hint="eastAsia" w:ascii="宋体" w:hAnsi="宋体" w:eastAsia="宋体" w:cs="宋体"/>
          <w:color w:val="auto"/>
          <w:sz w:val="24"/>
        </w:rPr>
      </w:pPr>
      <w:r>
        <w:rPr>
          <w:rFonts w:hint="eastAsia" w:ascii="宋体" w:hAnsi="宋体" w:eastAsia="宋体" w:cs="宋体"/>
          <w:color w:val="auto"/>
          <w:sz w:val="24"/>
          <w:lang w:val="en-US" w:eastAsia="zh-CN"/>
        </w:rPr>
        <w:t xml:space="preserve">2 </w:t>
      </w:r>
      <w:r>
        <w:rPr>
          <w:rFonts w:hint="eastAsia" w:ascii="宋体" w:hAnsi="宋体" w:eastAsia="宋体" w:cs="宋体"/>
          <w:color w:val="auto"/>
          <w:sz w:val="24"/>
        </w:rPr>
        <w:t>管理单位每年对</w:t>
      </w:r>
      <w:r>
        <w:rPr>
          <w:rFonts w:hint="eastAsia" w:ascii="宋体" w:hAnsi="宋体" w:eastAsia="宋体" w:cs="宋体"/>
          <w:color w:val="auto"/>
          <w:sz w:val="24"/>
          <w:lang w:val="en-US" w:eastAsia="zh-CN"/>
        </w:rPr>
        <w:t>二次供水</w:t>
      </w:r>
      <w:r>
        <w:rPr>
          <w:rFonts w:hint="eastAsia" w:ascii="宋体" w:hAnsi="宋体" w:eastAsia="宋体" w:cs="宋体"/>
          <w:color w:val="auto"/>
          <w:sz w:val="24"/>
        </w:rPr>
        <w:t>设施进行一次全面清洗、消毒，并对水质进行检验，及时发现和消除污染隐患</w:t>
      </w:r>
      <w:r>
        <w:rPr>
          <w:rFonts w:hint="eastAsia" w:ascii="宋体" w:hAnsi="宋体" w:eastAsia="宋体" w:cs="宋体"/>
          <w:color w:val="auto"/>
          <w:sz w:val="24"/>
          <w:lang w:eastAsia="zh-CN"/>
        </w:rPr>
        <w:t>。</w:t>
      </w:r>
    </w:p>
    <w:p w14:paraId="7B93BC25">
      <w:pPr>
        <w:spacing w:line="360" w:lineRule="auto"/>
        <w:rPr>
          <w:rFonts w:hint="eastAsia" w:ascii="宋体" w:hAnsi="宋体" w:eastAsia="宋体" w:cs="宋体"/>
          <w:color w:val="auto"/>
          <w:sz w:val="24"/>
        </w:rPr>
      </w:pPr>
      <w:r>
        <w:rPr>
          <w:rFonts w:hint="eastAsia" w:ascii="宋体" w:hAnsi="宋体" w:cs="宋体"/>
          <w:color w:val="auto"/>
          <w:sz w:val="24"/>
          <w:lang w:val="en-US" w:eastAsia="zh-CN"/>
        </w:rPr>
        <w:t>B.8</w:t>
      </w:r>
      <w:r>
        <w:rPr>
          <w:rFonts w:hint="eastAsia" w:ascii="宋体" w:hAnsi="宋体" w:eastAsia="宋体" w:cs="宋体"/>
          <w:color w:val="auto"/>
          <w:sz w:val="24"/>
          <w:lang w:val="en-US" w:eastAsia="zh-CN"/>
        </w:rPr>
        <w:t>.</w:t>
      </w:r>
      <w:r>
        <w:rPr>
          <w:rFonts w:hint="eastAsia" w:ascii="宋体" w:hAnsi="宋体" w:cs="宋体"/>
          <w:color w:val="auto"/>
          <w:sz w:val="24"/>
          <w:lang w:val="en-US" w:eastAsia="zh-CN"/>
        </w:rPr>
        <w:t>19</w:t>
      </w:r>
      <w:r>
        <w:rPr>
          <w:rFonts w:hint="eastAsia" w:ascii="宋体" w:hAnsi="宋体" w:eastAsia="宋体" w:cs="宋体"/>
          <w:color w:val="auto"/>
          <w:sz w:val="24"/>
          <w:lang w:val="en-US" w:eastAsia="zh-CN"/>
        </w:rPr>
        <w:t xml:space="preserve"> </w:t>
      </w:r>
      <w:r>
        <w:rPr>
          <w:rFonts w:hint="eastAsia" w:ascii="宋体" w:hAnsi="宋体" w:eastAsia="宋体" w:cs="宋体"/>
          <w:color w:val="auto"/>
          <w:sz w:val="24"/>
        </w:rPr>
        <w:t>直接从事制水和水质检验的人员</w:t>
      </w:r>
      <w:r>
        <w:rPr>
          <w:rFonts w:hint="eastAsia" w:ascii="宋体" w:hAnsi="宋体" w:cs="宋体"/>
          <w:color w:val="auto"/>
          <w:sz w:val="24"/>
          <w:lang w:val="en-US" w:eastAsia="zh-CN"/>
        </w:rPr>
        <w:t>应</w:t>
      </w:r>
      <w:r>
        <w:rPr>
          <w:rFonts w:hint="eastAsia" w:ascii="宋体" w:hAnsi="宋体" w:eastAsia="宋体" w:cs="宋体"/>
          <w:color w:val="auto"/>
          <w:sz w:val="24"/>
          <w:lang w:val="en-US" w:eastAsia="zh-CN"/>
        </w:rPr>
        <w:t>全部</w:t>
      </w:r>
      <w:r>
        <w:rPr>
          <w:rFonts w:hint="eastAsia" w:ascii="宋体" w:hAnsi="宋体" w:eastAsia="宋体" w:cs="宋体"/>
          <w:color w:val="auto"/>
          <w:sz w:val="24"/>
        </w:rPr>
        <w:t>经过卫生知识和专业技术培训，并持证上岗，以提高供水服务质量。</w:t>
      </w:r>
    </w:p>
    <w:p w14:paraId="15B1EC10">
      <w:pPr>
        <w:spacing w:line="360" w:lineRule="auto"/>
        <w:rPr>
          <w:rFonts w:hint="eastAsia" w:ascii="宋体" w:hAnsi="宋体" w:eastAsia="宋体" w:cs="宋体"/>
          <w:color w:val="auto"/>
          <w:spacing w:val="8"/>
          <w:sz w:val="24"/>
        </w:rPr>
      </w:pPr>
      <w:r>
        <w:rPr>
          <w:rFonts w:hint="eastAsia" w:ascii="宋体" w:hAnsi="宋体" w:cs="宋体"/>
          <w:color w:val="auto"/>
          <w:sz w:val="24"/>
          <w:lang w:val="en-US" w:eastAsia="zh-CN"/>
        </w:rPr>
        <w:t>B.8</w:t>
      </w:r>
      <w:r>
        <w:rPr>
          <w:rFonts w:hint="eastAsia" w:ascii="宋体" w:hAnsi="宋体" w:eastAsia="宋体" w:cs="宋体"/>
          <w:color w:val="auto"/>
          <w:sz w:val="24"/>
          <w:lang w:val="en-US" w:eastAsia="zh-CN"/>
        </w:rPr>
        <w:t>.</w:t>
      </w:r>
      <w:r>
        <w:rPr>
          <w:rFonts w:hint="eastAsia" w:ascii="宋体" w:hAnsi="宋体" w:cs="宋体"/>
          <w:color w:val="auto"/>
          <w:sz w:val="24"/>
          <w:lang w:val="en-US" w:eastAsia="zh-CN"/>
        </w:rPr>
        <w:t>20</w:t>
      </w:r>
      <w:r>
        <w:rPr>
          <w:rFonts w:hint="eastAsia" w:ascii="宋体" w:hAnsi="宋体" w:eastAsia="宋体" w:cs="宋体"/>
          <w:color w:val="auto"/>
          <w:sz w:val="24"/>
          <w:lang w:val="en-US" w:eastAsia="zh-CN"/>
        </w:rPr>
        <w:t xml:space="preserve"> 在</w:t>
      </w:r>
      <w:r>
        <w:rPr>
          <w:rFonts w:hint="eastAsia" w:ascii="宋体" w:hAnsi="宋体" w:eastAsia="宋体" w:cs="宋体"/>
          <w:color w:val="auto"/>
          <w:sz w:val="24"/>
        </w:rPr>
        <w:t>新建、扩建、改建工程项目</w:t>
      </w:r>
      <w:r>
        <w:rPr>
          <w:rFonts w:hint="eastAsia" w:ascii="宋体" w:hAnsi="宋体" w:eastAsia="宋体" w:cs="宋体"/>
          <w:color w:val="auto"/>
          <w:sz w:val="24"/>
          <w:lang w:val="en-US" w:eastAsia="zh-CN"/>
        </w:rPr>
        <w:t>中</w:t>
      </w:r>
      <w:r>
        <w:rPr>
          <w:rFonts w:hint="eastAsia" w:ascii="宋体" w:hAnsi="宋体" w:eastAsia="宋体" w:cs="宋体"/>
          <w:color w:val="auto"/>
          <w:sz w:val="24"/>
        </w:rPr>
        <w:t>需要增加用水</w:t>
      </w:r>
      <w:r>
        <w:rPr>
          <w:rFonts w:hint="eastAsia" w:ascii="宋体" w:hAnsi="宋体" w:eastAsia="宋体" w:cs="宋体"/>
          <w:color w:val="auto"/>
          <w:sz w:val="24"/>
          <w:lang w:val="en-US" w:eastAsia="zh-CN"/>
        </w:rPr>
        <w:t>量时，</w:t>
      </w:r>
      <w:r>
        <w:rPr>
          <w:rFonts w:hint="eastAsia" w:ascii="宋体" w:hAnsi="宋体" w:eastAsia="宋体" w:cs="宋体"/>
          <w:color w:val="auto"/>
          <w:sz w:val="24"/>
        </w:rPr>
        <w:t>其总概算</w:t>
      </w:r>
      <w:r>
        <w:rPr>
          <w:rFonts w:hint="eastAsia" w:ascii="宋体" w:hAnsi="宋体" w:eastAsia="宋体" w:cs="宋体"/>
          <w:color w:val="auto"/>
          <w:sz w:val="24"/>
          <w:lang w:val="en-US" w:eastAsia="zh-CN"/>
        </w:rPr>
        <w:t>中</w:t>
      </w:r>
      <w:r>
        <w:rPr>
          <w:rFonts w:hint="eastAsia" w:ascii="宋体" w:hAnsi="宋体" w:cs="宋体"/>
          <w:color w:val="auto"/>
          <w:sz w:val="24"/>
          <w:lang w:val="en-US" w:eastAsia="zh-CN"/>
        </w:rPr>
        <w:t>应</w:t>
      </w:r>
      <w:r>
        <w:rPr>
          <w:rFonts w:hint="eastAsia" w:ascii="宋体" w:hAnsi="宋体" w:eastAsia="宋体" w:cs="宋体"/>
          <w:color w:val="auto"/>
          <w:sz w:val="24"/>
        </w:rPr>
        <w:t>包括供水工程建设投资</w:t>
      </w:r>
      <w:r>
        <w:rPr>
          <w:rFonts w:hint="eastAsia" w:ascii="宋体" w:hAnsi="宋体" w:eastAsia="宋体" w:cs="宋体"/>
          <w:color w:val="auto"/>
          <w:sz w:val="24"/>
          <w:lang w:eastAsia="zh-CN"/>
        </w:rPr>
        <w:t>；</w:t>
      </w:r>
      <w:r>
        <w:rPr>
          <w:rFonts w:hint="eastAsia" w:ascii="宋体" w:hAnsi="宋体" w:eastAsia="宋体" w:cs="宋体"/>
          <w:color w:val="auto"/>
          <w:spacing w:val="6"/>
          <w:sz w:val="24"/>
        </w:rPr>
        <w:t>需要增加城市公共供水量</w:t>
      </w:r>
      <w:r>
        <w:rPr>
          <w:rFonts w:hint="eastAsia" w:ascii="宋体" w:hAnsi="宋体" w:eastAsia="宋体" w:cs="宋体"/>
          <w:color w:val="auto"/>
          <w:spacing w:val="6"/>
          <w:sz w:val="24"/>
          <w:lang w:val="en-US" w:eastAsia="zh-CN"/>
        </w:rPr>
        <w:t>时</w:t>
      </w:r>
      <w:r>
        <w:rPr>
          <w:rFonts w:hint="eastAsia" w:ascii="宋体" w:hAnsi="宋体" w:eastAsia="宋体" w:cs="宋体"/>
          <w:color w:val="auto"/>
          <w:spacing w:val="6"/>
          <w:sz w:val="24"/>
        </w:rPr>
        <w:t>，将其供水工程建设投资交付</w:t>
      </w:r>
      <w:r>
        <w:rPr>
          <w:rFonts w:hint="eastAsia" w:ascii="宋体" w:hAnsi="宋体" w:eastAsia="宋体" w:cs="宋体"/>
          <w:color w:val="auto"/>
          <w:spacing w:val="6"/>
          <w:sz w:val="24"/>
          <w:lang w:val="en-US" w:eastAsia="zh-CN"/>
        </w:rPr>
        <w:t>给</w:t>
      </w:r>
      <w:r>
        <w:rPr>
          <w:rFonts w:hint="eastAsia" w:ascii="宋体" w:hAnsi="宋体" w:eastAsia="宋体" w:cs="宋体"/>
          <w:color w:val="auto"/>
          <w:spacing w:val="6"/>
          <w:sz w:val="24"/>
        </w:rPr>
        <w:t>城市供水行政主管部门，由其</w:t>
      </w:r>
      <w:r>
        <w:rPr>
          <w:rFonts w:hint="eastAsia" w:ascii="宋体" w:hAnsi="宋体" w:eastAsia="宋体" w:cs="宋体"/>
          <w:color w:val="auto"/>
          <w:spacing w:val="8"/>
          <w:sz w:val="24"/>
        </w:rPr>
        <w:t>统一组织城市供水工程建设。</w:t>
      </w:r>
    </w:p>
    <w:p w14:paraId="7EAFFA43">
      <w:pPr>
        <w:spacing w:line="360" w:lineRule="auto"/>
        <w:rPr>
          <w:rFonts w:hint="eastAsia" w:ascii="宋体" w:hAnsi="宋体" w:eastAsia="宋体" w:cs="宋体"/>
          <w:color w:val="auto"/>
          <w:sz w:val="24"/>
          <w:lang w:val="en-US" w:eastAsia="zh-CN"/>
        </w:rPr>
      </w:pPr>
      <w:r>
        <w:rPr>
          <w:rFonts w:hint="eastAsia" w:ascii="宋体" w:hAnsi="宋体" w:cs="宋体"/>
          <w:color w:val="auto"/>
          <w:sz w:val="24"/>
          <w:lang w:val="en-US" w:eastAsia="zh-CN"/>
        </w:rPr>
        <w:t>B.8</w:t>
      </w:r>
      <w:r>
        <w:rPr>
          <w:rFonts w:hint="eastAsia" w:ascii="宋体" w:hAnsi="宋体" w:eastAsia="宋体" w:cs="宋体"/>
          <w:color w:val="auto"/>
          <w:sz w:val="24"/>
          <w:lang w:val="en-US" w:eastAsia="zh-CN"/>
        </w:rPr>
        <w:t>.</w:t>
      </w:r>
      <w:r>
        <w:rPr>
          <w:rFonts w:hint="eastAsia" w:ascii="宋体" w:hAnsi="宋体" w:cs="宋体"/>
          <w:color w:val="auto"/>
          <w:sz w:val="24"/>
          <w:lang w:val="en-US" w:eastAsia="zh-CN"/>
        </w:rPr>
        <w:t>21</w:t>
      </w:r>
      <w:r>
        <w:rPr>
          <w:rFonts w:hint="eastAsia" w:ascii="宋体" w:hAnsi="宋体" w:eastAsia="宋体" w:cs="宋体"/>
          <w:color w:val="auto"/>
          <w:sz w:val="24"/>
          <w:lang w:val="en-US" w:eastAsia="zh-CN"/>
        </w:rPr>
        <w:t xml:space="preserve"> 增强供水保障和供水安全，提高居民对供水服务的满意程度，</w:t>
      </w:r>
      <w:r>
        <w:rPr>
          <w:rFonts w:hint="eastAsia" w:ascii="宋体" w:hAnsi="宋体" w:cs="宋体"/>
          <w:color w:val="auto"/>
          <w:sz w:val="24"/>
          <w:lang w:val="en-US" w:eastAsia="zh-CN"/>
        </w:rPr>
        <w:t>应按下列</w:t>
      </w:r>
      <w:r>
        <w:rPr>
          <w:rFonts w:hint="eastAsia" w:ascii="宋体" w:hAnsi="宋体" w:eastAsia="宋体" w:cs="宋体"/>
          <w:color w:val="auto"/>
          <w:sz w:val="24"/>
          <w:lang w:val="en-US" w:eastAsia="zh-CN"/>
        </w:rPr>
        <w:t>内容分别评分：</w:t>
      </w:r>
    </w:p>
    <w:p w14:paraId="1CAC47B5">
      <w:pPr>
        <w:numPr>
          <w:ilvl w:val="-1"/>
          <w:numId w:val="0"/>
        </w:numPr>
        <w:spacing w:line="360" w:lineRule="auto"/>
        <w:ind w:left="0" w:leftChars="0" w:firstLine="480" w:firstLineChars="200"/>
        <w:rPr>
          <w:rFonts w:hint="eastAsia" w:ascii="宋体" w:hAnsi="宋体" w:eastAsia="宋体" w:cs="宋体"/>
          <w:color w:val="auto"/>
          <w:sz w:val="24"/>
        </w:rPr>
      </w:pPr>
      <w:r>
        <w:rPr>
          <w:rFonts w:hint="eastAsia" w:ascii="宋体" w:hAnsi="宋体" w:eastAsia="宋体" w:cs="宋体"/>
          <w:color w:val="auto"/>
          <w:sz w:val="24"/>
          <w:lang w:val="en-US" w:eastAsia="zh-CN"/>
        </w:rPr>
        <w:t xml:space="preserve">1 </w:t>
      </w:r>
      <w:r>
        <w:rPr>
          <w:rFonts w:hint="eastAsia" w:ascii="宋体" w:hAnsi="宋体" w:eastAsia="宋体" w:cs="宋体"/>
          <w:color w:val="auto"/>
          <w:sz w:val="24"/>
        </w:rPr>
        <w:t>过漏损控制和管网管理，提高供水安全保障能力，确保用户用水需求得到满足</w:t>
      </w:r>
      <w:r>
        <w:rPr>
          <w:rFonts w:hint="eastAsia" w:ascii="宋体" w:hAnsi="宋体" w:eastAsia="宋体" w:cs="宋体"/>
          <w:color w:val="auto"/>
          <w:sz w:val="24"/>
          <w:lang w:eastAsia="zh-CN"/>
        </w:rPr>
        <w:t>；</w:t>
      </w:r>
    </w:p>
    <w:p w14:paraId="2CE230F6">
      <w:pPr>
        <w:numPr>
          <w:ilvl w:val="-1"/>
          <w:numId w:val="0"/>
        </w:numPr>
        <w:spacing w:line="360" w:lineRule="auto"/>
        <w:ind w:left="0" w:leftChars="0" w:firstLine="480" w:firstLineChars="200"/>
        <w:rPr>
          <w:rFonts w:hint="eastAsia" w:ascii="宋体" w:hAnsi="宋体" w:eastAsia="宋体" w:cs="宋体"/>
          <w:color w:val="auto"/>
          <w:sz w:val="24"/>
        </w:rPr>
      </w:pPr>
      <w:r>
        <w:rPr>
          <w:rFonts w:hint="eastAsia" w:ascii="宋体" w:hAnsi="宋体" w:eastAsia="宋体" w:cs="宋体"/>
          <w:color w:val="auto"/>
          <w:sz w:val="24"/>
          <w:lang w:val="en-US" w:eastAsia="zh-CN"/>
        </w:rPr>
        <w:t xml:space="preserve">2 </w:t>
      </w:r>
      <w:r>
        <w:rPr>
          <w:rFonts w:hint="eastAsia" w:ascii="宋体" w:hAnsi="宋体" w:eastAsia="宋体" w:cs="宋体"/>
          <w:color w:val="auto"/>
          <w:sz w:val="24"/>
        </w:rPr>
        <w:t>在实施压力调控时，采取逐步调减的方式，避免因压力变化导致用户对供水服务</w:t>
      </w:r>
      <w:r>
        <w:rPr>
          <w:rFonts w:hint="eastAsia" w:ascii="宋体" w:hAnsi="宋体" w:eastAsia="宋体" w:cs="宋体"/>
          <w:color w:val="auto"/>
          <w:sz w:val="24"/>
          <w:lang w:val="en-US" w:eastAsia="zh-CN"/>
        </w:rPr>
        <w:t>投诉</w:t>
      </w:r>
      <w:r>
        <w:rPr>
          <w:rFonts w:hint="eastAsia" w:ascii="宋体" w:hAnsi="宋体" w:eastAsia="宋体" w:cs="宋体"/>
          <w:color w:val="auto"/>
          <w:sz w:val="24"/>
          <w:lang w:eastAsia="zh-CN"/>
        </w:rPr>
        <w:t>；</w:t>
      </w:r>
    </w:p>
    <w:p w14:paraId="112D3FB6">
      <w:pPr>
        <w:numPr>
          <w:ilvl w:val="-1"/>
          <w:numId w:val="0"/>
        </w:numPr>
        <w:spacing w:line="360" w:lineRule="auto"/>
        <w:ind w:left="0" w:leftChars="0" w:firstLine="480" w:firstLineChars="200"/>
        <w:rPr>
          <w:rFonts w:hint="eastAsia" w:ascii="宋体" w:hAnsi="宋体" w:eastAsia="宋体" w:cs="宋体"/>
          <w:color w:val="auto"/>
          <w:sz w:val="24"/>
        </w:rPr>
      </w:pPr>
      <w:r>
        <w:rPr>
          <w:rFonts w:hint="eastAsia" w:ascii="宋体" w:hAnsi="宋体" w:eastAsia="宋体" w:cs="宋体"/>
          <w:color w:val="auto"/>
          <w:sz w:val="24"/>
          <w:lang w:val="en-US" w:eastAsia="zh-CN"/>
        </w:rPr>
        <w:t xml:space="preserve">3 </w:t>
      </w:r>
      <w:r>
        <w:rPr>
          <w:rFonts w:hint="eastAsia" w:ascii="宋体" w:hAnsi="宋体" w:eastAsia="宋体" w:cs="宋体"/>
          <w:color w:val="auto"/>
          <w:sz w:val="24"/>
        </w:rPr>
        <w:t>通过合理的漏损控制措施，减少因漏损导致的供水不足问题，提升用户满意度</w:t>
      </w:r>
      <w:r>
        <w:rPr>
          <w:rFonts w:hint="eastAsia" w:ascii="宋体" w:hAnsi="宋体" w:eastAsia="宋体" w:cs="宋体"/>
          <w:color w:val="auto"/>
          <w:sz w:val="24"/>
          <w:lang w:eastAsia="zh-CN"/>
        </w:rPr>
        <w:t>；</w:t>
      </w:r>
    </w:p>
    <w:p w14:paraId="49DE669A">
      <w:pPr>
        <w:numPr>
          <w:ilvl w:val="-1"/>
          <w:numId w:val="0"/>
        </w:numPr>
        <w:spacing w:line="360" w:lineRule="auto"/>
        <w:ind w:left="0" w:leftChars="0" w:firstLine="480" w:firstLineChars="200"/>
        <w:rPr>
          <w:rFonts w:hint="eastAsia" w:ascii="宋体" w:hAnsi="宋体" w:eastAsia="宋体" w:cs="宋体"/>
          <w:color w:val="auto"/>
          <w:sz w:val="24"/>
        </w:rPr>
      </w:pPr>
      <w:r>
        <w:rPr>
          <w:rFonts w:hint="eastAsia" w:ascii="宋体" w:hAnsi="宋体" w:eastAsia="宋体" w:cs="宋体"/>
          <w:color w:val="auto"/>
          <w:sz w:val="24"/>
          <w:lang w:val="en-US" w:eastAsia="zh-CN"/>
        </w:rPr>
        <w:t xml:space="preserve">4 </w:t>
      </w:r>
      <w:r>
        <w:rPr>
          <w:rFonts w:hint="eastAsia" w:ascii="宋体" w:hAnsi="宋体" w:eastAsia="宋体" w:cs="宋体"/>
          <w:color w:val="auto"/>
          <w:sz w:val="24"/>
        </w:rPr>
        <w:t>建立应急抢修机制，及时修复漏点，减少对用户的影响</w:t>
      </w:r>
      <w:r>
        <w:rPr>
          <w:rFonts w:hint="eastAsia" w:ascii="宋体" w:hAnsi="宋体" w:eastAsia="宋体" w:cs="宋体"/>
          <w:color w:val="auto"/>
          <w:sz w:val="24"/>
          <w:lang w:eastAsia="zh-CN"/>
        </w:rPr>
        <w:t>。</w:t>
      </w:r>
    </w:p>
    <w:p w14:paraId="7BC6C189">
      <w:pPr>
        <w:spacing w:line="360" w:lineRule="auto"/>
        <w:rPr>
          <w:rFonts w:hint="eastAsia" w:ascii="宋体" w:hAnsi="宋体" w:eastAsia="宋体" w:cs="宋体"/>
          <w:color w:val="auto"/>
          <w:sz w:val="24"/>
        </w:rPr>
      </w:pPr>
      <w:r>
        <w:rPr>
          <w:rFonts w:hint="eastAsia" w:ascii="宋体" w:hAnsi="宋体" w:cs="宋体"/>
          <w:color w:val="auto"/>
          <w:sz w:val="24"/>
          <w:lang w:val="en-US" w:eastAsia="zh-CN"/>
        </w:rPr>
        <w:t>B.8</w:t>
      </w:r>
      <w:r>
        <w:rPr>
          <w:rFonts w:hint="eastAsia" w:ascii="宋体" w:hAnsi="宋体" w:eastAsia="宋体" w:cs="宋体"/>
          <w:color w:val="auto"/>
          <w:sz w:val="24"/>
          <w:lang w:val="en-US" w:eastAsia="zh-CN"/>
        </w:rPr>
        <w:t>.</w:t>
      </w:r>
      <w:r>
        <w:rPr>
          <w:rFonts w:hint="eastAsia" w:ascii="宋体" w:hAnsi="宋体" w:cs="宋体"/>
          <w:color w:val="auto"/>
          <w:sz w:val="24"/>
          <w:lang w:val="en-US" w:eastAsia="zh-CN"/>
        </w:rPr>
        <w:t xml:space="preserve">22 </w:t>
      </w:r>
      <w:r>
        <w:rPr>
          <w:rFonts w:hint="eastAsia" w:ascii="宋体" w:hAnsi="宋体" w:eastAsia="宋体" w:cs="宋体"/>
          <w:color w:val="auto"/>
          <w:sz w:val="24"/>
        </w:rPr>
        <w:t>供水</w:t>
      </w:r>
      <w:r>
        <w:rPr>
          <w:rFonts w:hint="eastAsia" w:ascii="宋体" w:hAnsi="宋体" w:eastAsia="宋体" w:cs="宋体"/>
          <w:color w:val="auto"/>
          <w:sz w:val="24"/>
          <w:lang w:val="en-US" w:eastAsia="zh-CN"/>
        </w:rPr>
        <w:t>厂</w:t>
      </w:r>
      <w:r>
        <w:rPr>
          <w:rFonts w:hint="eastAsia" w:ascii="宋体" w:hAnsi="宋体" w:eastAsia="宋体" w:cs="宋体"/>
          <w:color w:val="auto"/>
          <w:sz w:val="24"/>
        </w:rPr>
        <w:t>建立质量控制体系，包括水质</w:t>
      </w:r>
      <w:r>
        <w:rPr>
          <w:rFonts w:hint="eastAsia" w:ascii="宋体" w:hAnsi="宋体" w:eastAsia="宋体" w:cs="宋体"/>
          <w:color w:val="auto"/>
          <w:sz w:val="24"/>
          <w:lang w:val="en-US" w:eastAsia="zh-CN"/>
        </w:rPr>
        <w:t>检验和管理制度，</w:t>
      </w:r>
      <w:r>
        <w:rPr>
          <w:rFonts w:hint="eastAsia" w:ascii="宋体" w:hAnsi="宋体" w:eastAsia="宋体" w:cs="宋体"/>
          <w:color w:val="auto"/>
          <w:sz w:val="24"/>
        </w:rPr>
        <w:t>净水药剂及材料、实验室质</w:t>
      </w:r>
      <w:r>
        <w:rPr>
          <w:rFonts w:hint="eastAsia" w:ascii="宋体" w:hAnsi="宋体" w:eastAsia="宋体" w:cs="宋体"/>
          <w:color w:val="auto"/>
          <w:sz w:val="24"/>
          <w:lang w:val="en-US" w:eastAsia="zh-CN"/>
        </w:rPr>
        <w:t>量控制</w:t>
      </w:r>
      <w:r>
        <w:rPr>
          <w:rFonts w:hint="eastAsia" w:ascii="宋体" w:hAnsi="宋体" w:eastAsia="宋体" w:cs="宋体"/>
          <w:color w:val="auto"/>
          <w:sz w:val="24"/>
        </w:rPr>
        <w:t>等，以提高治理水平。</w:t>
      </w:r>
    </w:p>
    <w:p w14:paraId="195EF0A1">
      <w:pPr>
        <w:spacing w:line="360" w:lineRule="auto"/>
        <w:rPr>
          <w:rFonts w:hint="eastAsia" w:ascii="宋体" w:hAnsi="宋体" w:eastAsia="宋体" w:cs="宋体"/>
          <w:color w:val="auto"/>
          <w:sz w:val="24"/>
          <w:lang w:eastAsia="zh-CN"/>
        </w:rPr>
      </w:pPr>
      <w:r>
        <w:rPr>
          <w:rFonts w:hint="eastAsia" w:ascii="宋体" w:hAnsi="宋体" w:cs="宋体"/>
          <w:color w:val="auto"/>
          <w:sz w:val="24"/>
          <w:lang w:val="en-US" w:eastAsia="zh-CN"/>
        </w:rPr>
        <w:t>B.8</w:t>
      </w:r>
      <w:r>
        <w:rPr>
          <w:rFonts w:hint="eastAsia" w:ascii="宋体" w:hAnsi="宋体" w:eastAsia="宋体" w:cs="宋体"/>
          <w:color w:val="auto"/>
          <w:sz w:val="24"/>
          <w:lang w:val="en-US" w:eastAsia="zh-CN"/>
        </w:rPr>
        <w:t>.</w:t>
      </w:r>
      <w:r>
        <w:rPr>
          <w:rFonts w:hint="eastAsia" w:ascii="宋体" w:hAnsi="宋体" w:cs="宋体"/>
          <w:color w:val="auto"/>
          <w:sz w:val="24"/>
          <w:lang w:val="en-US" w:eastAsia="zh-CN"/>
        </w:rPr>
        <w:t>23</w:t>
      </w:r>
      <w:r>
        <w:rPr>
          <w:rFonts w:hint="eastAsia" w:ascii="宋体" w:hAnsi="宋体" w:eastAsia="宋体" w:cs="宋体"/>
          <w:color w:val="auto"/>
          <w:sz w:val="24"/>
          <w:lang w:val="en-US" w:eastAsia="zh-CN"/>
        </w:rPr>
        <w:t xml:space="preserve"> </w:t>
      </w:r>
      <w:r>
        <w:rPr>
          <w:rFonts w:hint="eastAsia" w:ascii="宋体" w:hAnsi="宋体" w:eastAsia="宋体" w:cs="宋体"/>
          <w:color w:val="auto"/>
          <w:sz w:val="24"/>
        </w:rPr>
        <w:t>供水</w:t>
      </w:r>
      <w:r>
        <w:rPr>
          <w:rFonts w:hint="eastAsia" w:ascii="宋体" w:hAnsi="宋体" w:eastAsia="宋体" w:cs="宋体"/>
          <w:color w:val="auto"/>
          <w:sz w:val="24"/>
          <w:lang w:val="en-US" w:eastAsia="zh-CN"/>
        </w:rPr>
        <w:t>企业</w:t>
      </w:r>
      <w:r>
        <w:rPr>
          <w:rFonts w:hint="eastAsia" w:ascii="宋体" w:hAnsi="宋体" w:eastAsia="宋体" w:cs="宋体"/>
          <w:color w:val="auto"/>
          <w:sz w:val="24"/>
        </w:rPr>
        <w:t>建立用户注册登记制度、计量器具管理办法、管网档案等，实现动态管理</w:t>
      </w:r>
      <w:r>
        <w:rPr>
          <w:rFonts w:hint="eastAsia" w:ascii="宋体" w:hAnsi="宋体" w:eastAsia="宋体" w:cs="宋体"/>
          <w:color w:val="auto"/>
          <w:sz w:val="24"/>
          <w:lang w:eastAsia="zh-CN"/>
        </w:rPr>
        <w:t>。</w:t>
      </w:r>
    </w:p>
    <w:p w14:paraId="17D6595F">
      <w:pPr>
        <w:spacing w:line="360" w:lineRule="auto"/>
        <w:rPr>
          <w:rFonts w:hint="eastAsia" w:ascii="宋体" w:hAnsi="宋体" w:eastAsia="宋体" w:cs="宋体"/>
          <w:color w:val="auto"/>
          <w:sz w:val="24"/>
          <w:lang w:eastAsia="zh-CN"/>
        </w:rPr>
      </w:pPr>
      <w:r>
        <w:rPr>
          <w:rFonts w:hint="eastAsia" w:ascii="宋体" w:hAnsi="宋体" w:cs="宋体"/>
          <w:color w:val="auto"/>
          <w:sz w:val="24"/>
          <w:lang w:val="en-US" w:eastAsia="zh-CN"/>
        </w:rPr>
        <w:t>B.8</w:t>
      </w:r>
      <w:r>
        <w:rPr>
          <w:rFonts w:hint="eastAsia" w:ascii="宋体" w:hAnsi="宋体" w:eastAsia="宋体" w:cs="宋体"/>
          <w:color w:val="auto"/>
          <w:sz w:val="24"/>
          <w:lang w:val="en-US" w:eastAsia="zh-CN"/>
        </w:rPr>
        <w:t>.</w:t>
      </w:r>
      <w:r>
        <w:rPr>
          <w:rFonts w:hint="eastAsia" w:ascii="宋体" w:hAnsi="宋体" w:cs="宋体"/>
          <w:color w:val="auto"/>
          <w:sz w:val="24"/>
          <w:lang w:val="en-US" w:eastAsia="zh-CN"/>
        </w:rPr>
        <w:t>24</w:t>
      </w:r>
      <w:r>
        <w:rPr>
          <w:rFonts w:hint="eastAsia" w:ascii="宋体" w:hAnsi="宋体" w:eastAsia="宋体" w:cs="宋体"/>
          <w:color w:val="auto"/>
          <w:sz w:val="24"/>
          <w:lang w:val="en-US" w:eastAsia="zh-CN"/>
        </w:rPr>
        <w:t xml:space="preserve"> 用水</w:t>
      </w:r>
      <w:r>
        <w:rPr>
          <w:rFonts w:hint="eastAsia" w:ascii="宋体" w:hAnsi="宋体" w:eastAsia="宋体" w:cs="宋体"/>
          <w:color w:val="auto"/>
          <w:sz w:val="24"/>
        </w:rPr>
        <w:t>管理单位</w:t>
      </w:r>
      <w:r>
        <w:rPr>
          <w:rFonts w:hint="eastAsia" w:ascii="宋体" w:hAnsi="宋体" w:eastAsia="宋体" w:cs="宋体"/>
          <w:color w:val="auto"/>
          <w:sz w:val="24"/>
          <w:lang w:val="en-US" w:eastAsia="zh-CN"/>
        </w:rPr>
        <w:t>应</w:t>
      </w:r>
      <w:r>
        <w:rPr>
          <w:rFonts w:hint="eastAsia" w:ascii="宋体" w:hAnsi="宋体" w:eastAsia="宋体" w:cs="宋体"/>
          <w:color w:val="auto"/>
          <w:sz w:val="24"/>
        </w:rPr>
        <w:t>制定</w:t>
      </w:r>
      <w:r>
        <w:rPr>
          <w:rFonts w:hint="eastAsia" w:ascii="宋体" w:hAnsi="宋体" w:eastAsia="宋体" w:cs="宋体"/>
          <w:color w:val="auto"/>
          <w:sz w:val="24"/>
          <w:lang w:val="en-US" w:eastAsia="zh-CN"/>
        </w:rPr>
        <w:t>二次供水</w:t>
      </w:r>
      <w:r>
        <w:rPr>
          <w:rFonts w:hint="eastAsia" w:ascii="宋体" w:hAnsi="宋体" w:eastAsia="宋体" w:cs="宋体"/>
          <w:color w:val="auto"/>
          <w:sz w:val="24"/>
        </w:rPr>
        <w:t>设施的卫生制度并实施，管理人员每年进行健康检查和卫生知识培训，合格上岗</w:t>
      </w:r>
      <w:r>
        <w:rPr>
          <w:rFonts w:hint="eastAsia" w:ascii="宋体" w:hAnsi="宋体" w:eastAsia="宋体" w:cs="宋体"/>
          <w:color w:val="auto"/>
          <w:sz w:val="24"/>
          <w:lang w:eastAsia="zh-CN"/>
        </w:rPr>
        <w:t>。</w:t>
      </w:r>
    </w:p>
    <w:p w14:paraId="4BCBD08C">
      <w:pPr>
        <w:spacing w:line="360" w:lineRule="auto"/>
        <w:rPr>
          <w:rFonts w:hint="eastAsia" w:ascii="宋体" w:hAnsi="宋体" w:eastAsia="宋体" w:cs="宋体"/>
          <w:color w:val="auto"/>
          <w:sz w:val="24"/>
          <w:lang w:val="en-US" w:eastAsia="zh-CN"/>
        </w:rPr>
      </w:pPr>
      <w:r>
        <w:rPr>
          <w:rFonts w:hint="eastAsia" w:ascii="宋体" w:hAnsi="宋体" w:cs="宋体"/>
          <w:color w:val="auto"/>
          <w:sz w:val="24"/>
          <w:lang w:val="en-US" w:eastAsia="zh-CN"/>
        </w:rPr>
        <w:t>B.8</w:t>
      </w:r>
      <w:r>
        <w:rPr>
          <w:rFonts w:hint="eastAsia" w:ascii="宋体" w:hAnsi="宋体" w:eastAsia="宋体" w:cs="宋体"/>
          <w:color w:val="auto"/>
          <w:sz w:val="24"/>
          <w:lang w:val="en-US" w:eastAsia="zh-CN"/>
        </w:rPr>
        <w:t>.</w:t>
      </w:r>
      <w:r>
        <w:rPr>
          <w:rFonts w:hint="eastAsia" w:ascii="宋体" w:hAnsi="宋体" w:cs="宋体"/>
          <w:color w:val="auto"/>
          <w:sz w:val="24"/>
          <w:lang w:val="en-US" w:eastAsia="zh-CN"/>
        </w:rPr>
        <w:t>25</w:t>
      </w:r>
      <w:r>
        <w:rPr>
          <w:rFonts w:hint="eastAsia" w:ascii="宋体" w:hAnsi="宋体" w:eastAsia="宋体" w:cs="宋体"/>
          <w:color w:val="auto"/>
          <w:sz w:val="24"/>
          <w:lang w:val="en-US" w:eastAsia="zh-CN"/>
        </w:rPr>
        <w:t xml:space="preserve"> 供水安全与应急管理，应</w:t>
      </w:r>
      <w:r>
        <w:rPr>
          <w:rFonts w:hint="eastAsia" w:ascii="宋体" w:hAnsi="宋体" w:cs="宋体"/>
          <w:color w:val="auto"/>
          <w:sz w:val="24"/>
          <w:lang w:val="en-US" w:eastAsia="zh-CN"/>
        </w:rPr>
        <w:t>应按下列</w:t>
      </w:r>
      <w:r>
        <w:rPr>
          <w:rFonts w:hint="eastAsia" w:ascii="宋体" w:hAnsi="宋体" w:eastAsia="宋体" w:cs="宋体"/>
          <w:color w:val="auto"/>
          <w:sz w:val="24"/>
          <w:lang w:val="en-US" w:eastAsia="zh-CN"/>
        </w:rPr>
        <w:t>内容分别评分：</w:t>
      </w:r>
    </w:p>
    <w:p w14:paraId="49F70E79">
      <w:pPr>
        <w:numPr>
          <w:ilvl w:val="-1"/>
          <w:numId w:val="0"/>
        </w:numPr>
        <w:spacing w:line="360" w:lineRule="auto"/>
        <w:ind w:left="0" w:leftChars="0" w:firstLine="480" w:firstLineChars="200"/>
        <w:rPr>
          <w:rFonts w:hint="eastAsia" w:ascii="宋体" w:hAnsi="宋体" w:eastAsia="宋体" w:cs="宋体"/>
          <w:color w:val="auto"/>
          <w:sz w:val="24"/>
          <w:lang w:val="en-US" w:eastAsia="zh-CN"/>
        </w:rPr>
      </w:pPr>
      <w:r>
        <w:rPr>
          <w:rFonts w:hint="eastAsia" w:ascii="宋体" w:hAnsi="宋体" w:eastAsia="宋体" w:cs="宋体"/>
          <w:color w:val="auto"/>
          <w:sz w:val="24"/>
          <w:lang w:val="en-US" w:eastAsia="zh-CN"/>
        </w:rPr>
        <w:t>1 应当保持不间断供水；</w:t>
      </w:r>
    </w:p>
    <w:p w14:paraId="0F0AC786">
      <w:pPr>
        <w:numPr>
          <w:ilvl w:val="-1"/>
          <w:numId w:val="0"/>
        </w:numPr>
        <w:spacing w:line="360" w:lineRule="auto"/>
        <w:ind w:left="0" w:leftChars="0" w:firstLine="480" w:firstLineChars="200"/>
        <w:rPr>
          <w:rFonts w:hint="eastAsia" w:ascii="宋体" w:hAnsi="宋体" w:eastAsia="宋体" w:cs="宋体"/>
          <w:color w:val="auto"/>
          <w:sz w:val="24"/>
          <w:lang w:val="en-US" w:eastAsia="zh-CN"/>
        </w:rPr>
      </w:pPr>
      <w:r>
        <w:rPr>
          <w:rFonts w:hint="eastAsia" w:ascii="宋体" w:hAnsi="宋体" w:eastAsia="宋体" w:cs="宋体"/>
          <w:color w:val="auto"/>
          <w:sz w:val="24"/>
          <w:lang w:val="en-US" w:eastAsia="zh-CN"/>
        </w:rPr>
        <w:t>2 由于施工、设备维修等原因需要停止供水的，经城市供水行政主管部门批准并提前 24 小时通知用水单位和个人；</w:t>
      </w:r>
    </w:p>
    <w:p w14:paraId="7CBF839F">
      <w:pPr>
        <w:numPr>
          <w:ilvl w:val="-1"/>
          <w:numId w:val="0"/>
        </w:numPr>
        <w:spacing w:line="360" w:lineRule="auto"/>
        <w:ind w:left="0" w:leftChars="0" w:firstLine="480" w:firstLineChars="200"/>
        <w:rPr>
          <w:rFonts w:hint="eastAsia" w:ascii="宋体" w:hAnsi="宋体" w:eastAsia="宋体" w:cs="宋体"/>
          <w:color w:val="auto"/>
          <w:sz w:val="24"/>
          <w:lang w:val="en-US" w:eastAsia="zh-CN"/>
        </w:rPr>
      </w:pPr>
      <w:r>
        <w:rPr>
          <w:rFonts w:hint="eastAsia" w:ascii="宋体" w:hAnsi="宋体" w:eastAsia="宋体" w:cs="宋体"/>
          <w:color w:val="auto"/>
          <w:sz w:val="24"/>
          <w:lang w:val="en-US" w:eastAsia="zh-CN"/>
        </w:rPr>
        <w:t>3 发生灾害或者紧急事故，不能提前通知的，在抢修的同时通知用水单位和个人，尽快恢复正常供水，并报告城市供水行政主管部门；</w:t>
      </w:r>
    </w:p>
    <w:p w14:paraId="40D366E9">
      <w:pPr>
        <w:numPr>
          <w:ilvl w:val="-1"/>
          <w:numId w:val="0"/>
        </w:numPr>
        <w:spacing w:line="360" w:lineRule="auto"/>
        <w:ind w:left="0" w:leftChars="0" w:firstLine="480" w:firstLineChars="200"/>
        <w:rPr>
          <w:rFonts w:hint="eastAsia" w:ascii="宋体" w:hAnsi="宋体" w:eastAsia="宋体" w:cs="宋体"/>
          <w:color w:val="auto"/>
          <w:sz w:val="24"/>
          <w:lang w:val="en-US" w:eastAsia="zh-CN"/>
        </w:rPr>
      </w:pPr>
      <w:r>
        <w:rPr>
          <w:rFonts w:hint="eastAsia" w:ascii="宋体" w:hAnsi="宋体" w:eastAsia="宋体" w:cs="宋体"/>
          <w:color w:val="auto"/>
          <w:sz w:val="24"/>
          <w:lang w:val="en-US" w:eastAsia="zh-CN"/>
        </w:rPr>
        <w:t>4 建立水质预警系统和应急预案，应对突发性水质污染事故，保障社会公共健康。</w:t>
      </w:r>
    </w:p>
    <w:p w14:paraId="5003B82A">
      <w:pPr>
        <w:spacing w:line="360" w:lineRule="auto"/>
        <w:rPr>
          <w:rFonts w:hint="eastAsia" w:ascii="宋体" w:hAnsi="宋体" w:eastAsia="宋体" w:cs="宋体"/>
          <w:color w:val="auto"/>
          <w:sz w:val="24"/>
          <w:lang w:val="en-US" w:eastAsia="zh-CN"/>
        </w:rPr>
      </w:pPr>
      <w:r>
        <w:rPr>
          <w:rFonts w:hint="eastAsia" w:ascii="宋体" w:hAnsi="宋体" w:cs="宋体"/>
          <w:color w:val="auto"/>
          <w:sz w:val="24"/>
          <w:lang w:val="en-US" w:eastAsia="zh-CN"/>
        </w:rPr>
        <w:t>B.8</w:t>
      </w:r>
      <w:r>
        <w:rPr>
          <w:rFonts w:hint="eastAsia" w:ascii="宋体" w:hAnsi="宋体" w:eastAsia="宋体" w:cs="宋体"/>
          <w:color w:val="auto"/>
          <w:sz w:val="24"/>
          <w:lang w:val="en-US" w:eastAsia="zh-CN"/>
        </w:rPr>
        <w:t>.</w:t>
      </w:r>
      <w:r>
        <w:rPr>
          <w:rFonts w:hint="eastAsia" w:ascii="宋体" w:hAnsi="宋体" w:cs="宋体"/>
          <w:color w:val="auto"/>
          <w:sz w:val="24"/>
          <w:lang w:val="en-US" w:eastAsia="zh-CN"/>
        </w:rPr>
        <w:t>26</w:t>
      </w:r>
      <w:r>
        <w:rPr>
          <w:rFonts w:hint="eastAsia" w:ascii="宋体" w:hAnsi="宋体" w:eastAsia="宋体" w:cs="宋体"/>
          <w:color w:val="auto"/>
          <w:sz w:val="24"/>
          <w:lang w:val="en-US" w:eastAsia="zh-CN"/>
        </w:rPr>
        <w:t xml:space="preserve"> 供水企业应建立应急响应机制，</w:t>
      </w:r>
      <w:r>
        <w:rPr>
          <w:rFonts w:hint="eastAsia" w:ascii="宋体" w:hAnsi="宋体" w:cs="宋体"/>
          <w:color w:val="auto"/>
          <w:sz w:val="24"/>
          <w:lang w:val="en-US" w:eastAsia="zh-CN"/>
        </w:rPr>
        <w:t>应按下列</w:t>
      </w:r>
      <w:r>
        <w:rPr>
          <w:rFonts w:hint="eastAsia" w:ascii="宋体" w:hAnsi="宋体" w:eastAsia="宋体" w:cs="宋体"/>
          <w:color w:val="auto"/>
          <w:sz w:val="24"/>
          <w:lang w:val="en-US" w:eastAsia="zh-CN"/>
        </w:rPr>
        <w:t>分别评分：</w:t>
      </w:r>
    </w:p>
    <w:p w14:paraId="15363844">
      <w:pPr>
        <w:numPr>
          <w:ilvl w:val="-1"/>
          <w:numId w:val="0"/>
        </w:numPr>
        <w:spacing w:line="360" w:lineRule="auto"/>
        <w:ind w:left="0" w:leftChars="0" w:firstLine="480" w:firstLineChars="200"/>
        <w:rPr>
          <w:rFonts w:hint="eastAsia" w:ascii="宋体" w:hAnsi="宋体" w:eastAsia="宋体" w:cs="宋体"/>
          <w:color w:val="auto"/>
          <w:sz w:val="24"/>
        </w:rPr>
      </w:pPr>
      <w:r>
        <w:rPr>
          <w:rFonts w:hint="eastAsia" w:ascii="宋体" w:hAnsi="宋体" w:eastAsia="宋体" w:cs="宋体"/>
          <w:color w:val="auto"/>
          <w:sz w:val="24"/>
          <w:lang w:val="en-US" w:eastAsia="zh-CN"/>
        </w:rPr>
        <w:t xml:space="preserve">1 </w:t>
      </w:r>
      <w:r>
        <w:rPr>
          <w:rFonts w:hint="eastAsia" w:ascii="宋体" w:hAnsi="宋体" w:eastAsia="宋体" w:cs="宋体"/>
          <w:color w:val="auto"/>
          <w:sz w:val="24"/>
        </w:rPr>
        <w:t>供水厂制定安全生产应急预案，应对自然灾害和公共卫生事件，保障社会稳定</w:t>
      </w:r>
      <w:r>
        <w:rPr>
          <w:rFonts w:hint="eastAsia" w:ascii="宋体" w:hAnsi="宋体" w:eastAsia="宋体" w:cs="宋体"/>
          <w:color w:val="auto"/>
          <w:sz w:val="24"/>
          <w:lang w:eastAsia="zh-CN"/>
        </w:rPr>
        <w:t>；</w:t>
      </w:r>
    </w:p>
    <w:p w14:paraId="566D1F25">
      <w:pPr>
        <w:numPr>
          <w:ilvl w:val="-1"/>
          <w:numId w:val="0"/>
        </w:numPr>
        <w:spacing w:line="360" w:lineRule="auto"/>
        <w:ind w:left="0" w:leftChars="0" w:firstLine="480" w:firstLineChars="200"/>
        <w:rPr>
          <w:rFonts w:hint="eastAsia" w:ascii="宋体" w:hAnsi="宋体" w:eastAsia="宋体" w:cs="宋体"/>
          <w:color w:val="auto"/>
          <w:sz w:val="24"/>
          <w:lang w:eastAsia="zh-CN"/>
        </w:rPr>
      </w:pPr>
      <w:r>
        <w:rPr>
          <w:rFonts w:hint="eastAsia" w:ascii="宋体" w:hAnsi="宋体" w:eastAsia="宋体" w:cs="宋体"/>
          <w:color w:val="auto"/>
          <w:sz w:val="24"/>
          <w:lang w:val="en-US" w:eastAsia="zh-CN"/>
        </w:rPr>
        <w:t xml:space="preserve">2 </w:t>
      </w:r>
      <w:r>
        <w:rPr>
          <w:rFonts w:hint="eastAsia" w:ascii="宋体" w:hAnsi="宋体" w:eastAsia="宋体" w:cs="宋体"/>
          <w:color w:val="auto"/>
          <w:sz w:val="24"/>
        </w:rPr>
        <w:t>当供水水质出现异常或污染时，供水企业加强监测频率，并及时报告主管部门和卫生监督部门</w:t>
      </w:r>
      <w:r>
        <w:rPr>
          <w:rFonts w:hint="eastAsia" w:ascii="宋体" w:hAnsi="宋体" w:eastAsia="宋体" w:cs="宋体"/>
          <w:color w:val="auto"/>
          <w:sz w:val="24"/>
          <w:lang w:eastAsia="zh-CN"/>
        </w:rPr>
        <w:t>；</w:t>
      </w:r>
    </w:p>
    <w:p w14:paraId="2CA5244C">
      <w:pPr>
        <w:numPr>
          <w:ilvl w:val="-1"/>
          <w:numId w:val="0"/>
        </w:numPr>
        <w:spacing w:line="360" w:lineRule="auto"/>
        <w:ind w:left="0" w:leftChars="0" w:firstLine="480" w:firstLineChars="200"/>
        <w:rPr>
          <w:rFonts w:hint="eastAsia" w:ascii="宋体" w:hAnsi="宋体" w:eastAsia="宋体" w:cs="宋体"/>
          <w:color w:val="auto"/>
          <w:sz w:val="24"/>
        </w:rPr>
      </w:pPr>
      <w:r>
        <w:rPr>
          <w:rFonts w:hint="eastAsia" w:ascii="宋体" w:hAnsi="宋体" w:eastAsia="宋体" w:cs="宋体"/>
          <w:color w:val="auto"/>
          <w:sz w:val="24"/>
          <w:lang w:val="en-US" w:eastAsia="zh-CN"/>
        </w:rPr>
        <w:t xml:space="preserve">3 </w:t>
      </w:r>
      <w:r>
        <w:rPr>
          <w:rFonts w:hint="eastAsia" w:ascii="宋体" w:hAnsi="宋体" w:eastAsia="宋体" w:cs="宋体"/>
          <w:color w:val="auto"/>
          <w:sz w:val="24"/>
        </w:rPr>
        <w:t>对于重大污染事件或不明原因的水质恶化，供水企业采取有效措施并立即报告。</w:t>
      </w:r>
    </w:p>
    <w:p w14:paraId="4037DCB4">
      <w:pPr>
        <w:spacing w:line="360" w:lineRule="auto"/>
        <w:rPr>
          <w:rFonts w:hint="eastAsia" w:ascii="宋体" w:hAnsi="宋体" w:eastAsia="宋体" w:cs="宋体"/>
          <w:color w:val="auto"/>
          <w:sz w:val="24"/>
          <w:lang w:val="en-US" w:eastAsia="zh-CN"/>
        </w:rPr>
      </w:pPr>
      <w:r>
        <w:rPr>
          <w:rFonts w:hint="eastAsia" w:ascii="宋体" w:hAnsi="宋体" w:cs="宋体"/>
          <w:color w:val="auto"/>
          <w:sz w:val="24"/>
          <w:lang w:val="en-US" w:eastAsia="zh-CN"/>
        </w:rPr>
        <w:t>B.8</w:t>
      </w:r>
      <w:r>
        <w:rPr>
          <w:rFonts w:hint="eastAsia" w:ascii="宋体" w:hAnsi="宋体" w:eastAsia="宋体" w:cs="宋体"/>
          <w:color w:val="auto"/>
          <w:sz w:val="24"/>
          <w:lang w:val="en-US" w:eastAsia="zh-CN"/>
        </w:rPr>
        <w:t>.</w:t>
      </w:r>
      <w:r>
        <w:rPr>
          <w:rFonts w:hint="eastAsia" w:ascii="宋体" w:hAnsi="宋体" w:cs="宋体"/>
          <w:color w:val="auto"/>
          <w:sz w:val="24"/>
          <w:lang w:val="en-US" w:eastAsia="zh-CN"/>
        </w:rPr>
        <w:t>27</w:t>
      </w:r>
      <w:r>
        <w:rPr>
          <w:rFonts w:hint="eastAsia" w:ascii="宋体" w:hAnsi="宋体" w:eastAsia="宋体" w:cs="宋体"/>
          <w:color w:val="auto"/>
          <w:sz w:val="24"/>
          <w:lang w:val="en-US" w:eastAsia="zh-CN"/>
        </w:rPr>
        <w:t xml:space="preserve"> 供水企业对其管理的城市供水专用水库、引水渠道、取水口、泵站、井群、输（配） 水管网、进户总水表、净（配）水厂、公用水站等设施，</w:t>
      </w:r>
      <w:r>
        <w:rPr>
          <w:rFonts w:hint="eastAsia" w:ascii="宋体" w:hAnsi="宋体" w:cs="宋体"/>
          <w:color w:val="auto"/>
          <w:sz w:val="24"/>
          <w:lang w:val="en-US" w:eastAsia="zh-CN"/>
        </w:rPr>
        <w:t>应</w:t>
      </w:r>
      <w:r>
        <w:rPr>
          <w:rFonts w:hint="eastAsia" w:ascii="宋体" w:hAnsi="宋体" w:eastAsia="宋体" w:cs="宋体"/>
          <w:color w:val="auto"/>
          <w:sz w:val="24"/>
          <w:lang w:val="en-US" w:eastAsia="zh-CN"/>
        </w:rPr>
        <w:t>定期检查维修，确保安全运行。</w:t>
      </w:r>
    </w:p>
    <w:p w14:paraId="51BA5895">
      <w:pPr>
        <w:spacing w:line="360" w:lineRule="auto"/>
        <w:rPr>
          <w:rFonts w:hint="eastAsia" w:ascii="宋体" w:hAnsi="宋体" w:eastAsia="宋体" w:cs="宋体"/>
          <w:color w:val="auto"/>
          <w:sz w:val="24"/>
          <w:lang w:val="en-US" w:eastAsia="zh-CN"/>
        </w:rPr>
      </w:pPr>
      <w:r>
        <w:rPr>
          <w:rFonts w:hint="eastAsia" w:ascii="宋体" w:hAnsi="宋体" w:cs="宋体"/>
          <w:color w:val="auto"/>
          <w:sz w:val="24"/>
          <w:lang w:val="en-US" w:eastAsia="zh-CN"/>
        </w:rPr>
        <w:t>B.8</w:t>
      </w:r>
      <w:r>
        <w:rPr>
          <w:rFonts w:hint="eastAsia" w:ascii="宋体" w:hAnsi="宋体" w:eastAsia="宋体" w:cs="宋体"/>
          <w:color w:val="auto"/>
          <w:sz w:val="24"/>
          <w:lang w:val="en-US" w:eastAsia="zh-CN"/>
        </w:rPr>
        <w:t>.</w:t>
      </w:r>
      <w:r>
        <w:rPr>
          <w:rFonts w:hint="eastAsia" w:ascii="宋体" w:hAnsi="宋体" w:cs="宋体"/>
          <w:color w:val="auto"/>
          <w:sz w:val="24"/>
          <w:lang w:val="en-US" w:eastAsia="zh-CN"/>
        </w:rPr>
        <w:t>28</w:t>
      </w:r>
      <w:r>
        <w:rPr>
          <w:rFonts w:hint="eastAsia" w:ascii="宋体" w:hAnsi="宋体" w:eastAsia="宋体" w:cs="宋体"/>
          <w:color w:val="auto"/>
          <w:sz w:val="24"/>
          <w:lang w:val="en-US" w:eastAsia="zh-CN"/>
        </w:rPr>
        <w:t xml:space="preserve"> 应保障供水管网安全，</w:t>
      </w:r>
      <w:r>
        <w:rPr>
          <w:rFonts w:hint="eastAsia" w:ascii="宋体" w:hAnsi="宋体" w:cs="宋体"/>
          <w:color w:val="auto"/>
          <w:sz w:val="24"/>
          <w:lang w:val="en-US" w:eastAsia="zh-CN"/>
        </w:rPr>
        <w:t>应按下列</w:t>
      </w:r>
      <w:r>
        <w:rPr>
          <w:rFonts w:hint="eastAsia" w:ascii="宋体" w:hAnsi="宋体" w:eastAsia="宋体" w:cs="宋体"/>
          <w:color w:val="auto"/>
          <w:sz w:val="24"/>
          <w:lang w:val="en-US" w:eastAsia="zh-CN"/>
        </w:rPr>
        <w:t>内容分别评分：</w:t>
      </w:r>
    </w:p>
    <w:p w14:paraId="66D121E9">
      <w:pPr>
        <w:numPr>
          <w:ilvl w:val="-1"/>
          <w:numId w:val="0"/>
        </w:numPr>
        <w:spacing w:line="360" w:lineRule="auto"/>
        <w:ind w:left="0" w:leftChars="0" w:firstLine="480" w:firstLineChars="200"/>
        <w:rPr>
          <w:rFonts w:hint="eastAsia" w:ascii="宋体" w:hAnsi="宋体" w:eastAsia="宋体" w:cs="宋体"/>
          <w:color w:val="auto"/>
          <w:sz w:val="24"/>
          <w:lang w:val="en-US" w:eastAsia="zh-CN"/>
        </w:rPr>
      </w:pPr>
      <w:r>
        <w:rPr>
          <w:rFonts w:hint="eastAsia" w:ascii="宋体" w:hAnsi="宋体" w:eastAsia="宋体" w:cs="宋体"/>
          <w:color w:val="auto"/>
          <w:sz w:val="24"/>
          <w:lang w:val="en-US" w:eastAsia="zh-CN"/>
        </w:rPr>
        <w:t>1 按照规定设置管网测压点，进行水压监测，确保供水管网的压力符合国家规定的标准；</w:t>
      </w:r>
    </w:p>
    <w:p w14:paraId="74C5FEBD">
      <w:pPr>
        <w:numPr>
          <w:ilvl w:val="-1"/>
          <w:numId w:val="0"/>
        </w:numPr>
        <w:spacing w:line="360" w:lineRule="auto"/>
        <w:ind w:left="0" w:leftChars="0" w:firstLine="480" w:firstLineChars="200"/>
        <w:rPr>
          <w:rFonts w:hint="eastAsia" w:ascii="宋体" w:hAnsi="宋体" w:eastAsia="宋体" w:cs="宋体"/>
          <w:color w:val="auto"/>
          <w:sz w:val="24"/>
          <w:lang w:val="en-US" w:eastAsia="zh-CN"/>
        </w:rPr>
      </w:pPr>
      <w:r>
        <w:rPr>
          <w:rFonts w:hint="eastAsia" w:ascii="宋体" w:hAnsi="宋体" w:eastAsia="宋体" w:cs="宋体"/>
          <w:color w:val="auto"/>
          <w:sz w:val="24"/>
          <w:lang w:val="en-US" w:eastAsia="zh-CN"/>
        </w:rPr>
        <w:t>2 不在城市公共供水管道上直接装泵抽水。</w:t>
      </w:r>
    </w:p>
    <w:p w14:paraId="6D4046E2">
      <w:pPr>
        <w:spacing w:line="360" w:lineRule="auto"/>
        <w:rPr>
          <w:rFonts w:hint="eastAsia" w:ascii="宋体" w:hAnsi="宋体" w:eastAsia="宋体" w:cs="宋体"/>
          <w:color w:val="auto"/>
          <w:sz w:val="24"/>
          <w:lang w:val="en-US" w:eastAsia="zh-CN"/>
        </w:rPr>
      </w:pPr>
      <w:r>
        <w:rPr>
          <w:rFonts w:hint="eastAsia" w:ascii="宋体" w:hAnsi="宋体" w:cs="宋体"/>
          <w:color w:val="auto"/>
          <w:sz w:val="24"/>
          <w:lang w:val="en-US" w:eastAsia="zh-CN"/>
        </w:rPr>
        <w:t>B.8</w:t>
      </w:r>
      <w:r>
        <w:rPr>
          <w:rFonts w:hint="eastAsia" w:ascii="宋体" w:hAnsi="宋体" w:eastAsia="宋体" w:cs="宋体"/>
          <w:color w:val="auto"/>
          <w:sz w:val="24"/>
          <w:lang w:val="en-US" w:eastAsia="zh-CN"/>
        </w:rPr>
        <w:t>.</w:t>
      </w:r>
      <w:r>
        <w:rPr>
          <w:rFonts w:hint="eastAsia" w:ascii="宋体" w:hAnsi="宋体" w:cs="宋体"/>
          <w:color w:val="auto"/>
          <w:sz w:val="24"/>
          <w:lang w:val="en-US" w:eastAsia="zh-CN"/>
        </w:rPr>
        <w:t>29</w:t>
      </w:r>
      <w:r>
        <w:rPr>
          <w:rFonts w:hint="eastAsia" w:ascii="宋体" w:hAnsi="宋体" w:eastAsia="宋体" w:cs="宋体"/>
          <w:color w:val="auto"/>
          <w:sz w:val="24"/>
          <w:lang w:val="en-US" w:eastAsia="zh-CN"/>
        </w:rPr>
        <w:t xml:space="preserve"> 在城市公共供水管道及其附属设施的地面和地下的安全保护范围内，</w:t>
      </w:r>
      <w:r>
        <w:rPr>
          <w:rFonts w:hint="eastAsia" w:ascii="宋体" w:hAnsi="宋体" w:cs="宋体"/>
          <w:color w:val="auto"/>
          <w:sz w:val="24"/>
          <w:lang w:val="en-US" w:eastAsia="zh-CN"/>
        </w:rPr>
        <w:t>严禁</w:t>
      </w:r>
      <w:r>
        <w:rPr>
          <w:rFonts w:hint="eastAsia" w:ascii="宋体" w:hAnsi="宋体" w:eastAsia="宋体" w:cs="宋体"/>
          <w:color w:val="auto"/>
          <w:sz w:val="24"/>
          <w:lang w:val="en-US" w:eastAsia="zh-CN"/>
        </w:rPr>
        <w:t>存在挖坑取土或者修建筑物、构筑物等危害供水设施安全的活动。</w:t>
      </w:r>
    </w:p>
    <w:p w14:paraId="58AC6178">
      <w:pPr>
        <w:spacing w:line="360" w:lineRule="auto"/>
        <w:rPr>
          <w:rFonts w:hint="eastAsia" w:ascii="宋体" w:hAnsi="宋体" w:eastAsia="宋体" w:cs="宋体"/>
          <w:color w:val="auto"/>
          <w:sz w:val="24"/>
        </w:rPr>
      </w:pPr>
      <w:r>
        <w:rPr>
          <w:rFonts w:hint="eastAsia" w:ascii="宋体" w:hAnsi="宋体" w:cs="宋体"/>
          <w:color w:val="auto"/>
          <w:sz w:val="24"/>
          <w:lang w:val="en-US" w:eastAsia="zh-CN"/>
        </w:rPr>
        <w:t>B.8</w:t>
      </w:r>
      <w:r>
        <w:rPr>
          <w:rFonts w:hint="eastAsia" w:ascii="宋体" w:hAnsi="宋体" w:eastAsia="宋体" w:cs="宋体"/>
          <w:color w:val="auto"/>
          <w:sz w:val="24"/>
          <w:lang w:val="en-US" w:eastAsia="zh-CN"/>
        </w:rPr>
        <w:t>.</w:t>
      </w:r>
      <w:r>
        <w:rPr>
          <w:rFonts w:hint="eastAsia" w:ascii="宋体" w:hAnsi="宋体" w:cs="宋体"/>
          <w:color w:val="auto"/>
          <w:sz w:val="24"/>
          <w:lang w:val="en-US" w:eastAsia="zh-CN"/>
        </w:rPr>
        <w:t>30</w:t>
      </w:r>
      <w:r>
        <w:rPr>
          <w:rFonts w:hint="eastAsia" w:ascii="宋体" w:hAnsi="宋体" w:eastAsia="宋体" w:cs="宋体"/>
          <w:color w:val="auto"/>
          <w:sz w:val="24"/>
          <w:lang w:val="en-US" w:eastAsia="zh-CN"/>
        </w:rPr>
        <w:t xml:space="preserve"> </w:t>
      </w:r>
      <w:r>
        <w:rPr>
          <w:rFonts w:hint="eastAsia" w:ascii="宋体" w:hAnsi="宋体" w:cs="宋体"/>
          <w:color w:val="auto"/>
          <w:sz w:val="24"/>
          <w:lang w:val="en-US" w:eastAsia="zh-CN"/>
        </w:rPr>
        <w:t>应</w:t>
      </w:r>
      <w:r>
        <w:rPr>
          <w:rFonts w:hint="eastAsia" w:ascii="宋体" w:hAnsi="宋体" w:eastAsia="宋体" w:cs="宋体"/>
          <w:color w:val="auto"/>
          <w:sz w:val="24"/>
        </w:rPr>
        <w:t>制定管网更新改造的中长期规划和年度计划，确保管网的持续更新。</w:t>
      </w:r>
    </w:p>
    <w:p w14:paraId="5B7E8E0C">
      <w:pPr>
        <w:spacing w:line="360" w:lineRule="auto"/>
        <w:rPr>
          <w:rFonts w:hint="eastAsia" w:ascii="宋体" w:hAnsi="宋体" w:eastAsia="宋体" w:cs="宋体"/>
          <w:color w:val="auto"/>
          <w:sz w:val="24"/>
          <w:lang w:eastAsia="zh-CN"/>
        </w:rPr>
      </w:pPr>
      <w:r>
        <w:rPr>
          <w:rFonts w:hint="eastAsia" w:ascii="宋体" w:hAnsi="宋体" w:cs="宋体"/>
          <w:color w:val="auto"/>
          <w:sz w:val="24"/>
          <w:lang w:val="en-US" w:eastAsia="zh-CN"/>
        </w:rPr>
        <w:t>B.8</w:t>
      </w:r>
      <w:r>
        <w:rPr>
          <w:rFonts w:hint="eastAsia" w:ascii="宋体" w:hAnsi="宋体" w:eastAsia="宋体" w:cs="宋体"/>
          <w:color w:val="auto"/>
          <w:sz w:val="24"/>
          <w:lang w:val="en-US" w:eastAsia="zh-CN"/>
        </w:rPr>
        <w:t>.</w:t>
      </w:r>
      <w:r>
        <w:rPr>
          <w:rFonts w:hint="eastAsia" w:ascii="宋体" w:hAnsi="宋体" w:cs="宋体"/>
          <w:color w:val="auto"/>
          <w:sz w:val="24"/>
          <w:lang w:val="en-US" w:eastAsia="zh-CN"/>
        </w:rPr>
        <w:t>31</w:t>
      </w:r>
      <w:r>
        <w:rPr>
          <w:rFonts w:hint="eastAsia" w:ascii="宋体" w:hAnsi="宋体" w:eastAsia="宋体" w:cs="宋体"/>
          <w:color w:val="auto"/>
          <w:sz w:val="24"/>
          <w:lang w:val="en-US" w:eastAsia="zh-CN"/>
        </w:rPr>
        <w:t xml:space="preserve"> </w:t>
      </w:r>
      <w:r>
        <w:rPr>
          <w:rFonts w:hint="eastAsia" w:ascii="宋体" w:hAnsi="宋体" w:cs="宋体"/>
          <w:color w:val="auto"/>
          <w:sz w:val="24"/>
          <w:lang w:val="en-US" w:eastAsia="zh-CN"/>
        </w:rPr>
        <w:t>应</w:t>
      </w:r>
      <w:r>
        <w:rPr>
          <w:rFonts w:hint="eastAsia" w:ascii="宋体" w:hAnsi="宋体" w:eastAsia="宋体" w:cs="宋体"/>
          <w:color w:val="auto"/>
          <w:sz w:val="24"/>
        </w:rPr>
        <w:t>采用非开挖修复技术等创新手段，减少</w:t>
      </w:r>
      <w:r>
        <w:rPr>
          <w:rFonts w:hint="eastAsia" w:ascii="宋体" w:hAnsi="宋体" w:eastAsia="宋体" w:cs="宋体"/>
          <w:color w:val="auto"/>
          <w:sz w:val="24"/>
          <w:lang w:val="en-US" w:eastAsia="zh-CN"/>
        </w:rPr>
        <w:t>供水工程</w:t>
      </w:r>
      <w:r>
        <w:rPr>
          <w:rFonts w:hint="eastAsia" w:ascii="宋体" w:hAnsi="宋体" w:eastAsia="宋体" w:cs="宋体"/>
          <w:color w:val="auto"/>
          <w:sz w:val="24"/>
        </w:rPr>
        <w:t>施工对社会和环境的影响</w:t>
      </w:r>
      <w:r>
        <w:rPr>
          <w:rFonts w:hint="eastAsia" w:ascii="宋体" w:hAnsi="宋体" w:eastAsia="宋体" w:cs="宋体"/>
          <w:color w:val="auto"/>
          <w:sz w:val="24"/>
          <w:lang w:eastAsia="zh-CN"/>
        </w:rPr>
        <w:t>。</w:t>
      </w:r>
    </w:p>
    <w:p w14:paraId="6202F288">
      <w:pPr>
        <w:spacing w:line="360" w:lineRule="auto"/>
        <w:rPr>
          <w:rFonts w:hint="eastAsia" w:ascii="宋体" w:hAnsi="宋体" w:eastAsia="宋体" w:cs="宋体"/>
          <w:color w:val="auto"/>
          <w:sz w:val="24"/>
          <w:lang w:val="en-US" w:eastAsia="zh-CN"/>
        </w:rPr>
      </w:pPr>
      <w:r>
        <w:rPr>
          <w:rFonts w:hint="eastAsia" w:ascii="宋体" w:hAnsi="宋体" w:cs="宋体"/>
          <w:color w:val="auto"/>
          <w:sz w:val="24"/>
          <w:lang w:val="en-US" w:eastAsia="zh-CN"/>
        </w:rPr>
        <w:t>B.8</w:t>
      </w:r>
      <w:r>
        <w:rPr>
          <w:rFonts w:hint="eastAsia" w:ascii="宋体" w:hAnsi="宋体" w:eastAsia="宋体" w:cs="宋体"/>
          <w:color w:val="auto"/>
          <w:sz w:val="24"/>
          <w:lang w:val="en-US" w:eastAsia="zh-CN"/>
        </w:rPr>
        <w:t>.</w:t>
      </w:r>
      <w:r>
        <w:rPr>
          <w:rFonts w:hint="eastAsia" w:ascii="宋体" w:hAnsi="宋体" w:cs="宋体"/>
          <w:color w:val="auto"/>
          <w:sz w:val="24"/>
          <w:lang w:val="en-US" w:eastAsia="zh-CN"/>
        </w:rPr>
        <w:t>32</w:t>
      </w:r>
      <w:r>
        <w:rPr>
          <w:rFonts w:hint="eastAsia" w:ascii="宋体" w:hAnsi="宋体" w:eastAsia="宋体" w:cs="宋体"/>
          <w:color w:val="auto"/>
          <w:sz w:val="24"/>
          <w:lang w:val="en-US" w:eastAsia="zh-CN"/>
        </w:rPr>
        <w:t xml:space="preserve"> 采用信息化技术提高供水管理效率，</w:t>
      </w:r>
      <w:r>
        <w:rPr>
          <w:rFonts w:hint="eastAsia" w:ascii="宋体" w:hAnsi="宋体" w:cs="宋体"/>
          <w:color w:val="auto"/>
          <w:sz w:val="24"/>
          <w:lang w:val="en-US" w:eastAsia="zh-CN"/>
        </w:rPr>
        <w:t>应按下列</w:t>
      </w:r>
      <w:r>
        <w:rPr>
          <w:rFonts w:hint="eastAsia" w:ascii="宋体" w:hAnsi="宋体" w:eastAsia="宋体" w:cs="宋体"/>
          <w:color w:val="auto"/>
          <w:sz w:val="24"/>
          <w:lang w:val="en-US" w:eastAsia="zh-CN"/>
        </w:rPr>
        <w:t>内容分别评分：</w:t>
      </w:r>
    </w:p>
    <w:p w14:paraId="73DDDC4B">
      <w:pPr>
        <w:numPr>
          <w:ilvl w:val="-1"/>
          <w:numId w:val="0"/>
        </w:numPr>
        <w:spacing w:line="360" w:lineRule="auto"/>
        <w:ind w:left="0" w:leftChars="0" w:firstLine="480" w:firstLineChars="200"/>
        <w:rPr>
          <w:rFonts w:hint="eastAsia" w:ascii="宋体" w:hAnsi="宋体" w:eastAsia="宋体" w:cs="宋体"/>
          <w:color w:val="auto"/>
          <w:sz w:val="24"/>
          <w:lang w:val="en-US" w:eastAsia="zh-CN"/>
        </w:rPr>
      </w:pPr>
      <w:r>
        <w:rPr>
          <w:rFonts w:hint="eastAsia" w:ascii="宋体" w:hAnsi="宋体" w:eastAsia="宋体" w:cs="宋体"/>
          <w:color w:val="auto"/>
          <w:sz w:val="24"/>
          <w:lang w:val="en-US" w:eastAsia="zh-CN"/>
        </w:rPr>
        <w:t>1 在实施压力管理区域设置压力监测点，以管网压力监测数据为基础，实施压力计算和动态管理，建立管网数字化信息系统；</w:t>
      </w:r>
    </w:p>
    <w:p w14:paraId="61CD95B8">
      <w:pPr>
        <w:numPr>
          <w:ilvl w:val="-1"/>
          <w:numId w:val="0"/>
        </w:numPr>
        <w:spacing w:line="360" w:lineRule="auto"/>
        <w:ind w:left="0" w:leftChars="0" w:firstLine="480" w:firstLineChars="200"/>
        <w:rPr>
          <w:rFonts w:hint="eastAsia" w:ascii="宋体" w:hAnsi="宋体" w:eastAsia="宋体" w:cs="宋体"/>
          <w:color w:val="auto"/>
          <w:sz w:val="24"/>
          <w:lang w:eastAsia="zh-CN"/>
        </w:rPr>
      </w:pPr>
      <w:r>
        <w:rPr>
          <w:rFonts w:hint="eastAsia" w:ascii="宋体" w:hAnsi="宋体" w:eastAsia="宋体" w:cs="宋体"/>
          <w:color w:val="auto"/>
          <w:sz w:val="24"/>
          <w:lang w:val="en-US" w:eastAsia="zh-CN"/>
        </w:rPr>
        <w:t xml:space="preserve">2 </w:t>
      </w:r>
      <w:r>
        <w:rPr>
          <w:rFonts w:hint="eastAsia" w:ascii="宋体" w:hAnsi="宋体" w:eastAsia="宋体" w:cs="宋体"/>
          <w:color w:val="auto"/>
          <w:sz w:val="24"/>
        </w:rPr>
        <w:t>通过水量平衡分析、漏损水量分析、压力监测等手段，为漏损控制和管理提供数据支持</w:t>
      </w:r>
      <w:r>
        <w:rPr>
          <w:rFonts w:hint="eastAsia" w:ascii="宋体" w:hAnsi="宋体" w:eastAsia="宋体" w:cs="宋体"/>
          <w:color w:val="auto"/>
          <w:sz w:val="24"/>
          <w:lang w:eastAsia="zh-CN"/>
        </w:rPr>
        <w:t>；</w:t>
      </w:r>
    </w:p>
    <w:p w14:paraId="04DB3462">
      <w:pPr>
        <w:numPr>
          <w:ilvl w:val="-1"/>
          <w:numId w:val="0"/>
        </w:numPr>
        <w:spacing w:line="360" w:lineRule="auto"/>
        <w:ind w:left="0" w:leftChars="0" w:firstLine="480" w:firstLineChars="200"/>
        <w:rPr>
          <w:rFonts w:hint="eastAsia" w:ascii="宋体" w:hAnsi="宋体" w:eastAsia="宋体" w:cs="宋体"/>
          <w:color w:val="auto"/>
          <w:sz w:val="24"/>
        </w:rPr>
      </w:pPr>
      <w:r>
        <w:rPr>
          <w:rFonts w:hint="eastAsia" w:ascii="宋体" w:hAnsi="宋体" w:eastAsia="宋体" w:cs="宋体"/>
          <w:color w:val="auto"/>
          <w:sz w:val="24"/>
          <w:lang w:val="en-US" w:eastAsia="zh-CN"/>
        </w:rPr>
        <w:t xml:space="preserve">3 </w:t>
      </w:r>
      <w:r>
        <w:rPr>
          <w:rFonts w:hint="eastAsia" w:ascii="宋体" w:hAnsi="宋体" w:eastAsia="宋体" w:cs="宋体"/>
          <w:color w:val="auto"/>
          <w:sz w:val="24"/>
        </w:rPr>
        <w:t>量化漏损水量的区域分布</w:t>
      </w:r>
      <w:r>
        <w:rPr>
          <w:rFonts w:hint="eastAsia" w:ascii="宋体" w:hAnsi="宋体" w:eastAsia="宋体" w:cs="宋体"/>
          <w:color w:val="auto"/>
          <w:sz w:val="24"/>
          <w:lang w:eastAsia="zh-CN"/>
        </w:rPr>
        <w:t>，</w:t>
      </w:r>
      <w:r>
        <w:rPr>
          <w:rFonts w:hint="eastAsia" w:ascii="宋体" w:hAnsi="宋体" w:eastAsia="宋体" w:cs="宋体"/>
          <w:color w:val="auto"/>
          <w:sz w:val="24"/>
        </w:rPr>
        <w:t>根据不同区域的漏损情况，制定差异化管理方案，提高治理效率。</w:t>
      </w:r>
    </w:p>
    <w:p w14:paraId="1C78F1E8">
      <w:pPr>
        <w:spacing w:line="360" w:lineRule="auto"/>
        <w:rPr>
          <w:rFonts w:hint="eastAsia" w:ascii="宋体" w:hAnsi="宋体" w:eastAsia="宋体" w:cs="宋体"/>
          <w:color w:val="auto"/>
          <w:sz w:val="24"/>
        </w:rPr>
      </w:pPr>
      <w:r>
        <w:rPr>
          <w:rFonts w:hint="eastAsia" w:ascii="宋体" w:hAnsi="宋体" w:cs="宋体"/>
          <w:color w:val="auto"/>
          <w:sz w:val="24"/>
          <w:lang w:val="en-US" w:eastAsia="zh-CN"/>
        </w:rPr>
        <w:t>B.8</w:t>
      </w:r>
      <w:r>
        <w:rPr>
          <w:rFonts w:hint="eastAsia" w:ascii="宋体" w:hAnsi="宋体" w:eastAsia="宋体" w:cs="宋体"/>
          <w:color w:val="auto"/>
          <w:sz w:val="24"/>
          <w:lang w:val="en-US" w:eastAsia="zh-CN"/>
        </w:rPr>
        <w:t>.</w:t>
      </w:r>
      <w:r>
        <w:rPr>
          <w:rFonts w:hint="eastAsia" w:ascii="宋体" w:hAnsi="宋体" w:cs="宋体"/>
          <w:color w:val="auto"/>
          <w:sz w:val="24"/>
          <w:lang w:val="en-US" w:eastAsia="zh-CN"/>
        </w:rPr>
        <w:t>33</w:t>
      </w:r>
      <w:r>
        <w:rPr>
          <w:rFonts w:hint="eastAsia" w:ascii="宋体" w:hAnsi="宋体" w:eastAsia="宋体" w:cs="宋体"/>
          <w:color w:val="auto"/>
          <w:sz w:val="24"/>
          <w:lang w:val="en-US" w:eastAsia="zh-CN"/>
        </w:rPr>
        <w:t xml:space="preserve"> </w:t>
      </w:r>
      <w:r>
        <w:rPr>
          <w:rFonts w:hint="eastAsia" w:ascii="宋体" w:hAnsi="宋体" w:cs="宋体"/>
          <w:color w:val="auto"/>
          <w:sz w:val="24"/>
          <w:lang w:val="en-US" w:eastAsia="zh-CN"/>
        </w:rPr>
        <w:t>应</w:t>
      </w:r>
      <w:r>
        <w:rPr>
          <w:rFonts w:hint="eastAsia" w:ascii="宋体" w:hAnsi="宋体" w:eastAsia="宋体" w:cs="宋体"/>
          <w:color w:val="auto"/>
          <w:sz w:val="24"/>
          <w:lang w:val="en-US" w:eastAsia="zh-CN"/>
        </w:rPr>
        <w:t>以</w:t>
      </w:r>
      <w:r>
        <w:rPr>
          <w:rFonts w:hint="eastAsia" w:ascii="宋体" w:hAnsi="宋体" w:eastAsia="宋体" w:cs="宋体"/>
          <w:color w:val="auto"/>
          <w:sz w:val="24"/>
        </w:rPr>
        <w:t>水质监测和信息公开</w:t>
      </w:r>
      <w:r>
        <w:rPr>
          <w:rFonts w:hint="eastAsia" w:ascii="宋体" w:hAnsi="宋体" w:eastAsia="宋体" w:cs="宋体"/>
          <w:color w:val="auto"/>
          <w:sz w:val="24"/>
          <w:lang w:val="en-US" w:eastAsia="zh-CN"/>
        </w:rPr>
        <w:t>等手段，</w:t>
      </w:r>
      <w:r>
        <w:rPr>
          <w:rFonts w:hint="eastAsia" w:ascii="宋体" w:hAnsi="宋体" w:eastAsia="宋体" w:cs="宋体"/>
          <w:color w:val="auto"/>
          <w:sz w:val="24"/>
        </w:rPr>
        <w:t>促进公众对供水安全的关注和参与。</w:t>
      </w:r>
    </w:p>
    <w:p w14:paraId="4106C6BB">
      <w:pPr>
        <w:rPr>
          <w:rFonts w:hint="default"/>
          <w:color w:val="auto"/>
          <w:lang w:val="en-US" w:eastAsia="zh-CN"/>
        </w:rPr>
      </w:pPr>
    </w:p>
    <w:p w14:paraId="6A614939">
      <w:pPr>
        <w:widowControl w:val="0"/>
        <w:wordWrap/>
        <w:adjustRightInd/>
        <w:snapToGrid/>
        <w:spacing w:line="360" w:lineRule="auto"/>
        <w:jc w:val="left"/>
        <w:textAlignment w:val="auto"/>
        <w:outlineLvl w:val="9"/>
        <w:rPr>
          <w:rFonts w:hint="eastAsia" w:ascii="宋体" w:hAnsi="宋体" w:eastAsia="宋体" w:cs="宋体"/>
          <w:color w:val="auto"/>
          <w:sz w:val="24"/>
          <w:lang w:val="en-US" w:eastAsia="zh-CN"/>
        </w:rPr>
        <w:sectPr>
          <w:footerReference r:id="rId7" w:type="default"/>
          <w:pgSz w:w="11906" w:h="16838"/>
          <w:pgMar w:top="1440" w:right="1800" w:bottom="1440" w:left="1800" w:header="851" w:footer="992" w:gutter="0"/>
          <w:pgNumType w:fmt="decimal"/>
          <w:cols w:space="720" w:num="1"/>
          <w:docGrid w:type="lines" w:linePitch="312" w:charSpace="0"/>
        </w:sectPr>
      </w:pPr>
    </w:p>
    <w:p w14:paraId="69AE3197">
      <w:pPr>
        <w:spacing w:line="360" w:lineRule="auto"/>
        <w:jc w:val="center"/>
        <w:outlineLvl w:val="0"/>
        <w:rPr>
          <w:rFonts w:ascii="宋体" w:hAnsi="宋体" w:eastAsia="宋体" w:cs="宋体"/>
          <w:b/>
          <w:bCs/>
          <w:color w:val="auto"/>
          <w:sz w:val="30"/>
          <w:szCs w:val="30"/>
        </w:rPr>
      </w:pPr>
      <w:bookmarkStart w:id="630" w:name="_Toc10735"/>
      <w:bookmarkStart w:id="631" w:name="_Toc15020"/>
      <w:bookmarkStart w:id="632" w:name="_Toc970"/>
      <w:bookmarkStart w:id="633" w:name="_Toc1894"/>
      <w:bookmarkStart w:id="634" w:name="_Toc3812"/>
      <w:bookmarkStart w:id="635" w:name="_Toc4070"/>
      <w:bookmarkStart w:id="636" w:name="_Toc20790"/>
      <w:r>
        <w:rPr>
          <w:rFonts w:hint="eastAsia" w:ascii="宋体" w:hAnsi="宋体" w:eastAsia="宋体" w:cs="宋体"/>
          <w:b/>
          <w:bCs/>
          <w:color w:val="auto"/>
          <w:sz w:val="30"/>
          <w:szCs w:val="30"/>
        </w:rPr>
        <w:t>附录</w:t>
      </w:r>
      <w:r>
        <w:rPr>
          <w:rFonts w:hint="eastAsia" w:ascii="宋体" w:hAnsi="宋体" w:eastAsia="宋体" w:cs="宋体"/>
          <w:b/>
          <w:bCs/>
          <w:color w:val="auto"/>
          <w:sz w:val="30"/>
          <w:szCs w:val="30"/>
          <w:lang w:val="en-US" w:eastAsia="zh-CN"/>
        </w:rPr>
        <w:t>C</w:t>
      </w:r>
      <w:r>
        <w:rPr>
          <w:rFonts w:hint="eastAsia" w:ascii="宋体" w:hAnsi="宋体" w:eastAsia="宋体" w:cs="宋体"/>
          <w:b/>
          <w:bCs/>
          <w:color w:val="auto"/>
          <w:sz w:val="30"/>
          <w:szCs w:val="30"/>
        </w:rPr>
        <w:t xml:space="preserve"> 项目</w:t>
      </w:r>
      <w:r>
        <w:rPr>
          <w:rFonts w:hint="eastAsia" w:ascii="宋体" w:hAnsi="宋体" w:eastAsia="宋体" w:cs="宋体"/>
          <w:b/>
          <w:bCs/>
          <w:color w:val="auto"/>
          <w:sz w:val="30"/>
          <w:szCs w:val="30"/>
          <w:lang w:val="en-US" w:eastAsia="zh-CN"/>
        </w:rPr>
        <w:t>碳</w:t>
      </w:r>
      <w:r>
        <w:rPr>
          <w:rFonts w:hint="eastAsia" w:ascii="宋体" w:hAnsi="宋体" w:eastAsia="宋体" w:cs="宋体"/>
          <w:b/>
          <w:bCs/>
          <w:color w:val="auto"/>
          <w:sz w:val="30"/>
          <w:szCs w:val="30"/>
        </w:rPr>
        <w:t>排放报告</w:t>
      </w:r>
      <w:bookmarkEnd w:id="630"/>
      <w:bookmarkEnd w:id="631"/>
      <w:bookmarkEnd w:id="632"/>
      <w:bookmarkEnd w:id="633"/>
      <w:bookmarkEnd w:id="634"/>
      <w:bookmarkEnd w:id="635"/>
      <w:bookmarkEnd w:id="636"/>
    </w:p>
    <w:p w14:paraId="128C4491">
      <w:pPr>
        <w:spacing w:after="0" w:afterLines="0" w:line="360" w:lineRule="auto"/>
        <w:jc w:val="left"/>
        <w:outlineLvl w:val="9"/>
        <w:rPr>
          <w:rFonts w:hint="default" w:ascii="宋体" w:hAnsi="宋体" w:eastAsia="宋体" w:cs="宋体"/>
          <w:color w:val="auto"/>
          <w:sz w:val="24"/>
          <w:lang w:val="en-US" w:eastAsia="zh-CN"/>
        </w:rPr>
      </w:pPr>
      <w:r>
        <w:rPr>
          <w:rFonts w:hint="eastAsia" w:ascii="宋体" w:hAnsi="宋体" w:eastAsia="宋体" w:cs="宋体"/>
          <w:color w:val="auto"/>
          <w:sz w:val="24"/>
          <w:lang w:eastAsia="zh-CN"/>
        </w:rPr>
        <w:t>C.</w:t>
      </w:r>
      <w:r>
        <w:rPr>
          <w:rFonts w:hint="eastAsia" w:ascii="宋体" w:hAnsi="宋体" w:eastAsia="宋体" w:cs="宋体"/>
          <w:color w:val="auto"/>
          <w:sz w:val="24"/>
        </w:rPr>
        <w:t xml:space="preserve">0.1 </w:t>
      </w:r>
      <w:r>
        <w:rPr>
          <w:rFonts w:hint="eastAsia" w:ascii="宋体" w:hAnsi="宋体" w:eastAsia="宋体" w:cs="宋体"/>
          <w:color w:val="auto"/>
          <w:sz w:val="24"/>
          <w:lang w:val="en-US" w:eastAsia="zh-CN"/>
        </w:rPr>
        <w:t>应</w:t>
      </w:r>
      <w:r>
        <w:rPr>
          <w:rFonts w:hint="eastAsia" w:ascii="宋体" w:hAnsi="宋体" w:eastAsia="宋体" w:cs="宋体"/>
          <w:color w:val="auto"/>
          <w:sz w:val="24"/>
          <w:szCs w:val="24"/>
        </w:rPr>
        <w:t>根据《IPCC国家温室气体清单指南》</w:t>
      </w:r>
      <w:r>
        <w:rPr>
          <w:rFonts w:hint="eastAsia" w:ascii="宋体" w:hAnsi="宋体" w:cs="宋体"/>
          <w:color w:val="auto"/>
          <w:sz w:val="24"/>
          <w:szCs w:val="24"/>
          <w:lang w:val="en-US" w:eastAsia="zh-CN"/>
        </w:rPr>
        <w:t>2006</w:t>
      </w:r>
      <w:r>
        <w:rPr>
          <w:rFonts w:hint="eastAsia" w:ascii="宋体" w:hAnsi="宋体" w:eastAsia="宋体" w:cs="宋体"/>
          <w:color w:val="auto"/>
          <w:sz w:val="24"/>
          <w:szCs w:val="24"/>
        </w:rPr>
        <w:t>，</w:t>
      </w:r>
      <w:r>
        <w:rPr>
          <w:rFonts w:hint="eastAsia" w:ascii="宋体" w:hAnsi="宋体" w:eastAsia="宋体" w:cs="宋体"/>
          <w:color w:val="auto"/>
          <w:sz w:val="24"/>
          <w:szCs w:val="24"/>
          <w:lang w:val="en-US" w:eastAsia="zh-CN"/>
        </w:rPr>
        <w:t>说明项目</w:t>
      </w:r>
      <w:r>
        <w:rPr>
          <w:rFonts w:hint="eastAsia" w:ascii="宋体" w:hAnsi="宋体" w:eastAsia="宋体" w:cs="宋体"/>
          <w:color w:val="auto"/>
          <w:sz w:val="24"/>
          <w:szCs w:val="24"/>
        </w:rPr>
        <w:t>需核算与评价的温室气体</w:t>
      </w:r>
      <w:r>
        <w:rPr>
          <w:rFonts w:hint="eastAsia" w:ascii="宋体" w:hAnsi="宋体" w:eastAsia="宋体" w:cs="宋体"/>
          <w:color w:val="auto"/>
          <w:sz w:val="24"/>
          <w:szCs w:val="24"/>
          <w:lang w:val="en-US" w:eastAsia="zh-CN"/>
        </w:rPr>
        <w:t>种类，提供碳排放当量计算使用温室气体</w:t>
      </w:r>
      <w:r>
        <w:rPr>
          <w:rFonts w:hint="eastAsia" w:ascii="宋体" w:hAnsi="宋体" w:eastAsia="宋体" w:cs="宋体"/>
          <w:b w:val="0"/>
          <w:color w:val="auto"/>
          <w:sz w:val="24"/>
          <w:szCs w:val="24"/>
        </w:rPr>
        <w:t>全球变暖潜值</w:t>
      </w:r>
      <w:r>
        <w:rPr>
          <w:rFonts w:hint="eastAsia" w:ascii="宋体" w:hAnsi="宋体" w:eastAsia="宋体" w:cs="宋体"/>
          <w:b w:val="0"/>
          <w:color w:val="auto"/>
          <w:sz w:val="24"/>
          <w:szCs w:val="24"/>
          <w:lang w:eastAsia="zh-CN"/>
        </w:rPr>
        <w:t>（</w:t>
      </w:r>
      <w:r>
        <w:rPr>
          <w:rFonts w:hint="eastAsia" w:ascii="宋体" w:hAnsi="宋体" w:eastAsia="宋体" w:cs="宋体"/>
          <w:b w:val="0"/>
          <w:color w:val="auto"/>
          <w:sz w:val="24"/>
          <w:szCs w:val="24"/>
          <w:lang w:val="en-US" w:eastAsia="zh-CN"/>
        </w:rPr>
        <w:t>GWP</w:t>
      </w:r>
      <w:r>
        <w:rPr>
          <w:rFonts w:hint="eastAsia" w:ascii="宋体" w:hAnsi="宋体" w:eastAsia="宋体" w:cs="宋体"/>
          <w:b w:val="0"/>
          <w:color w:val="auto"/>
          <w:sz w:val="24"/>
          <w:szCs w:val="24"/>
          <w:lang w:eastAsia="zh-CN"/>
        </w:rPr>
        <w:t>），</w:t>
      </w:r>
      <w:r>
        <w:rPr>
          <w:rFonts w:hint="eastAsia" w:ascii="Calibri" w:hAnsi="Calibri" w:eastAsia="宋体"/>
          <w:color w:val="auto"/>
          <w:sz w:val="24"/>
          <w:szCs w:val="24"/>
        </w:rPr>
        <w:t>分别列明二氧化碳排放量和其他温室气体排放</w:t>
      </w:r>
      <w:r>
        <w:rPr>
          <w:rFonts w:hint="eastAsia"/>
          <w:color w:val="auto"/>
          <w:sz w:val="24"/>
          <w:szCs w:val="24"/>
          <w:lang w:val="en-US" w:eastAsia="zh-CN"/>
        </w:rPr>
        <w:t>二氧化碳当</w:t>
      </w:r>
      <w:r>
        <w:rPr>
          <w:rFonts w:hint="eastAsia" w:ascii="Calibri" w:hAnsi="Calibri" w:eastAsia="宋体"/>
          <w:color w:val="auto"/>
          <w:sz w:val="24"/>
          <w:szCs w:val="24"/>
        </w:rPr>
        <w:t>量</w:t>
      </w:r>
      <w:r>
        <w:rPr>
          <w:rFonts w:hint="eastAsia" w:ascii="宋体" w:hAnsi="宋体" w:eastAsia="宋体" w:cs="宋体"/>
          <w:b w:val="0"/>
          <w:color w:val="auto"/>
          <w:sz w:val="24"/>
          <w:szCs w:val="24"/>
          <w:lang w:eastAsia="zh-CN"/>
        </w:rPr>
        <w:t>。</w:t>
      </w:r>
    </w:p>
    <w:p w14:paraId="514C2F35">
      <w:pPr>
        <w:spacing w:after="0" w:afterLines="0" w:line="360" w:lineRule="auto"/>
        <w:jc w:val="left"/>
        <w:outlineLvl w:val="9"/>
        <w:rPr>
          <w:rFonts w:hint="eastAsia" w:ascii="宋体" w:hAnsi="宋体" w:eastAsia="宋体" w:cs="宋体"/>
          <w:color w:val="auto"/>
          <w:sz w:val="24"/>
        </w:rPr>
      </w:pPr>
      <w:r>
        <w:rPr>
          <w:rFonts w:hint="eastAsia" w:ascii="宋体" w:hAnsi="宋体" w:eastAsia="宋体" w:cs="宋体"/>
          <w:color w:val="auto"/>
          <w:sz w:val="24"/>
          <w:lang w:eastAsia="zh-CN"/>
        </w:rPr>
        <w:t>C.</w:t>
      </w:r>
      <w:r>
        <w:rPr>
          <w:rFonts w:hint="eastAsia" w:ascii="宋体" w:hAnsi="宋体" w:eastAsia="宋体" w:cs="宋体"/>
          <w:color w:val="auto"/>
          <w:sz w:val="24"/>
        </w:rPr>
        <w:t>0.2应对项目的功能、开发与建设周期、能源计量监测条件、绿色低碳技术和措施应用情况、能源与资源消耗统计结果、碳排放核算方法与监测验证措施等基本情况进行详细说明。</w:t>
      </w:r>
    </w:p>
    <w:p w14:paraId="4E939D71">
      <w:pPr>
        <w:spacing w:after="0" w:afterLines="0" w:line="360" w:lineRule="auto"/>
        <w:jc w:val="left"/>
        <w:outlineLvl w:val="9"/>
        <w:rPr>
          <w:rFonts w:hint="eastAsia" w:ascii="宋体" w:hAnsi="宋体" w:eastAsia="宋体" w:cs="宋体"/>
          <w:color w:val="auto"/>
          <w:sz w:val="24"/>
        </w:rPr>
      </w:pPr>
      <w:r>
        <w:rPr>
          <w:rFonts w:hint="eastAsia" w:ascii="宋体" w:hAnsi="宋体" w:eastAsia="宋体" w:cs="宋体"/>
          <w:color w:val="auto"/>
          <w:sz w:val="24"/>
          <w:lang w:eastAsia="zh-CN"/>
        </w:rPr>
        <w:t>C.</w:t>
      </w:r>
      <w:r>
        <w:rPr>
          <w:rFonts w:hint="eastAsia" w:ascii="宋体" w:hAnsi="宋体" w:eastAsia="宋体" w:cs="宋体"/>
          <w:color w:val="auto"/>
          <w:sz w:val="24"/>
        </w:rPr>
        <w:t>0.3 应提供项目的碳排放数据监测管理体系，包括数据来源、碳排放因子取值、数据获取时间以及相关责任人、可再生能源利用情况、碳排放数据管理记录等。</w:t>
      </w:r>
    </w:p>
    <w:p w14:paraId="153B3C62">
      <w:pPr>
        <w:spacing w:after="0" w:afterLines="0" w:line="360" w:lineRule="auto"/>
        <w:jc w:val="left"/>
        <w:outlineLvl w:val="9"/>
        <w:rPr>
          <w:rFonts w:hint="eastAsia" w:ascii="宋体" w:hAnsi="宋体" w:eastAsia="宋体" w:cs="宋体"/>
          <w:color w:val="auto"/>
          <w:sz w:val="24"/>
        </w:rPr>
      </w:pPr>
      <w:r>
        <w:rPr>
          <w:rFonts w:hint="eastAsia" w:ascii="宋体" w:hAnsi="宋体" w:eastAsia="宋体" w:cs="宋体"/>
          <w:color w:val="auto"/>
          <w:sz w:val="24"/>
          <w:lang w:eastAsia="zh-CN"/>
        </w:rPr>
        <w:t>C.</w:t>
      </w:r>
      <w:r>
        <w:rPr>
          <w:rFonts w:hint="eastAsia" w:ascii="宋体" w:hAnsi="宋体" w:eastAsia="宋体" w:cs="宋体"/>
          <w:color w:val="auto"/>
          <w:sz w:val="24"/>
        </w:rPr>
        <w:t>0.4 应对项目碳排放情况进行评价并提供评价结果。</w:t>
      </w:r>
    </w:p>
    <w:p w14:paraId="29F8C3A5">
      <w:pPr>
        <w:spacing w:after="0" w:afterLines="0" w:line="360" w:lineRule="auto"/>
        <w:jc w:val="left"/>
        <w:outlineLvl w:val="9"/>
        <w:rPr>
          <w:rFonts w:hint="eastAsia" w:ascii="宋体" w:hAnsi="宋体" w:eastAsia="宋体" w:cs="宋体"/>
          <w:color w:val="auto"/>
          <w:sz w:val="24"/>
        </w:rPr>
      </w:pPr>
      <w:r>
        <w:rPr>
          <w:rFonts w:hint="eastAsia" w:ascii="宋体" w:hAnsi="宋体" w:eastAsia="宋体" w:cs="宋体"/>
          <w:color w:val="auto"/>
          <w:sz w:val="24"/>
          <w:lang w:eastAsia="zh-CN"/>
        </w:rPr>
        <w:t>C.</w:t>
      </w:r>
      <w:r>
        <w:rPr>
          <w:rFonts w:hint="eastAsia" w:ascii="宋体" w:hAnsi="宋体" w:eastAsia="宋体" w:cs="宋体"/>
          <w:color w:val="auto"/>
          <w:sz w:val="24"/>
        </w:rPr>
        <w:t>0.5 应对使用的绿色低碳技术产品及其效果，进行评价说明。包括主要技术性能、运行工况、减碳效果等。</w:t>
      </w:r>
    </w:p>
    <w:p w14:paraId="4A573E8E">
      <w:pPr>
        <w:spacing w:after="0" w:afterLines="0" w:line="360" w:lineRule="auto"/>
        <w:jc w:val="left"/>
        <w:outlineLvl w:val="9"/>
        <w:rPr>
          <w:rFonts w:hint="eastAsia" w:ascii="宋体" w:hAnsi="宋体" w:eastAsia="宋体" w:cs="宋体"/>
          <w:color w:val="auto"/>
          <w:sz w:val="24"/>
        </w:rPr>
      </w:pPr>
      <w:r>
        <w:rPr>
          <w:rFonts w:hint="eastAsia" w:ascii="宋体" w:hAnsi="宋体" w:eastAsia="宋体" w:cs="宋体"/>
          <w:color w:val="auto"/>
          <w:sz w:val="24"/>
          <w:lang w:eastAsia="zh-CN"/>
        </w:rPr>
        <w:t>C.</w:t>
      </w:r>
      <w:r>
        <w:rPr>
          <w:rFonts w:hint="eastAsia" w:ascii="宋体" w:hAnsi="宋体" w:eastAsia="宋体" w:cs="宋体"/>
          <w:color w:val="auto"/>
          <w:sz w:val="24"/>
        </w:rPr>
        <w:t>0.6 应明确碳排放核算范围、碳排放核算边界、碳排放核算方法、碳排放基准，确保碳排放的活动数据、排放因子、排放量等数据具有真实性、准确性和可靠性。</w:t>
      </w:r>
    </w:p>
    <w:p w14:paraId="704A677B">
      <w:pPr>
        <w:spacing w:after="0" w:afterLines="0" w:line="360" w:lineRule="auto"/>
        <w:jc w:val="left"/>
        <w:outlineLvl w:val="9"/>
        <w:rPr>
          <w:rFonts w:hint="eastAsia" w:ascii="宋体" w:hAnsi="宋体" w:eastAsia="宋体" w:cs="宋体"/>
          <w:color w:val="auto"/>
          <w:sz w:val="24"/>
        </w:rPr>
      </w:pPr>
      <w:r>
        <w:rPr>
          <w:rFonts w:hint="eastAsia" w:ascii="宋体" w:hAnsi="宋体" w:eastAsia="宋体" w:cs="宋体"/>
          <w:color w:val="auto"/>
          <w:sz w:val="24"/>
          <w:lang w:eastAsia="zh-CN"/>
        </w:rPr>
        <w:t>C.</w:t>
      </w:r>
      <w:r>
        <w:rPr>
          <w:rFonts w:hint="eastAsia" w:ascii="宋体" w:hAnsi="宋体" w:eastAsia="宋体" w:cs="宋体"/>
          <w:color w:val="auto"/>
          <w:sz w:val="24"/>
        </w:rPr>
        <w:t>0.7 应提供碳排放计算结果，包括但不限于：隐含碳排放量汇总结果、运行碳排放核算量和节能减排措施实现的碳减排量。</w:t>
      </w:r>
    </w:p>
    <w:p w14:paraId="4D609613">
      <w:pPr>
        <w:spacing w:after="0" w:afterLines="0" w:line="360" w:lineRule="auto"/>
        <w:jc w:val="left"/>
        <w:outlineLvl w:val="9"/>
        <w:rPr>
          <w:rFonts w:hint="eastAsia" w:ascii="宋体" w:hAnsi="宋体" w:eastAsia="宋体" w:cs="宋体"/>
          <w:color w:val="auto"/>
          <w:sz w:val="24"/>
        </w:rPr>
      </w:pPr>
      <w:r>
        <w:rPr>
          <w:rFonts w:hint="eastAsia" w:ascii="宋体" w:hAnsi="宋体" w:eastAsia="宋体" w:cs="宋体"/>
          <w:color w:val="auto"/>
          <w:sz w:val="24"/>
          <w:lang w:eastAsia="zh-CN"/>
        </w:rPr>
        <w:t>C.</w:t>
      </w:r>
      <w:r>
        <w:rPr>
          <w:rFonts w:hint="eastAsia" w:ascii="宋体" w:hAnsi="宋体" w:eastAsia="宋体" w:cs="宋体"/>
          <w:color w:val="auto"/>
          <w:sz w:val="24"/>
        </w:rPr>
        <w:t>0.8 应对项目采取的外部可再生能源、碳信用与绿证等碳排放抵消措施进行</w:t>
      </w:r>
      <w:r>
        <w:rPr>
          <w:rFonts w:hint="eastAsia" w:ascii="宋体" w:hAnsi="宋体" w:eastAsia="宋体" w:cs="宋体"/>
          <w:color w:val="auto"/>
          <w:sz w:val="24"/>
          <w:lang w:val="en-US" w:eastAsia="zh-CN"/>
        </w:rPr>
        <w:t>说明</w:t>
      </w:r>
      <w:r>
        <w:rPr>
          <w:rFonts w:hint="eastAsia" w:ascii="宋体" w:hAnsi="宋体" w:eastAsia="宋体" w:cs="宋体"/>
          <w:color w:val="auto"/>
          <w:sz w:val="24"/>
        </w:rPr>
        <w:t>。</w:t>
      </w:r>
    </w:p>
    <w:p w14:paraId="2AC17302">
      <w:pPr>
        <w:spacing w:after="0" w:afterLines="0" w:line="360" w:lineRule="auto"/>
        <w:outlineLvl w:val="9"/>
        <w:rPr>
          <w:rFonts w:hint="eastAsia" w:ascii="宋体" w:hAnsi="宋体" w:eastAsia="宋体" w:cs="宋体"/>
          <w:color w:val="auto"/>
          <w:sz w:val="24"/>
        </w:rPr>
        <w:sectPr>
          <w:pgSz w:w="11906" w:h="16838"/>
          <w:pgMar w:top="1440" w:right="1800" w:bottom="1440" w:left="1800" w:header="851" w:footer="992" w:gutter="0"/>
          <w:pgNumType w:fmt="decimal"/>
          <w:cols w:space="720" w:num="1"/>
          <w:docGrid w:type="lines" w:linePitch="312" w:charSpace="0"/>
        </w:sectPr>
      </w:pPr>
      <w:r>
        <w:rPr>
          <w:rFonts w:hint="eastAsia" w:ascii="宋体" w:hAnsi="宋体" w:eastAsia="宋体" w:cs="宋体"/>
          <w:color w:val="auto"/>
          <w:sz w:val="24"/>
          <w:lang w:eastAsia="zh-CN"/>
        </w:rPr>
        <w:t>C.</w:t>
      </w:r>
      <w:r>
        <w:rPr>
          <w:rFonts w:hint="eastAsia" w:ascii="宋体" w:hAnsi="宋体" w:eastAsia="宋体" w:cs="宋体"/>
          <w:color w:val="auto"/>
          <w:sz w:val="24"/>
        </w:rPr>
        <w:t>0.</w:t>
      </w:r>
      <w:r>
        <w:rPr>
          <w:rFonts w:hint="eastAsia" w:ascii="宋体" w:hAnsi="宋体" w:eastAsia="宋体" w:cs="宋体"/>
          <w:color w:val="auto"/>
          <w:sz w:val="24"/>
          <w:lang w:val="en-US" w:eastAsia="zh-CN"/>
        </w:rPr>
        <w:t>9</w:t>
      </w:r>
      <w:r>
        <w:rPr>
          <w:rFonts w:hint="eastAsia" w:ascii="宋体" w:hAnsi="宋体" w:eastAsia="宋体" w:cs="宋体"/>
          <w:color w:val="auto"/>
          <w:sz w:val="24"/>
        </w:rPr>
        <w:t xml:space="preserve"> 应对项目的综合碳排放量进行</w:t>
      </w:r>
      <w:r>
        <w:rPr>
          <w:rFonts w:hint="eastAsia" w:ascii="宋体" w:hAnsi="宋体" w:eastAsia="宋体" w:cs="宋体"/>
          <w:color w:val="auto"/>
          <w:sz w:val="24"/>
          <w:lang w:val="en-US" w:eastAsia="zh-CN"/>
        </w:rPr>
        <w:t>分类</w:t>
      </w:r>
      <w:r>
        <w:rPr>
          <w:rFonts w:hint="eastAsia" w:ascii="宋体" w:hAnsi="宋体" w:eastAsia="宋体" w:cs="宋体"/>
          <w:color w:val="auto"/>
          <w:sz w:val="24"/>
        </w:rPr>
        <w:t>披露，包括可再生资源利用碳排放、隐含碳排放、运行碳排放、碳排放抵消等。</w:t>
      </w:r>
    </w:p>
    <w:p w14:paraId="3041B86F">
      <w:pPr>
        <w:spacing w:line="360" w:lineRule="auto"/>
        <w:jc w:val="center"/>
        <w:outlineLvl w:val="0"/>
        <w:rPr>
          <w:rFonts w:ascii="宋体" w:hAnsi="宋体" w:eastAsia="宋体" w:cs="宋体"/>
          <w:b/>
          <w:bCs/>
          <w:color w:val="auto"/>
          <w:sz w:val="30"/>
          <w:szCs w:val="30"/>
        </w:rPr>
      </w:pPr>
      <w:bookmarkStart w:id="637" w:name="_Toc18804"/>
      <w:bookmarkStart w:id="638" w:name="_Toc11724"/>
      <w:bookmarkStart w:id="639" w:name="_Toc371"/>
      <w:bookmarkStart w:id="640" w:name="_Toc26211"/>
      <w:bookmarkStart w:id="641" w:name="_Toc29676"/>
      <w:bookmarkStart w:id="642" w:name="_Toc28111"/>
      <w:bookmarkStart w:id="643" w:name="_Toc2233"/>
      <w:r>
        <w:rPr>
          <w:rFonts w:hint="eastAsia" w:ascii="宋体" w:hAnsi="宋体" w:eastAsia="宋体" w:cs="宋体"/>
          <w:b/>
          <w:bCs/>
          <w:color w:val="auto"/>
          <w:sz w:val="30"/>
          <w:szCs w:val="30"/>
        </w:rPr>
        <w:t>附录</w:t>
      </w:r>
      <w:r>
        <w:rPr>
          <w:rFonts w:hint="eastAsia" w:ascii="宋体" w:hAnsi="宋体" w:eastAsia="宋体" w:cs="宋体"/>
          <w:b/>
          <w:bCs/>
          <w:color w:val="auto"/>
          <w:sz w:val="30"/>
          <w:szCs w:val="30"/>
          <w:lang w:val="en-US" w:eastAsia="zh-CN"/>
        </w:rPr>
        <w:t>D</w:t>
      </w:r>
      <w:r>
        <w:rPr>
          <w:rFonts w:hint="eastAsia" w:ascii="宋体" w:hAnsi="宋体" w:eastAsia="宋体" w:cs="宋体"/>
          <w:b/>
          <w:bCs/>
          <w:color w:val="auto"/>
          <w:sz w:val="30"/>
          <w:szCs w:val="30"/>
        </w:rPr>
        <w:t xml:space="preserve"> 项目ESG报告</w:t>
      </w:r>
      <w:bookmarkEnd w:id="637"/>
      <w:bookmarkEnd w:id="638"/>
      <w:bookmarkEnd w:id="639"/>
      <w:bookmarkEnd w:id="640"/>
      <w:bookmarkEnd w:id="641"/>
      <w:bookmarkEnd w:id="642"/>
      <w:bookmarkEnd w:id="643"/>
    </w:p>
    <w:p w14:paraId="0258E49E">
      <w:pPr>
        <w:spacing w:after="0" w:afterLines="0" w:line="360" w:lineRule="auto"/>
        <w:jc w:val="left"/>
        <w:outlineLvl w:val="9"/>
        <w:rPr>
          <w:rFonts w:hint="eastAsia" w:ascii="宋体" w:hAnsi="宋体" w:eastAsia="宋体" w:cs="宋体"/>
          <w:color w:val="auto"/>
          <w:sz w:val="24"/>
        </w:rPr>
      </w:pPr>
      <w:r>
        <w:rPr>
          <w:rFonts w:hint="eastAsia" w:ascii="宋体" w:hAnsi="宋体" w:eastAsia="宋体" w:cs="宋体"/>
          <w:color w:val="auto"/>
          <w:sz w:val="24"/>
          <w:lang w:eastAsia="zh-CN"/>
        </w:rPr>
        <w:t>D.</w:t>
      </w:r>
      <w:r>
        <w:rPr>
          <w:rFonts w:hint="eastAsia" w:ascii="宋体" w:hAnsi="宋体" w:eastAsia="宋体" w:cs="宋体"/>
          <w:color w:val="auto"/>
          <w:sz w:val="24"/>
        </w:rPr>
        <w:t>0.1 应对项目的规模、功能、ESG成效和关键指标等信息进行披露。</w:t>
      </w:r>
    </w:p>
    <w:p w14:paraId="09F6D3A9">
      <w:pPr>
        <w:spacing w:after="0" w:afterLines="0" w:line="360" w:lineRule="auto"/>
        <w:jc w:val="left"/>
        <w:outlineLvl w:val="9"/>
        <w:rPr>
          <w:rFonts w:hint="eastAsia" w:ascii="宋体" w:hAnsi="宋体" w:eastAsia="宋体" w:cs="宋体"/>
          <w:color w:val="auto"/>
          <w:sz w:val="24"/>
        </w:rPr>
      </w:pPr>
      <w:r>
        <w:rPr>
          <w:rFonts w:hint="eastAsia" w:ascii="宋体" w:hAnsi="宋体" w:eastAsia="宋体" w:cs="宋体"/>
          <w:color w:val="auto"/>
          <w:sz w:val="24"/>
          <w:lang w:eastAsia="zh-CN"/>
        </w:rPr>
        <w:t>D.</w:t>
      </w:r>
      <w:r>
        <w:rPr>
          <w:rFonts w:hint="eastAsia" w:ascii="宋体" w:hAnsi="宋体" w:eastAsia="宋体" w:cs="宋体"/>
          <w:color w:val="auto"/>
          <w:sz w:val="24"/>
        </w:rPr>
        <w:t>0.2 应对项目ESG战略规划及重要举措的落实等信息进行披露，体现项目为实现ESG目标及愿景做出的努力。</w:t>
      </w:r>
    </w:p>
    <w:p w14:paraId="513B1076">
      <w:pPr>
        <w:spacing w:after="0" w:afterLines="0" w:line="360" w:lineRule="auto"/>
        <w:jc w:val="left"/>
        <w:outlineLvl w:val="9"/>
        <w:rPr>
          <w:rFonts w:hint="eastAsia" w:ascii="宋体" w:hAnsi="宋体" w:eastAsia="宋体" w:cs="宋体"/>
          <w:color w:val="auto"/>
          <w:sz w:val="24"/>
        </w:rPr>
      </w:pPr>
      <w:r>
        <w:rPr>
          <w:rFonts w:hint="eastAsia" w:ascii="宋体" w:hAnsi="宋体" w:eastAsia="宋体" w:cs="宋体"/>
          <w:color w:val="auto"/>
          <w:sz w:val="24"/>
          <w:lang w:eastAsia="zh-CN"/>
        </w:rPr>
        <w:t>D.</w:t>
      </w:r>
      <w:r>
        <w:rPr>
          <w:rFonts w:hint="eastAsia" w:ascii="宋体" w:hAnsi="宋体" w:eastAsia="宋体" w:cs="宋体"/>
          <w:color w:val="auto"/>
          <w:sz w:val="24"/>
        </w:rPr>
        <w:t>0.3 应对识别利益相关方的过程、与利益相关方的沟通渠道和利益相关方情况等信息进行披露。</w:t>
      </w:r>
    </w:p>
    <w:p w14:paraId="3BF70CAB">
      <w:pPr>
        <w:spacing w:after="0" w:afterLines="0" w:line="360" w:lineRule="auto"/>
        <w:jc w:val="left"/>
        <w:outlineLvl w:val="9"/>
        <w:rPr>
          <w:rFonts w:hint="eastAsia" w:ascii="宋体" w:hAnsi="宋体" w:eastAsia="宋体" w:cs="宋体"/>
          <w:color w:val="auto"/>
          <w:sz w:val="24"/>
        </w:rPr>
      </w:pPr>
      <w:r>
        <w:rPr>
          <w:rFonts w:hint="eastAsia" w:ascii="宋体" w:hAnsi="宋体" w:eastAsia="宋体" w:cs="宋体"/>
          <w:color w:val="auto"/>
          <w:sz w:val="24"/>
          <w:lang w:eastAsia="zh-CN"/>
        </w:rPr>
        <w:t>D.</w:t>
      </w:r>
      <w:r>
        <w:rPr>
          <w:rFonts w:hint="eastAsia" w:ascii="宋体" w:hAnsi="宋体" w:eastAsia="宋体" w:cs="宋体"/>
          <w:color w:val="auto"/>
          <w:sz w:val="24"/>
        </w:rPr>
        <w:t>0.4 应对环境保护的策略进行说明。</w:t>
      </w:r>
    </w:p>
    <w:p w14:paraId="4530320B">
      <w:pPr>
        <w:spacing w:after="0" w:afterLines="0" w:line="360" w:lineRule="auto"/>
        <w:jc w:val="left"/>
        <w:outlineLvl w:val="9"/>
        <w:rPr>
          <w:rFonts w:hint="eastAsia" w:ascii="宋体" w:hAnsi="宋体" w:eastAsia="宋体" w:cs="宋体"/>
          <w:color w:val="auto"/>
          <w:sz w:val="24"/>
        </w:rPr>
      </w:pPr>
      <w:r>
        <w:rPr>
          <w:rFonts w:hint="eastAsia" w:ascii="宋体" w:hAnsi="宋体" w:eastAsia="宋体" w:cs="宋体"/>
          <w:color w:val="auto"/>
          <w:sz w:val="24"/>
          <w:lang w:eastAsia="zh-CN"/>
        </w:rPr>
        <w:t>D.</w:t>
      </w:r>
      <w:r>
        <w:rPr>
          <w:rFonts w:hint="eastAsia" w:ascii="宋体" w:hAnsi="宋体" w:eastAsia="宋体" w:cs="宋体"/>
          <w:color w:val="auto"/>
          <w:sz w:val="24"/>
        </w:rPr>
        <w:t>0.</w:t>
      </w:r>
      <w:r>
        <w:rPr>
          <w:rFonts w:hint="eastAsia" w:ascii="宋体" w:hAnsi="宋体" w:cs="宋体"/>
          <w:color w:val="auto"/>
          <w:sz w:val="24"/>
          <w:lang w:val="en-US" w:eastAsia="zh-CN"/>
        </w:rPr>
        <w:t>5</w:t>
      </w:r>
      <w:r>
        <w:rPr>
          <w:rFonts w:hint="eastAsia" w:ascii="宋体" w:hAnsi="宋体" w:eastAsia="宋体" w:cs="宋体"/>
          <w:color w:val="auto"/>
          <w:sz w:val="24"/>
        </w:rPr>
        <w:t xml:space="preserve"> 应对</w:t>
      </w:r>
      <w:r>
        <w:rPr>
          <w:rFonts w:hint="eastAsia" w:ascii="宋体" w:hAnsi="宋体" w:cs="宋体"/>
          <w:color w:val="auto"/>
          <w:sz w:val="24"/>
          <w:lang w:val="en-US" w:eastAsia="zh-CN"/>
        </w:rPr>
        <w:t>资源可持续</w:t>
      </w:r>
      <w:r>
        <w:rPr>
          <w:rFonts w:hint="eastAsia" w:ascii="宋体" w:hAnsi="宋体" w:eastAsia="宋体" w:cs="宋体"/>
          <w:color w:val="auto"/>
          <w:sz w:val="24"/>
        </w:rPr>
        <w:t>的策略</w:t>
      </w:r>
      <w:r>
        <w:rPr>
          <w:rFonts w:hint="eastAsia" w:ascii="宋体" w:hAnsi="宋体" w:cs="宋体"/>
          <w:color w:val="auto"/>
          <w:sz w:val="24"/>
          <w:lang w:val="en-US" w:eastAsia="zh-CN"/>
        </w:rPr>
        <w:t>与内容</w:t>
      </w:r>
      <w:r>
        <w:rPr>
          <w:rFonts w:hint="eastAsia" w:ascii="宋体" w:hAnsi="宋体" w:eastAsia="宋体" w:cs="宋体"/>
          <w:color w:val="auto"/>
          <w:sz w:val="24"/>
        </w:rPr>
        <w:t>进行说明。</w:t>
      </w:r>
    </w:p>
    <w:p w14:paraId="6CAA9FCB">
      <w:pPr>
        <w:spacing w:after="0" w:afterLines="0" w:line="360" w:lineRule="auto"/>
        <w:jc w:val="left"/>
        <w:outlineLvl w:val="9"/>
        <w:rPr>
          <w:rFonts w:hint="eastAsia" w:ascii="宋体" w:hAnsi="宋体" w:eastAsia="宋体" w:cs="宋体"/>
          <w:color w:val="auto"/>
          <w:sz w:val="24"/>
        </w:rPr>
      </w:pPr>
      <w:r>
        <w:rPr>
          <w:rFonts w:hint="eastAsia" w:ascii="宋体" w:hAnsi="宋体" w:eastAsia="宋体" w:cs="宋体"/>
          <w:color w:val="auto"/>
          <w:sz w:val="24"/>
          <w:lang w:eastAsia="zh-CN"/>
        </w:rPr>
        <w:t>D.</w:t>
      </w:r>
      <w:r>
        <w:rPr>
          <w:rFonts w:hint="eastAsia" w:ascii="宋体" w:hAnsi="宋体" w:eastAsia="宋体" w:cs="宋体"/>
          <w:color w:val="auto"/>
          <w:sz w:val="24"/>
        </w:rPr>
        <w:t>0.</w:t>
      </w:r>
      <w:r>
        <w:rPr>
          <w:rFonts w:hint="eastAsia" w:ascii="宋体" w:hAnsi="宋体" w:cs="宋体"/>
          <w:color w:val="auto"/>
          <w:sz w:val="24"/>
          <w:lang w:val="en-US" w:eastAsia="zh-CN"/>
        </w:rPr>
        <w:t>6</w:t>
      </w:r>
      <w:r>
        <w:rPr>
          <w:rFonts w:hint="eastAsia" w:ascii="宋体" w:hAnsi="宋体" w:eastAsia="宋体" w:cs="宋体"/>
          <w:color w:val="auto"/>
          <w:sz w:val="24"/>
        </w:rPr>
        <w:t xml:space="preserve"> 应对</w:t>
      </w:r>
      <w:r>
        <w:rPr>
          <w:rFonts w:hint="eastAsia" w:ascii="宋体" w:hAnsi="宋体" w:eastAsia="宋体" w:cs="宋体"/>
          <w:color w:val="auto"/>
          <w:sz w:val="24"/>
          <w:lang w:val="en-US" w:eastAsia="zh-CN"/>
        </w:rPr>
        <w:t>社会可持续参与策略</w:t>
      </w:r>
      <w:r>
        <w:rPr>
          <w:rFonts w:hint="eastAsia" w:ascii="宋体" w:hAnsi="宋体" w:cs="宋体"/>
          <w:color w:val="auto"/>
          <w:sz w:val="24"/>
          <w:lang w:val="en-US" w:eastAsia="zh-CN"/>
        </w:rPr>
        <w:t>及</w:t>
      </w:r>
      <w:r>
        <w:rPr>
          <w:rFonts w:hint="eastAsia" w:ascii="宋体" w:hAnsi="宋体" w:eastAsia="宋体" w:cs="宋体"/>
          <w:color w:val="auto"/>
          <w:sz w:val="24"/>
          <w:lang w:val="en-US" w:eastAsia="zh-CN"/>
        </w:rPr>
        <w:t>内容</w:t>
      </w:r>
      <w:r>
        <w:rPr>
          <w:rFonts w:hint="eastAsia" w:ascii="宋体" w:hAnsi="宋体" w:eastAsia="宋体" w:cs="宋体"/>
          <w:color w:val="auto"/>
          <w:sz w:val="24"/>
        </w:rPr>
        <w:t>进行说明。</w:t>
      </w:r>
    </w:p>
    <w:p w14:paraId="5C1E1CC9">
      <w:pPr>
        <w:spacing w:after="0" w:afterLines="0" w:line="360" w:lineRule="auto"/>
        <w:jc w:val="left"/>
        <w:outlineLvl w:val="9"/>
        <w:rPr>
          <w:rFonts w:hint="eastAsia" w:ascii="宋体" w:hAnsi="宋体" w:eastAsia="宋体" w:cs="宋体"/>
          <w:color w:val="auto"/>
          <w:sz w:val="24"/>
        </w:rPr>
      </w:pPr>
      <w:r>
        <w:rPr>
          <w:rFonts w:hint="eastAsia" w:ascii="宋体" w:hAnsi="宋体" w:eastAsia="宋体" w:cs="宋体"/>
          <w:color w:val="auto"/>
          <w:sz w:val="24"/>
          <w:lang w:eastAsia="zh-CN"/>
        </w:rPr>
        <w:t>D.</w:t>
      </w:r>
      <w:r>
        <w:rPr>
          <w:rFonts w:hint="eastAsia" w:ascii="宋体" w:hAnsi="宋体" w:eastAsia="宋体" w:cs="宋体"/>
          <w:color w:val="auto"/>
          <w:sz w:val="24"/>
        </w:rPr>
        <w:t>0.</w:t>
      </w:r>
      <w:r>
        <w:rPr>
          <w:rFonts w:hint="eastAsia" w:ascii="宋体" w:hAnsi="宋体" w:cs="宋体"/>
          <w:color w:val="auto"/>
          <w:sz w:val="24"/>
          <w:lang w:val="en-US" w:eastAsia="zh-CN"/>
        </w:rPr>
        <w:t>7</w:t>
      </w:r>
      <w:r>
        <w:rPr>
          <w:rFonts w:hint="eastAsia" w:ascii="宋体" w:hAnsi="宋体" w:eastAsia="宋体" w:cs="宋体"/>
          <w:color w:val="auto"/>
          <w:sz w:val="24"/>
        </w:rPr>
        <w:t xml:space="preserve"> 应对</w:t>
      </w:r>
      <w:r>
        <w:rPr>
          <w:rFonts w:hint="eastAsia" w:ascii="宋体" w:hAnsi="宋体" w:eastAsia="宋体" w:cs="宋体"/>
          <w:color w:val="auto"/>
          <w:sz w:val="24"/>
          <w:lang w:val="en-US" w:eastAsia="zh-CN"/>
        </w:rPr>
        <w:t>治理可持续参与策略与内容进行说明。</w:t>
      </w:r>
    </w:p>
    <w:p w14:paraId="2C7A2E14">
      <w:pPr>
        <w:spacing w:after="0" w:afterLines="0" w:line="360" w:lineRule="auto"/>
        <w:jc w:val="left"/>
        <w:outlineLvl w:val="9"/>
        <w:rPr>
          <w:rFonts w:hint="eastAsia" w:ascii="宋体" w:hAnsi="宋体" w:eastAsia="宋体" w:cs="宋体"/>
          <w:color w:val="auto"/>
          <w:sz w:val="24"/>
        </w:rPr>
      </w:pPr>
      <w:r>
        <w:rPr>
          <w:rFonts w:hint="eastAsia" w:ascii="宋体" w:hAnsi="宋体" w:eastAsia="宋体" w:cs="宋体"/>
          <w:color w:val="auto"/>
          <w:sz w:val="24"/>
          <w:lang w:eastAsia="zh-CN"/>
        </w:rPr>
        <w:t>D.</w:t>
      </w:r>
      <w:r>
        <w:rPr>
          <w:rFonts w:hint="eastAsia" w:ascii="宋体" w:hAnsi="宋体" w:eastAsia="宋体" w:cs="宋体"/>
          <w:color w:val="auto"/>
          <w:sz w:val="24"/>
        </w:rPr>
        <w:t>0.</w:t>
      </w:r>
      <w:r>
        <w:rPr>
          <w:rFonts w:hint="eastAsia" w:ascii="宋体" w:hAnsi="宋体" w:cs="宋体"/>
          <w:color w:val="auto"/>
          <w:sz w:val="24"/>
          <w:lang w:val="en-US" w:eastAsia="zh-CN"/>
        </w:rPr>
        <w:t>8</w:t>
      </w:r>
      <w:r>
        <w:rPr>
          <w:rFonts w:hint="eastAsia" w:ascii="宋体" w:hAnsi="宋体" w:eastAsia="宋体" w:cs="宋体"/>
          <w:color w:val="auto"/>
          <w:sz w:val="24"/>
        </w:rPr>
        <w:t xml:space="preserve"> 应对项目的生态环境保护信息、</w:t>
      </w:r>
      <w:r>
        <w:rPr>
          <w:rFonts w:hint="eastAsia" w:ascii="宋体" w:hAnsi="宋体" w:eastAsia="宋体" w:cs="宋体"/>
          <w:color w:val="auto"/>
          <w:sz w:val="24"/>
          <w:lang w:val="en-US" w:eastAsia="zh-CN"/>
        </w:rPr>
        <w:t>产业与</w:t>
      </w:r>
      <w:r>
        <w:rPr>
          <w:rFonts w:hint="eastAsia" w:ascii="宋体" w:hAnsi="宋体" w:eastAsia="宋体" w:cs="宋体"/>
          <w:color w:val="auto"/>
          <w:sz w:val="24"/>
        </w:rPr>
        <w:t>经济发展信息、治理信息进行披露。</w:t>
      </w:r>
    </w:p>
    <w:p w14:paraId="6152B7D4">
      <w:pPr>
        <w:spacing w:after="0" w:afterLines="0" w:line="360" w:lineRule="auto"/>
        <w:jc w:val="left"/>
        <w:outlineLvl w:val="9"/>
        <w:rPr>
          <w:rFonts w:hint="eastAsia" w:ascii="宋体" w:hAnsi="宋体" w:eastAsia="宋体" w:cs="宋体"/>
          <w:color w:val="auto"/>
          <w:sz w:val="24"/>
        </w:rPr>
      </w:pPr>
      <w:r>
        <w:rPr>
          <w:rFonts w:hint="eastAsia" w:ascii="宋体" w:hAnsi="宋体" w:eastAsia="宋体" w:cs="宋体"/>
          <w:color w:val="auto"/>
          <w:sz w:val="24"/>
          <w:lang w:eastAsia="zh-CN"/>
        </w:rPr>
        <w:t>D.</w:t>
      </w:r>
      <w:r>
        <w:rPr>
          <w:rFonts w:hint="eastAsia" w:ascii="宋体" w:hAnsi="宋体" w:eastAsia="宋体" w:cs="宋体"/>
          <w:color w:val="auto"/>
          <w:sz w:val="24"/>
        </w:rPr>
        <w:t>0.</w:t>
      </w:r>
      <w:r>
        <w:rPr>
          <w:rFonts w:hint="eastAsia" w:ascii="宋体" w:hAnsi="宋体" w:cs="宋体"/>
          <w:color w:val="auto"/>
          <w:sz w:val="24"/>
          <w:lang w:val="en-US" w:eastAsia="zh-CN"/>
        </w:rPr>
        <w:t>9</w:t>
      </w:r>
      <w:r>
        <w:rPr>
          <w:rFonts w:hint="eastAsia" w:ascii="宋体" w:hAnsi="宋体" w:eastAsia="宋体" w:cs="宋体"/>
          <w:color w:val="auto"/>
          <w:sz w:val="24"/>
        </w:rPr>
        <w:t xml:space="preserve"> 应对项目的ESG绩效水平</w:t>
      </w:r>
      <w:r>
        <w:rPr>
          <w:rFonts w:hint="eastAsia" w:ascii="宋体" w:hAnsi="宋体" w:eastAsia="宋体" w:cs="宋体"/>
          <w:color w:val="auto"/>
          <w:sz w:val="24"/>
          <w:lang w:eastAsia="zh-CN"/>
        </w:rPr>
        <w:t>，</w:t>
      </w:r>
      <w:r>
        <w:rPr>
          <w:rFonts w:hint="eastAsia" w:ascii="宋体" w:hAnsi="宋体" w:eastAsia="宋体" w:cs="宋体"/>
          <w:color w:val="auto"/>
          <w:sz w:val="24"/>
        </w:rPr>
        <w:t>ESG对项目可持续发挥的作用、效果等进行分析。</w:t>
      </w:r>
    </w:p>
    <w:p w14:paraId="24D49838">
      <w:pPr>
        <w:spacing w:line="360" w:lineRule="auto"/>
        <w:rPr>
          <w:rFonts w:hint="eastAsia" w:ascii="宋体" w:hAnsi="宋体" w:eastAsia="宋体" w:cs="宋体"/>
          <w:color w:val="auto"/>
          <w:sz w:val="24"/>
        </w:rPr>
      </w:pPr>
    </w:p>
    <w:p w14:paraId="0C3A9FD3">
      <w:pPr>
        <w:spacing w:after="156" w:afterLines="50" w:line="360" w:lineRule="auto"/>
        <w:jc w:val="left"/>
        <w:outlineLvl w:val="9"/>
        <w:rPr>
          <w:rFonts w:ascii="宋体" w:hAnsi="宋体" w:eastAsia="宋体" w:cs="宋体"/>
          <w:color w:val="auto"/>
          <w:sz w:val="24"/>
        </w:rPr>
      </w:pPr>
    </w:p>
    <w:p w14:paraId="73C673C8">
      <w:pPr>
        <w:spacing w:after="156" w:afterLines="50" w:line="360" w:lineRule="auto"/>
        <w:jc w:val="left"/>
        <w:outlineLvl w:val="9"/>
        <w:rPr>
          <w:rFonts w:ascii="宋体" w:hAnsi="宋体" w:eastAsia="宋体" w:cs="宋体"/>
          <w:color w:val="auto"/>
          <w:sz w:val="24"/>
        </w:rPr>
      </w:pPr>
    </w:p>
    <w:p w14:paraId="10BD35F4">
      <w:pPr>
        <w:rPr>
          <w:rFonts w:ascii="宋体" w:hAnsi="宋体" w:eastAsia="宋体" w:cs="宋体"/>
          <w:color w:val="auto"/>
          <w:sz w:val="24"/>
        </w:rPr>
      </w:pPr>
      <w:r>
        <w:rPr>
          <w:rFonts w:ascii="宋体" w:hAnsi="宋体" w:eastAsia="宋体" w:cs="宋体"/>
          <w:color w:val="auto"/>
          <w:sz w:val="24"/>
        </w:rPr>
        <w:br w:type="page"/>
      </w:r>
    </w:p>
    <w:p w14:paraId="507187F8">
      <w:pPr>
        <w:spacing w:after="156" w:afterLines="50" w:line="360" w:lineRule="auto"/>
        <w:jc w:val="left"/>
        <w:outlineLvl w:val="9"/>
        <w:rPr>
          <w:rFonts w:ascii="宋体" w:hAnsi="宋体" w:eastAsia="宋体" w:cs="宋体"/>
          <w:color w:val="auto"/>
          <w:sz w:val="24"/>
        </w:rPr>
        <w:sectPr>
          <w:pgSz w:w="11906" w:h="16838"/>
          <w:pgMar w:top="1440" w:right="1800" w:bottom="1440" w:left="1800" w:header="851" w:footer="992" w:gutter="0"/>
          <w:pgNumType w:fmt="decimal"/>
          <w:cols w:space="720" w:num="1"/>
          <w:docGrid w:type="lines" w:linePitch="312" w:charSpace="0"/>
        </w:sectPr>
      </w:pPr>
    </w:p>
    <w:p w14:paraId="69CDF701">
      <w:pPr>
        <w:spacing w:line="360" w:lineRule="auto"/>
        <w:jc w:val="center"/>
        <w:outlineLvl w:val="0"/>
        <w:rPr>
          <w:rFonts w:hint="eastAsia" w:ascii="宋体" w:hAnsi="宋体" w:eastAsia="宋体" w:cs="宋体"/>
          <w:b/>
          <w:bCs/>
          <w:color w:val="auto"/>
          <w:sz w:val="30"/>
          <w:szCs w:val="30"/>
          <w:highlight w:val="none"/>
        </w:rPr>
      </w:pPr>
      <w:bookmarkStart w:id="644" w:name="_Toc26376"/>
      <w:bookmarkStart w:id="645" w:name="_Toc6535"/>
      <w:bookmarkStart w:id="646" w:name="_Toc1152"/>
      <w:bookmarkStart w:id="647" w:name="_Toc12094"/>
      <w:bookmarkStart w:id="648" w:name="_Toc28585"/>
      <w:r>
        <w:rPr>
          <w:rFonts w:hint="eastAsia" w:ascii="宋体" w:hAnsi="宋体" w:eastAsia="宋体" w:cs="宋体"/>
          <w:b/>
          <w:bCs/>
          <w:color w:val="auto"/>
          <w:sz w:val="30"/>
          <w:szCs w:val="30"/>
          <w:highlight w:val="none"/>
        </w:rPr>
        <w:t>附录</w:t>
      </w:r>
      <w:r>
        <w:rPr>
          <w:rFonts w:hint="eastAsia" w:ascii="宋体" w:hAnsi="宋体" w:eastAsia="宋体" w:cs="宋体"/>
          <w:b/>
          <w:bCs/>
          <w:color w:val="auto"/>
          <w:sz w:val="30"/>
          <w:szCs w:val="30"/>
          <w:highlight w:val="none"/>
          <w:lang w:val="en-US" w:eastAsia="zh-CN"/>
        </w:rPr>
        <w:t>E</w:t>
      </w:r>
      <w:r>
        <w:rPr>
          <w:rFonts w:hint="eastAsia" w:ascii="宋体" w:hAnsi="宋体" w:eastAsia="宋体" w:cs="宋体"/>
          <w:b/>
          <w:bCs/>
          <w:color w:val="auto"/>
          <w:sz w:val="30"/>
          <w:szCs w:val="30"/>
          <w:highlight w:val="none"/>
        </w:rPr>
        <w:t xml:space="preserve"> 评价</w:t>
      </w:r>
      <w:r>
        <w:rPr>
          <w:rFonts w:hint="eastAsia" w:ascii="宋体" w:hAnsi="宋体" w:eastAsia="宋体" w:cs="宋体"/>
          <w:b/>
          <w:bCs/>
          <w:color w:val="auto"/>
          <w:sz w:val="30"/>
          <w:szCs w:val="30"/>
          <w:highlight w:val="none"/>
          <w:lang w:val="en-US" w:eastAsia="zh-CN"/>
        </w:rPr>
        <w:t>说明</w:t>
      </w:r>
      <w:bookmarkEnd w:id="644"/>
      <w:bookmarkEnd w:id="645"/>
      <w:bookmarkEnd w:id="646"/>
      <w:bookmarkEnd w:id="647"/>
      <w:bookmarkEnd w:id="648"/>
    </w:p>
    <w:p w14:paraId="074DD2A4">
      <w:pPr>
        <w:jc w:val="left"/>
        <w:rPr>
          <w:rFonts w:hint="eastAsia" w:ascii="宋体" w:hAnsi="宋体" w:eastAsia="宋体" w:cs="宋体"/>
          <w:color w:val="auto"/>
          <w:sz w:val="24"/>
          <w:szCs w:val="24"/>
          <w:lang w:val="en-US" w:eastAsia="zh-CN"/>
        </w:rPr>
      </w:pPr>
    </w:p>
    <w:p w14:paraId="2188944C">
      <w:pPr>
        <w:spacing w:line="360" w:lineRule="auto"/>
        <w:ind w:firstLine="0" w:firstLineChars="0"/>
        <w:jc w:val="left"/>
        <w:rPr>
          <w:rFonts w:hint="default" w:ascii="宋体" w:hAnsi="宋体" w:eastAsia="宋体" w:cs="宋体"/>
          <w:color w:val="auto"/>
          <w:sz w:val="24"/>
          <w:szCs w:val="24"/>
          <w:lang w:val="en-US" w:eastAsia="zh-CN"/>
        </w:rPr>
      </w:pPr>
      <w:r>
        <w:rPr>
          <w:rFonts w:hint="eastAsia" w:ascii="宋体" w:hAnsi="宋体" w:cs="宋体"/>
          <w:color w:val="auto"/>
          <w:sz w:val="24"/>
          <w:szCs w:val="24"/>
          <w:lang w:val="en-US" w:eastAsia="zh-CN"/>
        </w:rPr>
        <w:t>E.0.1</w:t>
      </w:r>
      <w:r>
        <w:rPr>
          <w:rFonts w:hint="eastAsia" w:ascii="宋体" w:hAnsi="宋体" w:eastAsia="宋体" w:cs="宋体"/>
          <w:color w:val="auto"/>
          <w:sz w:val="24"/>
          <w:szCs w:val="24"/>
          <w:lang w:val="en-US" w:eastAsia="zh-CN"/>
        </w:rPr>
        <w:t>项目参与评价</w:t>
      </w:r>
      <w:r>
        <w:rPr>
          <w:rFonts w:hint="eastAsia" w:ascii="宋体" w:hAnsi="宋体" w:cs="宋体"/>
          <w:color w:val="auto"/>
          <w:sz w:val="24"/>
          <w:szCs w:val="24"/>
          <w:lang w:val="en-US" w:eastAsia="zh-CN"/>
        </w:rPr>
        <w:t>应</w:t>
      </w:r>
      <w:r>
        <w:rPr>
          <w:rFonts w:hint="eastAsia" w:ascii="宋体" w:hAnsi="宋体" w:eastAsia="宋体" w:cs="宋体"/>
          <w:color w:val="auto"/>
          <w:sz w:val="24"/>
          <w:szCs w:val="24"/>
          <w:lang w:val="en-US" w:eastAsia="zh-CN"/>
        </w:rPr>
        <w:t>提交项目概况说明和项目评价文件</w:t>
      </w:r>
      <w:r>
        <w:rPr>
          <w:rFonts w:hint="eastAsia" w:ascii="宋体" w:hAnsi="宋体" w:cs="宋体"/>
          <w:color w:val="auto"/>
          <w:sz w:val="24"/>
          <w:szCs w:val="24"/>
          <w:lang w:val="en-US" w:eastAsia="zh-CN"/>
        </w:rPr>
        <w:t>。</w:t>
      </w:r>
    </w:p>
    <w:p w14:paraId="1D80EAA3">
      <w:pPr>
        <w:spacing w:line="360" w:lineRule="auto"/>
        <w:ind w:firstLine="0" w:firstLineChars="0"/>
        <w:jc w:val="left"/>
        <w:rPr>
          <w:rFonts w:hint="eastAsia" w:ascii="宋体" w:hAnsi="宋体" w:eastAsia="宋体" w:cs="宋体"/>
          <w:color w:val="auto"/>
          <w:sz w:val="24"/>
          <w:szCs w:val="24"/>
          <w:lang w:eastAsia="zh-CN"/>
        </w:rPr>
      </w:pPr>
      <w:r>
        <w:rPr>
          <w:rFonts w:hint="eastAsia" w:ascii="宋体" w:hAnsi="宋体" w:cs="宋体"/>
          <w:color w:val="auto"/>
          <w:sz w:val="24"/>
          <w:szCs w:val="24"/>
          <w:lang w:val="en-US" w:eastAsia="zh-CN"/>
        </w:rPr>
        <w:t>E.0.2</w:t>
      </w:r>
      <w:r>
        <w:rPr>
          <w:rFonts w:hint="eastAsia" w:ascii="宋体" w:hAnsi="宋体" w:eastAsia="宋体" w:cs="宋体"/>
          <w:color w:val="auto"/>
          <w:sz w:val="24"/>
          <w:szCs w:val="24"/>
          <w:lang w:val="en-US" w:eastAsia="zh-CN"/>
        </w:rPr>
        <w:t>项目概况说明</w:t>
      </w:r>
      <w:r>
        <w:rPr>
          <w:rFonts w:hint="eastAsia" w:ascii="宋体" w:hAnsi="宋体" w:cs="宋体"/>
          <w:color w:val="auto"/>
          <w:sz w:val="24"/>
          <w:szCs w:val="24"/>
          <w:lang w:val="en-US" w:eastAsia="zh-CN"/>
        </w:rPr>
        <w:t>应包含</w:t>
      </w:r>
      <w:r>
        <w:rPr>
          <w:rFonts w:hint="eastAsia" w:ascii="宋体" w:hAnsi="宋体" w:eastAsia="宋体" w:cs="宋体"/>
          <w:color w:val="auto"/>
          <w:sz w:val="24"/>
          <w:szCs w:val="24"/>
        </w:rPr>
        <w:t>项目名称、项目所在地、申请评价单位、评价阶段、项目类型（垃圾处理、地下空间</w:t>
      </w:r>
      <w:r>
        <w:rPr>
          <w:rFonts w:hint="eastAsia" w:ascii="宋体" w:hAnsi="宋体" w:eastAsia="宋体" w:cs="宋体"/>
          <w:color w:val="auto"/>
          <w:sz w:val="24"/>
          <w:szCs w:val="24"/>
          <w:lang w:val="en-US" w:eastAsia="zh-CN"/>
        </w:rPr>
        <w:t>等</w:t>
      </w:r>
      <w:r>
        <w:rPr>
          <w:rFonts w:hint="eastAsia" w:ascii="宋体" w:hAnsi="宋体" w:eastAsia="宋体" w:cs="宋体"/>
          <w:color w:val="auto"/>
          <w:sz w:val="24"/>
          <w:szCs w:val="24"/>
        </w:rPr>
        <w:t>）</w:t>
      </w:r>
      <w:r>
        <w:rPr>
          <w:rFonts w:hint="eastAsia" w:ascii="宋体" w:hAnsi="宋体" w:eastAsia="宋体" w:cs="宋体"/>
          <w:color w:val="auto"/>
          <w:sz w:val="24"/>
          <w:szCs w:val="24"/>
          <w:lang w:eastAsia="zh-CN"/>
        </w:rPr>
        <w:t>。</w:t>
      </w:r>
    </w:p>
    <w:p w14:paraId="5FBCB685">
      <w:pPr>
        <w:spacing w:line="360" w:lineRule="auto"/>
        <w:ind w:firstLine="0" w:firstLineChars="0"/>
        <w:jc w:val="left"/>
        <w:rPr>
          <w:rFonts w:hint="default" w:ascii="宋体" w:hAnsi="宋体" w:eastAsia="宋体" w:cs="宋体"/>
          <w:color w:val="auto"/>
          <w:sz w:val="24"/>
          <w:szCs w:val="24"/>
          <w:lang w:val="en-US" w:eastAsia="zh-CN"/>
        </w:rPr>
      </w:pPr>
      <w:r>
        <w:rPr>
          <w:rFonts w:hint="eastAsia" w:ascii="宋体" w:hAnsi="宋体" w:cs="宋体"/>
          <w:color w:val="auto"/>
          <w:sz w:val="24"/>
          <w:szCs w:val="24"/>
          <w:lang w:val="en-US" w:eastAsia="zh-CN"/>
        </w:rPr>
        <w:t>E.0.3</w:t>
      </w:r>
      <w:r>
        <w:rPr>
          <w:rFonts w:hint="eastAsia" w:ascii="宋体" w:hAnsi="宋体" w:eastAsia="宋体" w:cs="宋体"/>
          <w:color w:val="auto"/>
          <w:sz w:val="24"/>
          <w:szCs w:val="24"/>
          <w:lang w:val="en-US" w:eastAsia="zh-CN"/>
        </w:rPr>
        <w:t>项目评价文件</w:t>
      </w:r>
      <w:r>
        <w:rPr>
          <w:rFonts w:hint="eastAsia" w:ascii="宋体" w:hAnsi="宋体" w:cs="宋体"/>
          <w:color w:val="auto"/>
          <w:sz w:val="24"/>
          <w:szCs w:val="24"/>
          <w:lang w:val="en-US" w:eastAsia="zh-CN"/>
        </w:rPr>
        <w:t>应包含以下内容：</w:t>
      </w:r>
    </w:p>
    <w:p w14:paraId="1D83B492">
      <w:pPr>
        <w:numPr>
          <w:ilvl w:val="-1"/>
          <w:numId w:val="0"/>
        </w:numPr>
        <w:spacing w:line="360" w:lineRule="auto"/>
        <w:ind w:firstLine="480" w:firstLineChars="200"/>
        <w:jc w:val="left"/>
        <w:rPr>
          <w:rFonts w:hint="eastAsia" w:ascii="宋体" w:hAnsi="宋体" w:eastAsia="宋体" w:cs="宋体"/>
          <w:color w:val="auto"/>
          <w:sz w:val="24"/>
          <w:szCs w:val="24"/>
        </w:rPr>
      </w:pPr>
      <w:r>
        <w:rPr>
          <w:rFonts w:hint="eastAsia" w:ascii="宋体" w:hAnsi="宋体" w:cs="宋体"/>
          <w:color w:val="auto"/>
          <w:sz w:val="24"/>
          <w:szCs w:val="24"/>
          <w:lang w:val="en-US" w:eastAsia="zh-CN"/>
        </w:rPr>
        <w:t xml:space="preserve">1 </w:t>
      </w:r>
      <w:r>
        <w:rPr>
          <w:rFonts w:hint="eastAsia" w:ascii="宋体" w:hAnsi="宋体" w:eastAsia="宋体" w:cs="宋体"/>
          <w:color w:val="auto"/>
          <w:sz w:val="24"/>
          <w:szCs w:val="24"/>
          <w:lang w:val="en-US" w:eastAsia="zh-CN"/>
        </w:rPr>
        <w:t>评价规则</w:t>
      </w:r>
      <w:r>
        <w:rPr>
          <w:rFonts w:hint="eastAsia" w:ascii="宋体" w:hAnsi="宋体" w:cs="宋体"/>
          <w:color w:val="auto"/>
          <w:sz w:val="24"/>
          <w:szCs w:val="24"/>
          <w:lang w:val="en-US" w:eastAsia="zh-CN"/>
        </w:rPr>
        <w:t>应包含</w:t>
      </w:r>
      <w:r>
        <w:rPr>
          <w:rFonts w:hint="eastAsia" w:ascii="宋体" w:hAnsi="宋体" w:eastAsia="宋体" w:cs="宋体"/>
          <w:color w:val="auto"/>
          <w:sz w:val="24"/>
          <w:szCs w:val="24"/>
        </w:rPr>
        <w:t>项目可持续性评价包括专项评价、基本规定评价、要素评价</w:t>
      </w:r>
      <w:r>
        <w:rPr>
          <w:rFonts w:hint="eastAsia" w:ascii="宋体" w:hAnsi="宋体" w:cs="宋体"/>
          <w:color w:val="auto"/>
          <w:sz w:val="24"/>
          <w:szCs w:val="24"/>
          <w:lang w:eastAsia="zh-CN"/>
        </w:rPr>
        <w:t>，</w:t>
      </w:r>
      <w:r>
        <w:rPr>
          <w:rFonts w:hint="eastAsia" w:ascii="宋体" w:hAnsi="宋体" w:eastAsia="宋体" w:cs="宋体"/>
          <w:color w:val="auto"/>
          <w:sz w:val="24"/>
          <w:szCs w:val="24"/>
          <w:lang w:val="en-US" w:eastAsia="zh-CN"/>
        </w:rPr>
        <w:t>具体评价方式</w:t>
      </w:r>
      <w:r>
        <w:rPr>
          <w:rFonts w:hint="eastAsia" w:ascii="宋体" w:hAnsi="宋体" w:cs="宋体"/>
          <w:color w:val="auto"/>
          <w:sz w:val="24"/>
          <w:szCs w:val="24"/>
          <w:lang w:val="en-US" w:eastAsia="zh-CN"/>
        </w:rPr>
        <w:t>应符合表E.0.3-1、表E.0.3-2的规定</w:t>
      </w:r>
      <w:r>
        <w:rPr>
          <w:rFonts w:hint="eastAsia" w:ascii="宋体" w:hAnsi="宋体" w:eastAsia="宋体" w:cs="宋体"/>
          <w:color w:val="auto"/>
          <w:sz w:val="24"/>
          <w:szCs w:val="24"/>
          <w:lang w:val="en-US" w:eastAsia="zh-CN"/>
        </w:rPr>
        <w:t>。</w:t>
      </w:r>
      <w:r>
        <w:rPr>
          <w:rFonts w:hint="eastAsia" w:ascii="宋体" w:hAnsi="宋体" w:cs="宋体"/>
          <w:color w:val="auto"/>
          <w:sz w:val="24"/>
          <w:szCs w:val="24"/>
          <w:lang w:val="en-US" w:eastAsia="zh-CN"/>
        </w:rPr>
        <w:t>具体要求为：</w:t>
      </w:r>
    </w:p>
    <w:p w14:paraId="7E4C666F">
      <w:pPr>
        <w:numPr>
          <w:ilvl w:val="0"/>
          <w:numId w:val="2"/>
        </w:numPr>
        <w:spacing w:line="360" w:lineRule="auto"/>
        <w:ind w:firstLine="480" w:firstLineChars="200"/>
        <w:jc w:val="left"/>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项目</w:t>
      </w:r>
      <w:r>
        <w:rPr>
          <w:rFonts w:hint="eastAsia" w:ascii="宋体" w:hAnsi="宋体" w:cs="宋体"/>
          <w:color w:val="auto"/>
          <w:sz w:val="24"/>
          <w:szCs w:val="24"/>
          <w:lang w:val="en-US" w:eastAsia="zh-CN"/>
        </w:rPr>
        <w:t>应</w:t>
      </w:r>
      <w:r>
        <w:rPr>
          <w:rFonts w:hint="eastAsia" w:ascii="宋体" w:hAnsi="宋体" w:eastAsia="宋体" w:cs="宋体"/>
          <w:color w:val="auto"/>
          <w:sz w:val="24"/>
          <w:szCs w:val="24"/>
          <w:lang w:val="en-US" w:eastAsia="zh-CN"/>
        </w:rPr>
        <w:t>满足</w:t>
      </w:r>
      <w:r>
        <w:rPr>
          <w:rFonts w:hint="eastAsia" w:ascii="宋体" w:hAnsi="宋体" w:cs="宋体"/>
          <w:color w:val="auto"/>
          <w:sz w:val="24"/>
          <w:szCs w:val="24"/>
          <w:lang w:val="en-US" w:eastAsia="zh-CN"/>
        </w:rPr>
        <w:t>“</w:t>
      </w:r>
      <w:r>
        <w:rPr>
          <w:rFonts w:hint="eastAsia" w:ascii="宋体" w:hAnsi="宋体" w:eastAsia="宋体" w:cs="宋体"/>
          <w:color w:val="auto"/>
          <w:sz w:val="24"/>
          <w:szCs w:val="24"/>
          <w:lang w:val="en-US" w:eastAsia="zh-CN"/>
        </w:rPr>
        <w:t>专项</w:t>
      </w:r>
      <w:r>
        <w:rPr>
          <w:rFonts w:hint="eastAsia" w:ascii="宋体" w:hAnsi="宋体" w:cs="宋体"/>
          <w:color w:val="auto"/>
          <w:sz w:val="24"/>
          <w:szCs w:val="24"/>
          <w:lang w:val="en-US" w:eastAsia="zh-CN"/>
        </w:rPr>
        <w:t>内容</w:t>
      </w:r>
      <w:r>
        <w:rPr>
          <w:rFonts w:hint="eastAsia" w:ascii="宋体" w:hAnsi="宋体" w:eastAsia="宋体" w:cs="宋体"/>
          <w:color w:val="auto"/>
          <w:sz w:val="24"/>
          <w:szCs w:val="24"/>
          <w:lang w:val="en-US" w:eastAsia="zh-CN"/>
        </w:rPr>
        <w:t>评价</w:t>
      </w:r>
      <w:r>
        <w:rPr>
          <w:rFonts w:hint="eastAsia" w:ascii="宋体" w:hAnsi="宋体" w:cs="宋体"/>
          <w:color w:val="auto"/>
          <w:sz w:val="24"/>
          <w:szCs w:val="24"/>
          <w:lang w:val="en-US" w:eastAsia="zh-CN"/>
        </w:rPr>
        <w:t>不低于60分”</w:t>
      </w:r>
      <w:r>
        <w:rPr>
          <w:rFonts w:hint="eastAsia" w:ascii="宋体" w:hAnsi="宋体" w:eastAsia="宋体" w:cs="宋体"/>
          <w:color w:val="auto"/>
          <w:sz w:val="24"/>
          <w:szCs w:val="24"/>
          <w:lang w:val="en-US" w:eastAsia="zh-CN"/>
        </w:rPr>
        <w:t>才可参与可持续评价</w:t>
      </w:r>
      <w:r>
        <w:rPr>
          <w:rFonts w:hint="eastAsia" w:ascii="宋体" w:hAnsi="宋体" w:cs="宋体"/>
          <w:color w:val="auto"/>
          <w:sz w:val="24"/>
          <w:szCs w:val="24"/>
          <w:lang w:val="en-US" w:eastAsia="zh-CN"/>
        </w:rPr>
        <w:t>；</w:t>
      </w:r>
    </w:p>
    <w:p w14:paraId="1E884728">
      <w:pPr>
        <w:numPr>
          <w:ilvl w:val="0"/>
          <w:numId w:val="2"/>
        </w:numPr>
        <w:spacing w:line="360" w:lineRule="auto"/>
        <w:ind w:firstLine="480" w:firstLineChars="200"/>
        <w:jc w:val="left"/>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可持续性评价</w:t>
      </w:r>
      <w:r>
        <w:rPr>
          <w:rFonts w:hint="eastAsia" w:ascii="宋体" w:hAnsi="宋体" w:eastAsia="宋体" w:cs="宋体"/>
          <w:color w:val="auto"/>
          <w:sz w:val="24"/>
          <w:szCs w:val="24"/>
        </w:rPr>
        <w:t>评价顺序</w:t>
      </w:r>
      <w:r>
        <w:rPr>
          <w:rFonts w:hint="eastAsia" w:ascii="宋体" w:hAnsi="宋体" w:cs="宋体"/>
          <w:color w:val="auto"/>
          <w:sz w:val="24"/>
          <w:szCs w:val="24"/>
          <w:lang w:val="en-US" w:eastAsia="zh-CN"/>
        </w:rPr>
        <w:t>应</w:t>
      </w:r>
      <w:r>
        <w:rPr>
          <w:rFonts w:hint="eastAsia" w:ascii="宋体" w:hAnsi="宋体" w:eastAsia="宋体" w:cs="宋体"/>
          <w:color w:val="auto"/>
          <w:sz w:val="24"/>
          <w:szCs w:val="24"/>
          <w:lang w:val="en-US" w:eastAsia="zh-CN"/>
        </w:rPr>
        <w:t>为</w:t>
      </w:r>
      <w:r>
        <w:rPr>
          <w:rFonts w:hint="eastAsia" w:ascii="宋体" w:hAnsi="宋体" w:eastAsia="宋体" w:cs="宋体"/>
          <w:color w:val="auto"/>
          <w:sz w:val="24"/>
          <w:szCs w:val="24"/>
        </w:rPr>
        <w:t>基本规定-</w:t>
      </w:r>
      <w:r>
        <w:rPr>
          <w:rFonts w:hint="eastAsia" w:ascii="宋体" w:hAnsi="宋体" w:cs="宋体"/>
          <w:color w:val="auto"/>
          <w:sz w:val="24"/>
          <w:szCs w:val="24"/>
          <w:lang w:val="en-US" w:eastAsia="zh-CN"/>
        </w:rPr>
        <w:t>项目评价；</w:t>
      </w:r>
    </w:p>
    <w:p w14:paraId="37BFF0BE">
      <w:pPr>
        <w:numPr>
          <w:ilvl w:val="0"/>
          <w:numId w:val="2"/>
        </w:numPr>
        <w:spacing w:line="360" w:lineRule="auto"/>
        <w:ind w:firstLine="480" w:firstLineChars="200"/>
        <w:jc w:val="left"/>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rPr>
        <w:t>基本规定的内容</w:t>
      </w:r>
      <w:r>
        <w:rPr>
          <w:rFonts w:hint="eastAsia" w:ascii="宋体" w:hAnsi="宋体" w:cs="宋体"/>
          <w:color w:val="auto"/>
          <w:sz w:val="24"/>
          <w:szCs w:val="24"/>
          <w:lang w:val="en-US" w:eastAsia="zh-CN"/>
        </w:rPr>
        <w:t>应</w:t>
      </w:r>
      <w:r>
        <w:rPr>
          <w:rFonts w:hint="eastAsia" w:ascii="宋体" w:hAnsi="宋体" w:eastAsia="宋体" w:cs="宋体"/>
          <w:color w:val="auto"/>
          <w:sz w:val="24"/>
          <w:szCs w:val="24"/>
          <w:lang w:val="en-US" w:eastAsia="zh-CN"/>
        </w:rPr>
        <w:t>全部满足，</w:t>
      </w:r>
      <w:r>
        <w:rPr>
          <w:rFonts w:hint="eastAsia" w:ascii="宋体" w:hAnsi="宋体" w:cs="宋体"/>
          <w:color w:val="auto"/>
          <w:sz w:val="24"/>
          <w:szCs w:val="24"/>
          <w:lang w:val="en-US" w:eastAsia="zh-CN"/>
        </w:rPr>
        <w:t>否则</w:t>
      </w:r>
      <w:r>
        <w:rPr>
          <w:rFonts w:hint="eastAsia" w:ascii="宋体" w:hAnsi="宋体" w:eastAsia="宋体" w:cs="宋体"/>
          <w:color w:val="auto"/>
          <w:sz w:val="24"/>
          <w:szCs w:val="24"/>
          <w:lang w:val="en-US" w:eastAsia="zh-CN"/>
        </w:rPr>
        <w:t>不可参与后续评价</w:t>
      </w:r>
      <w:r>
        <w:rPr>
          <w:rFonts w:hint="eastAsia" w:ascii="宋体" w:hAnsi="宋体" w:cs="宋体"/>
          <w:color w:val="auto"/>
          <w:sz w:val="24"/>
          <w:szCs w:val="24"/>
          <w:lang w:val="en-US" w:eastAsia="zh-CN"/>
        </w:rPr>
        <w:t>；</w:t>
      </w:r>
    </w:p>
    <w:p w14:paraId="3F1C3218">
      <w:pPr>
        <w:numPr>
          <w:ilvl w:val="0"/>
          <w:numId w:val="2"/>
        </w:numPr>
        <w:spacing w:line="360" w:lineRule="auto"/>
        <w:ind w:firstLine="480" w:firstLineChars="200"/>
        <w:jc w:val="left"/>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rPr>
        <w:t>项目评价</w:t>
      </w:r>
      <w:r>
        <w:rPr>
          <w:rFonts w:hint="eastAsia" w:ascii="宋体" w:hAnsi="宋体" w:eastAsia="宋体" w:cs="宋体"/>
          <w:color w:val="auto"/>
          <w:sz w:val="24"/>
          <w:szCs w:val="24"/>
          <w:lang w:val="en-US" w:eastAsia="zh-CN"/>
        </w:rPr>
        <w:t>首先评价各要素控制项</w:t>
      </w:r>
      <w:r>
        <w:rPr>
          <w:rFonts w:hint="eastAsia" w:ascii="宋体" w:hAnsi="宋体" w:eastAsia="宋体" w:cs="宋体"/>
          <w:color w:val="auto"/>
          <w:sz w:val="24"/>
          <w:szCs w:val="24"/>
        </w:rPr>
        <w:t>，控制项内容</w:t>
      </w:r>
      <w:r>
        <w:rPr>
          <w:rFonts w:hint="eastAsia" w:ascii="宋体" w:hAnsi="宋体" w:cs="宋体"/>
          <w:color w:val="auto"/>
          <w:sz w:val="24"/>
          <w:szCs w:val="24"/>
          <w:lang w:val="en-US" w:eastAsia="zh-CN"/>
        </w:rPr>
        <w:t>应</w:t>
      </w:r>
      <w:r>
        <w:rPr>
          <w:rFonts w:hint="eastAsia" w:ascii="宋体" w:hAnsi="宋体" w:eastAsia="宋体" w:cs="宋体"/>
          <w:color w:val="auto"/>
          <w:sz w:val="24"/>
          <w:szCs w:val="24"/>
          <w:lang w:val="en-US" w:eastAsia="zh-CN"/>
        </w:rPr>
        <w:t>全部满足，</w:t>
      </w:r>
      <w:r>
        <w:rPr>
          <w:rFonts w:hint="eastAsia" w:ascii="宋体" w:hAnsi="宋体" w:cs="宋体"/>
          <w:color w:val="auto"/>
          <w:sz w:val="24"/>
          <w:szCs w:val="24"/>
          <w:lang w:val="en-US" w:eastAsia="zh-CN"/>
        </w:rPr>
        <w:t>否则</w:t>
      </w:r>
      <w:r>
        <w:rPr>
          <w:rFonts w:hint="eastAsia" w:ascii="宋体" w:hAnsi="宋体" w:eastAsia="宋体" w:cs="宋体"/>
          <w:color w:val="auto"/>
          <w:sz w:val="24"/>
          <w:szCs w:val="24"/>
          <w:lang w:val="en-US" w:eastAsia="zh-CN"/>
        </w:rPr>
        <w:t>不可参与后续评价</w:t>
      </w:r>
      <w:r>
        <w:rPr>
          <w:rFonts w:hint="eastAsia" w:ascii="宋体" w:hAnsi="宋体" w:eastAsia="宋体" w:cs="宋体"/>
          <w:color w:val="auto"/>
          <w:sz w:val="24"/>
          <w:szCs w:val="24"/>
        </w:rPr>
        <w:t>。</w:t>
      </w:r>
    </w:p>
    <w:p w14:paraId="41514AC7">
      <w:pPr>
        <w:spacing w:line="360" w:lineRule="auto"/>
        <w:jc w:val="center"/>
        <w:rPr>
          <w:rFonts w:hint="eastAsia" w:ascii="宋体" w:hAnsi="宋体" w:eastAsia="宋体" w:cs="宋体"/>
          <w:color w:val="auto"/>
          <w:sz w:val="24"/>
          <w:szCs w:val="24"/>
        </w:rPr>
      </w:pPr>
      <w:r>
        <w:rPr>
          <w:rFonts w:hint="eastAsia" w:ascii="宋体" w:hAnsi="宋体" w:cs="宋体"/>
          <w:color w:val="auto"/>
          <w:sz w:val="24"/>
          <w:szCs w:val="24"/>
          <w:lang w:val="en-US" w:eastAsia="zh-CN"/>
        </w:rPr>
        <w:t>表E.0.3-1 基本规定/要素</w:t>
      </w:r>
      <w:r>
        <w:rPr>
          <w:rFonts w:hint="eastAsia" w:ascii="宋体" w:hAnsi="宋体" w:eastAsia="宋体" w:cs="宋体"/>
          <w:color w:val="auto"/>
          <w:sz w:val="24"/>
          <w:szCs w:val="24"/>
        </w:rPr>
        <w:t>控制项评分要求</w:t>
      </w:r>
    </w:p>
    <w:tbl>
      <w:tblPr>
        <w:tblStyle w:val="15"/>
        <w:tblW w:w="864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48"/>
        <w:gridCol w:w="1843"/>
        <w:gridCol w:w="2551"/>
      </w:tblGrid>
      <w:tr w14:paraId="0EE4C6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48" w:type="dxa"/>
            <w:vAlign w:val="top"/>
          </w:tcPr>
          <w:p w14:paraId="79B246A0">
            <w:pPr>
              <w:jc w:val="left"/>
              <w:rPr>
                <w:rFonts w:hint="eastAsia" w:ascii="宋体" w:hAnsi="宋体" w:eastAsia="宋体" w:cs="宋体"/>
                <w:b/>
                <w:bCs/>
                <w:color w:val="auto"/>
                <w:sz w:val="24"/>
                <w:szCs w:val="24"/>
              </w:rPr>
            </w:pPr>
            <w:r>
              <w:rPr>
                <w:rFonts w:hint="eastAsia" w:ascii="宋体" w:hAnsi="宋体" w:eastAsia="宋体" w:cs="宋体"/>
                <w:b/>
                <w:bCs/>
                <w:color w:val="auto"/>
                <w:sz w:val="24"/>
                <w:szCs w:val="24"/>
              </w:rPr>
              <w:t>评分要求</w:t>
            </w:r>
          </w:p>
        </w:tc>
        <w:tc>
          <w:tcPr>
            <w:tcW w:w="1843" w:type="dxa"/>
            <w:vAlign w:val="top"/>
          </w:tcPr>
          <w:p w14:paraId="14AEEE62">
            <w:pPr>
              <w:jc w:val="left"/>
              <w:rPr>
                <w:rFonts w:hint="eastAsia" w:ascii="宋体" w:hAnsi="宋体" w:eastAsia="宋体" w:cs="宋体"/>
                <w:b/>
                <w:bCs/>
                <w:color w:val="auto"/>
                <w:sz w:val="24"/>
                <w:szCs w:val="24"/>
              </w:rPr>
            </w:pPr>
            <w:r>
              <w:rPr>
                <w:rFonts w:hint="eastAsia" w:ascii="宋体" w:hAnsi="宋体" w:eastAsia="宋体" w:cs="宋体"/>
                <w:b/>
                <w:bCs/>
                <w:color w:val="auto"/>
                <w:sz w:val="24"/>
                <w:szCs w:val="24"/>
              </w:rPr>
              <w:t>结论</w:t>
            </w:r>
          </w:p>
        </w:tc>
        <w:tc>
          <w:tcPr>
            <w:tcW w:w="2551" w:type="dxa"/>
            <w:vAlign w:val="top"/>
          </w:tcPr>
          <w:p w14:paraId="2953AF84">
            <w:pPr>
              <w:jc w:val="left"/>
              <w:rPr>
                <w:rFonts w:hint="eastAsia" w:ascii="宋体" w:hAnsi="宋体" w:eastAsia="宋体" w:cs="宋体"/>
                <w:b/>
                <w:bCs/>
                <w:color w:val="auto"/>
                <w:sz w:val="24"/>
                <w:szCs w:val="24"/>
              </w:rPr>
            </w:pPr>
            <w:r>
              <w:rPr>
                <w:rFonts w:hint="eastAsia" w:ascii="宋体" w:hAnsi="宋体" w:eastAsia="宋体" w:cs="宋体"/>
                <w:b/>
                <w:bCs/>
                <w:color w:val="auto"/>
                <w:sz w:val="24"/>
                <w:szCs w:val="24"/>
              </w:rPr>
              <w:t>说明</w:t>
            </w:r>
          </w:p>
        </w:tc>
      </w:tr>
      <w:tr w14:paraId="2CEC48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48" w:type="dxa"/>
            <w:vAlign w:val="top"/>
          </w:tcPr>
          <w:p w14:paraId="11D00BCC">
            <w:pPr>
              <w:jc w:val="left"/>
              <w:rPr>
                <w:rFonts w:hint="eastAsia" w:ascii="宋体" w:hAnsi="宋体" w:eastAsia="宋体" w:cs="宋体"/>
                <w:color w:val="auto"/>
                <w:sz w:val="24"/>
                <w:szCs w:val="24"/>
              </w:rPr>
            </w:pPr>
            <w:r>
              <w:rPr>
                <w:rFonts w:hint="eastAsia" w:ascii="宋体" w:hAnsi="宋体" w:eastAsia="宋体" w:cs="宋体"/>
                <w:color w:val="auto"/>
                <w:sz w:val="24"/>
                <w:szCs w:val="24"/>
              </w:rPr>
              <w:t>措施到位,全部满足考评指标要求</w:t>
            </w:r>
          </w:p>
        </w:tc>
        <w:tc>
          <w:tcPr>
            <w:tcW w:w="1843" w:type="dxa"/>
            <w:vAlign w:val="top"/>
          </w:tcPr>
          <w:p w14:paraId="03945958">
            <w:pPr>
              <w:jc w:val="left"/>
              <w:rPr>
                <w:rFonts w:hint="eastAsia" w:ascii="宋体" w:hAnsi="宋体" w:eastAsia="宋体" w:cs="宋体"/>
                <w:color w:val="auto"/>
                <w:sz w:val="24"/>
                <w:szCs w:val="24"/>
              </w:rPr>
            </w:pPr>
            <w:r>
              <w:rPr>
                <w:rFonts w:hint="eastAsia" w:ascii="宋体" w:hAnsi="宋体" w:eastAsia="宋体" w:cs="宋体"/>
                <w:color w:val="auto"/>
                <w:sz w:val="24"/>
                <w:szCs w:val="24"/>
              </w:rPr>
              <w:t>符合要求</w:t>
            </w:r>
          </w:p>
        </w:tc>
        <w:tc>
          <w:tcPr>
            <w:tcW w:w="2551" w:type="dxa"/>
            <w:vAlign w:val="top"/>
          </w:tcPr>
          <w:p w14:paraId="40DCA948">
            <w:pPr>
              <w:jc w:val="left"/>
              <w:rPr>
                <w:rFonts w:hint="eastAsia" w:ascii="宋体" w:hAnsi="宋体" w:eastAsia="宋体" w:cs="宋体"/>
                <w:color w:val="auto"/>
                <w:sz w:val="24"/>
                <w:szCs w:val="24"/>
              </w:rPr>
            </w:pPr>
            <w:r>
              <w:rPr>
                <w:rFonts w:hint="eastAsia" w:ascii="宋体" w:hAnsi="宋体" w:eastAsia="宋体" w:cs="宋体"/>
                <w:color w:val="auto"/>
                <w:sz w:val="24"/>
                <w:szCs w:val="24"/>
              </w:rPr>
              <w:t>进入评分流程</w:t>
            </w:r>
          </w:p>
        </w:tc>
      </w:tr>
      <w:tr w14:paraId="34DB6B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48" w:type="dxa"/>
            <w:vAlign w:val="top"/>
          </w:tcPr>
          <w:p w14:paraId="1C598F55">
            <w:pPr>
              <w:jc w:val="left"/>
              <w:rPr>
                <w:rFonts w:hint="eastAsia" w:ascii="宋体" w:hAnsi="宋体" w:eastAsia="宋体" w:cs="宋体"/>
                <w:color w:val="auto"/>
                <w:sz w:val="24"/>
                <w:szCs w:val="24"/>
              </w:rPr>
            </w:pPr>
            <w:r>
              <w:rPr>
                <w:rFonts w:hint="eastAsia" w:ascii="宋体" w:hAnsi="宋体" w:eastAsia="宋体" w:cs="宋体"/>
                <w:color w:val="auto"/>
                <w:sz w:val="24"/>
                <w:szCs w:val="24"/>
              </w:rPr>
              <w:t>措施不到位，不满足考评指标要求</w:t>
            </w:r>
          </w:p>
        </w:tc>
        <w:tc>
          <w:tcPr>
            <w:tcW w:w="1843" w:type="dxa"/>
            <w:vAlign w:val="top"/>
          </w:tcPr>
          <w:p w14:paraId="63415CF3">
            <w:pPr>
              <w:jc w:val="left"/>
              <w:rPr>
                <w:rFonts w:hint="eastAsia" w:ascii="宋体" w:hAnsi="宋体" w:eastAsia="宋体" w:cs="宋体"/>
                <w:color w:val="auto"/>
                <w:sz w:val="24"/>
                <w:szCs w:val="24"/>
              </w:rPr>
            </w:pPr>
            <w:r>
              <w:rPr>
                <w:rFonts w:hint="eastAsia" w:ascii="宋体" w:hAnsi="宋体" w:eastAsia="宋体" w:cs="宋体"/>
                <w:color w:val="auto"/>
                <w:sz w:val="24"/>
                <w:szCs w:val="24"/>
              </w:rPr>
              <w:t>不符合要求</w:t>
            </w:r>
          </w:p>
        </w:tc>
        <w:tc>
          <w:tcPr>
            <w:tcW w:w="2551" w:type="dxa"/>
            <w:vAlign w:val="top"/>
          </w:tcPr>
          <w:p w14:paraId="6F17ED1A">
            <w:pPr>
              <w:jc w:val="left"/>
              <w:rPr>
                <w:rFonts w:hint="eastAsia" w:ascii="宋体" w:hAnsi="宋体" w:eastAsia="宋体" w:cs="宋体"/>
                <w:color w:val="auto"/>
                <w:sz w:val="24"/>
                <w:szCs w:val="24"/>
              </w:rPr>
            </w:pPr>
            <w:r>
              <w:rPr>
                <w:rFonts w:hint="eastAsia" w:ascii="宋体" w:hAnsi="宋体" w:eastAsia="宋体" w:cs="宋体"/>
                <w:color w:val="auto"/>
                <w:sz w:val="24"/>
                <w:szCs w:val="24"/>
              </w:rPr>
              <w:t>一票否决，为不合格</w:t>
            </w:r>
          </w:p>
        </w:tc>
      </w:tr>
    </w:tbl>
    <w:p w14:paraId="6FFF3714">
      <w:pPr>
        <w:spacing w:line="360" w:lineRule="auto"/>
        <w:jc w:val="center"/>
        <w:rPr>
          <w:rFonts w:hint="eastAsia" w:ascii="宋体" w:hAnsi="宋体" w:eastAsia="宋体" w:cs="宋体"/>
          <w:color w:val="auto"/>
          <w:sz w:val="24"/>
          <w:szCs w:val="24"/>
          <w:lang w:val="en-US" w:eastAsia="zh-CN"/>
        </w:rPr>
      </w:pPr>
    </w:p>
    <w:p w14:paraId="668FB1D4">
      <w:pPr>
        <w:spacing w:line="360" w:lineRule="auto"/>
        <w:jc w:val="center"/>
        <w:rPr>
          <w:rFonts w:hint="eastAsia" w:ascii="宋体" w:hAnsi="宋体" w:eastAsia="宋体" w:cs="宋体"/>
          <w:color w:val="auto"/>
          <w:sz w:val="24"/>
          <w:szCs w:val="24"/>
          <w:lang w:val="en-US" w:eastAsia="zh-CN"/>
        </w:rPr>
      </w:pPr>
      <w:r>
        <w:rPr>
          <w:rFonts w:hint="eastAsia" w:ascii="宋体" w:hAnsi="宋体" w:cs="宋体"/>
          <w:color w:val="auto"/>
          <w:sz w:val="24"/>
          <w:szCs w:val="24"/>
          <w:lang w:val="en-US" w:eastAsia="zh-CN"/>
        </w:rPr>
        <w:t>表E.0.3-2 要素</w:t>
      </w:r>
      <w:r>
        <w:rPr>
          <w:rFonts w:hint="eastAsia" w:ascii="宋体" w:hAnsi="宋体" w:eastAsia="宋体" w:cs="宋体"/>
          <w:color w:val="auto"/>
          <w:sz w:val="24"/>
          <w:szCs w:val="24"/>
        </w:rPr>
        <w:t>评分项</w:t>
      </w:r>
      <w:r>
        <w:rPr>
          <w:rFonts w:hint="eastAsia" w:ascii="宋体" w:hAnsi="宋体" w:eastAsia="宋体" w:cs="宋体"/>
          <w:color w:val="auto"/>
          <w:sz w:val="24"/>
          <w:szCs w:val="24"/>
          <w:lang w:val="en-US" w:eastAsia="zh-CN"/>
        </w:rPr>
        <w:t>评分要求</w:t>
      </w:r>
    </w:p>
    <w:tbl>
      <w:tblPr>
        <w:tblStyle w:val="15"/>
        <w:tblW w:w="8660" w:type="dxa"/>
        <w:tblInd w:w="-3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81"/>
        <w:gridCol w:w="4379"/>
      </w:tblGrid>
      <w:tr w14:paraId="3CF11A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81" w:type="dxa"/>
            <w:vAlign w:val="top"/>
          </w:tcPr>
          <w:p w14:paraId="55832589">
            <w:pPr>
              <w:jc w:val="left"/>
              <w:rPr>
                <w:rFonts w:hint="eastAsia" w:ascii="宋体" w:hAnsi="宋体" w:eastAsia="宋体" w:cs="宋体"/>
                <w:b/>
                <w:bCs/>
                <w:color w:val="auto"/>
                <w:sz w:val="24"/>
                <w:szCs w:val="24"/>
              </w:rPr>
            </w:pPr>
            <w:r>
              <w:rPr>
                <w:rFonts w:hint="eastAsia" w:ascii="宋体" w:hAnsi="宋体" w:eastAsia="宋体" w:cs="宋体"/>
                <w:b/>
                <w:bCs/>
                <w:color w:val="auto"/>
                <w:sz w:val="24"/>
                <w:szCs w:val="24"/>
              </w:rPr>
              <w:t>评分要求</w:t>
            </w:r>
          </w:p>
        </w:tc>
        <w:tc>
          <w:tcPr>
            <w:tcW w:w="4379" w:type="dxa"/>
            <w:vAlign w:val="top"/>
          </w:tcPr>
          <w:p w14:paraId="0E51609C">
            <w:pPr>
              <w:jc w:val="left"/>
              <w:rPr>
                <w:rFonts w:hint="eastAsia" w:ascii="宋体" w:hAnsi="宋体" w:eastAsia="宋体" w:cs="宋体"/>
                <w:b/>
                <w:bCs/>
                <w:color w:val="auto"/>
                <w:sz w:val="24"/>
                <w:szCs w:val="24"/>
              </w:rPr>
            </w:pPr>
            <w:r>
              <w:rPr>
                <w:rFonts w:hint="eastAsia" w:ascii="宋体" w:hAnsi="宋体" w:eastAsia="宋体" w:cs="宋体"/>
                <w:b/>
                <w:bCs/>
                <w:color w:val="auto"/>
                <w:sz w:val="24"/>
                <w:szCs w:val="24"/>
              </w:rPr>
              <w:t>子项评分</w:t>
            </w:r>
          </w:p>
        </w:tc>
      </w:tr>
      <w:tr w14:paraId="0D96B7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81" w:type="dxa"/>
            <w:vAlign w:val="top"/>
          </w:tcPr>
          <w:p w14:paraId="73115EC1">
            <w:pPr>
              <w:jc w:val="left"/>
              <w:rPr>
                <w:rFonts w:hint="eastAsia" w:ascii="宋体" w:hAnsi="宋体" w:eastAsia="宋体" w:cs="宋体"/>
                <w:color w:val="auto"/>
                <w:sz w:val="24"/>
                <w:szCs w:val="24"/>
              </w:rPr>
            </w:pPr>
            <w:r>
              <w:rPr>
                <w:rFonts w:hint="eastAsia" w:ascii="宋体" w:hAnsi="宋体" w:eastAsia="宋体" w:cs="宋体"/>
                <w:color w:val="auto"/>
                <w:sz w:val="24"/>
                <w:szCs w:val="24"/>
              </w:rPr>
              <w:t>措施到位，</w:t>
            </w:r>
            <w:r>
              <w:rPr>
                <w:rFonts w:hint="eastAsia" w:ascii="宋体" w:hAnsi="宋体" w:cs="宋体"/>
                <w:color w:val="auto"/>
                <w:sz w:val="24"/>
                <w:szCs w:val="24"/>
                <w:lang w:val="en-US" w:eastAsia="zh-CN"/>
              </w:rPr>
              <w:t>按照实施程度得分</w:t>
            </w:r>
          </w:p>
        </w:tc>
        <w:tc>
          <w:tcPr>
            <w:tcW w:w="4379" w:type="dxa"/>
            <w:vAlign w:val="top"/>
          </w:tcPr>
          <w:p w14:paraId="43E330B6">
            <w:pPr>
              <w:jc w:val="left"/>
              <w:rPr>
                <w:rFonts w:hint="eastAsia" w:ascii="宋体" w:hAnsi="宋体" w:eastAsia="宋体" w:cs="宋体"/>
                <w:color w:val="auto"/>
                <w:sz w:val="24"/>
                <w:szCs w:val="24"/>
              </w:rPr>
            </w:pPr>
            <w:r>
              <w:rPr>
                <w:rFonts w:hint="eastAsia" w:ascii="宋体" w:hAnsi="宋体" w:cs="宋体"/>
                <w:color w:val="auto"/>
                <w:sz w:val="24"/>
                <w:szCs w:val="24"/>
                <w:lang w:eastAsia="zh-CN"/>
              </w:rPr>
              <w:t>该条款满足程度得</w:t>
            </w:r>
            <w:r>
              <w:rPr>
                <w:rFonts w:hint="eastAsia" w:ascii="宋体" w:hAnsi="宋体" w:cs="宋体"/>
                <w:color w:val="auto"/>
                <w:sz w:val="24"/>
                <w:szCs w:val="24"/>
                <w:lang w:val="en-US" w:eastAsia="zh-CN"/>
              </w:rPr>
              <w:t>1分至10分</w:t>
            </w:r>
          </w:p>
        </w:tc>
      </w:tr>
      <w:tr w14:paraId="43D537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81" w:type="dxa"/>
            <w:vAlign w:val="top"/>
          </w:tcPr>
          <w:p w14:paraId="1E7ACFE0">
            <w:pPr>
              <w:jc w:val="left"/>
              <w:rPr>
                <w:rFonts w:hint="eastAsia" w:ascii="宋体" w:hAnsi="宋体" w:eastAsia="宋体" w:cs="宋体"/>
                <w:color w:val="auto"/>
                <w:sz w:val="24"/>
                <w:szCs w:val="24"/>
              </w:rPr>
            </w:pPr>
            <w:r>
              <w:rPr>
                <w:rFonts w:hint="eastAsia" w:ascii="宋体" w:hAnsi="宋体" w:eastAsia="宋体" w:cs="宋体"/>
                <w:color w:val="auto"/>
                <w:sz w:val="24"/>
                <w:szCs w:val="24"/>
              </w:rPr>
              <w:t>措施不到位，不满足考评指标要求</w:t>
            </w:r>
          </w:p>
        </w:tc>
        <w:tc>
          <w:tcPr>
            <w:tcW w:w="4379" w:type="dxa"/>
            <w:vAlign w:val="top"/>
          </w:tcPr>
          <w:p w14:paraId="106C0E00">
            <w:pPr>
              <w:jc w:val="left"/>
              <w:rPr>
                <w:rFonts w:hint="eastAsia" w:ascii="宋体" w:hAnsi="宋体" w:eastAsia="宋体" w:cs="宋体"/>
                <w:color w:val="auto"/>
                <w:sz w:val="24"/>
                <w:szCs w:val="24"/>
                <w:lang w:eastAsia="zh-CN"/>
              </w:rPr>
            </w:pPr>
            <w:r>
              <w:rPr>
                <w:rFonts w:hint="eastAsia" w:ascii="宋体" w:hAnsi="宋体" w:cs="宋体"/>
                <w:color w:val="auto"/>
                <w:sz w:val="24"/>
                <w:szCs w:val="24"/>
                <w:lang w:eastAsia="zh-CN"/>
              </w:rPr>
              <w:t>该条款</w:t>
            </w:r>
            <w:r>
              <w:rPr>
                <w:rFonts w:hint="eastAsia" w:ascii="宋体" w:hAnsi="宋体" w:eastAsia="宋体" w:cs="宋体"/>
                <w:color w:val="auto"/>
                <w:sz w:val="24"/>
                <w:szCs w:val="24"/>
              </w:rPr>
              <w:t>0</w:t>
            </w:r>
            <w:r>
              <w:rPr>
                <w:rFonts w:hint="eastAsia" w:ascii="宋体" w:hAnsi="宋体" w:cs="宋体"/>
                <w:color w:val="auto"/>
                <w:sz w:val="24"/>
                <w:szCs w:val="24"/>
                <w:lang w:eastAsia="zh-CN"/>
              </w:rPr>
              <w:t>分</w:t>
            </w:r>
          </w:p>
        </w:tc>
      </w:tr>
    </w:tbl>
    <w:p w14:paraId="373A1DC0">
      <w:pPr>
        <w:jc w:val="left"/>
        <w:rPr>
          <w:rFonts w:hint="eastAsia" w:ascii="宋体" w:hAnsi="宋体" w:eastAsia="宋体" w:cs="宋体"/>
          <w:color w:val="auto"/>
          <w:sz w:val="24"/>
          <w:szCs w:val="24"/>
        </w:rPr>
      </w:pPr>
    </w:p>
    <w:p w14:paraId="7BA88FE2">
      <w:pPr>
        <w:spacing w:line="360" w:lineRule="auto"/>
        <w:ind w:firstLine="480" w:firstLineChars="200"/>
        <w:jc w:val="left"/>
        <w:rPr>
          <w:rFonts w:hint="default" w:ascii="宋体" w:hAnsi="宋体" w:eastAsia="宋体" w:cs="宋体"/>
          <w:color w:val="auto"/>
          <w:sz w:val="24"/>
          <w:szCs w:val="24"/>
          <w:lang w:val="en-US" w:eastAsia="zh-CN"/>
        </w:rPr>
      </w:pPr>
      <w:r>
        <w:rPr>
          <w:rFonts w:hint="eastAsia" w:ascii="宋体" w:hAnsi="宋体" w:cs="宋体"/>
          <w:color w:val="auto"/>
          <w:sz w:val="24"/>
          <w:szCs w:val="24"/>
          <w:lang w:val="en-US" w:eastAsia="zh-CN"/>
        </w:rPr>
        <w:t xml:space="preserve">2 </w:t>
      </w:r>
      <w:r>
        <w:rPr>
          <w:rFonts w:hint="eastAsia" w:ascii="宋体" w:hAnsi="宋体" w:eastAsia="宋体" w:cs="宋体"/>
          <w:color w:val="auto"/>
          <w:sz w:val="24"/>
          <w:szCs w:val="24"/>
          <w:lang w:val="en-US" w:eastAsia="zh-CN"/>
        </w:rPr>
        <w:t>评价文件</w:t>
      </w:r>
      <w:r>
        <w:rPr>
          <w:rFonts w:hint="eastAsia" w:ascii="宋体" w:hAnsi="宋体" w:cs="宋体"/>
          <w:color w:val="auto"/>
          <w:sz w:val="24"/>
          <w:szCs w:val="24"/>
          <w:lang w:val="en-US" w:eastAsia="zh-CN"/>
        </w:rPr>
        <w:t>应</w:t>
      </w:r>
      <w:r>
        <w:rPr>
          <w:rFonts w:hint="eastAsia" w:ascii="宋体" w:hAnsi="宋体" w:eastAsia="宋体" w:cs="宋体"/>
          <w:color w:val="auto"/>
          <w:sz w:val="24"/>
          <w:szCs w:val="24"/>
          <w:lang w:val="en-US" w:eastAsia="zh-CN"/>
        </w:rPr>
        <w:t>参照评分规则，对每项条款实施评价。</w:t>
      </w:r>
      <w:r>
        <w:rPr>
          <w:rFonts w:hint="eastAsia" w:ascii="宋体" w:hAnsi="宋体" w:cs="宋体"/>
          <w:color w:val="auto"/>
          <w:sz w:val="24"/>
          <w:szCs w:val="24"/>
          <w:lang w:val="en-US" w:eastAsia="zh-CN"/>
        </w:rPr>
        <w:t>具体的评价方式应符合表E.0.3-3、E.0.3-4的规定。</w:t>
      </w:r>
    </w:p>
    <w:p w14:paraId="658FA252">
      <w:pPr>
        <w:spacing w:line="360" w:lineRule="auto"/>
        <w:jc w:val="center"/>
        <w:rPr>
          <w:rFonts w:hint="eastAsia" w:ascii="宋体" w:hAnsi="宋体" w:eastAsia="宋体" w:cs="宋体"/>
          <w:color w:val="auto"/>
          <w:sz w:val="24"/>
          <w:szCs w:val="24"/>
          <w:lang w:val="en-US" w:eastAsia="zh-CN"/>
        </w:rPr>
      </w:pPr>
      <w:r>
        <w:rPr>
          <w:rFonts w:hint="eastAsia" w:ascii="宋体" w:hAnsi="宋体" w:cs="宋体"/>
          <w:color w:val="auto"/>
          <w:sz w:val="24"/>
          <w:szCs w:val="24"/>
          <w:lang w:val="en-US" w:eastAsia="zh-CN"/>
        </w:rPr>
        <w:t xml:space="preserve">表E.0.3-3 </w:t>
      </w:r>
      <w:r>
        <w:rPr>
          <w:rFonts w:hint="eastAsia" w:ascii="宋体" w:hAnsi="宋体" w:eastAsia="宋体" w:cs="宋体"/>
          <w:color w:val="auto"/>
          <w:sz w:val="24"/>
          <w:szCs w:val="24"/>
        </w:rPr>
        <w:t>基本规定</w:t>
      </w:r>
      <w:r>
        <w:rPr>
          <w:rFonts w:hint="eastAsia" w:ascii="宋体" w:hAnsi="宋体" w:cs="宋体"/>
          <w:color w:val="auto"/>
          <w:sz w:val="24"/>
          <w:szCs w:val="24"/>
          <w:lang w:val="en-US" w:eastAsia="zh-CN"/>
        </w:rPr>
        <w:t>得分表</w:t>
      </w:r>
    </w:p>
    <w:tbl>
      <w:tblPr>
        <w:tblStyle w:val="15"/>
        <w:tblW w:w="863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74"/>
        <w:gridCol w:w="2074"/>
        <w:gridCol w:w="2074"/>
        <w:gridCol w:w="2415"/>
      </w:tblGrid>
      <w:tr w14:paraId="215481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4" w:type="dxa"/>
            <w:vAlign w:val="top"/>
          </w:tcPr>
          <w:p w14:paraId="49FF6829">
            <w:pPr>
              <w:jc w:val="left"/>
              <w:rPr>
                <w:rFonts w:hint="eastAsia" w:ascii="宋体" w:hAnsi="宋体" w:eastAsia="宋体" w:cs="宋体"/>
                <w:color w:val="auto"/>
                <w:sz w:val="24"/>
                <w:szCs w:val="24"/>
              </w:rPr>
            </w:pPr>
            <w:r>
              <w:rPr>
                <w:rFonts w:hint="eastAsia" w:ascii="宋体" w:hAnsi="宋体" w:eastAsia="宋体" w:cs="宋体"/>
                <w:color w:val="auto"/>
                <w:sz w:val="24"/>
                <w:szCs w:val="24"/>
              </w:rPr>
              <w:t>标准条款</w:t>
            </w:r>
          </w:p>
        </w:tc>
        <w:tc>
          <w:tcPr>
            <w:tcW w:w="2074" w:type="dxa"/>
            <w:vAlign w:val="top"/>
          </w:tcPr>
          <w:p w14:paraId="106EE3C2">
            <w:pPr>
              <w:jc w:val="left"/>
              <w:rPr>
                <w:rFonts w:hint="eastAsia" w:ascii="宋体" w:hAnsi="宋体" w:eastAsia="宋体" w:cs="宋体"/>
                <w:color w:val="auto"/>
                <w:sz w:val="24"/>
                <w:szCs w:val="24"/>
              </w:rPr>
            </w:pPr>
            <w:r>
              <w:rPr>
                <w:rFonts w:hint="eastAsia" w:ascii="宋体" w:hAnsi="宋体" w:eastAsia="宋体" w:cs="宋体"/>
                <w:color w:val="auto"/>
                <w:sz w:val="24"/>
                <w:szCs w:val="24"/>
              </w:rPr>
              <w:t>基本内容</w:t>
            </w:r>
          </w:p>
        </w:tc>
        <w:tc>
          <w:tcPr>
            <w:tcW w:w="2074" w:type="dxa"/>
            <w:vAlign w:val="top"/>
          </w:tcPr>
          <w:p w14:paraId="1756686C">
            <w:pPr>
              <w:jc w:val="left"/>
              <w:rPr>
                <w:rFonts w:hint="eastAsia" w:ascii="宋体" w:hAnsi="宋体" w:eastAsia="宋体" w:cs="宋体"/>
                <w:color w:val="auto"/>
                <w:sz w:val="24"/>
                <w:szCs w:val="24"/>
              </w:rPr>
            </w:pPr>
            <w:r>
              <w:rPr>
                <w:rFonts w:hint="eastAsia" w:ascii="宋体" w:hAnsi="宋体" w:eastAsia="宋体" w:cs="宋体"/>
                <w:color w:val="auto"/>
                <w:sz w:val="24"/>
                <w:szCs w:val="24"/>
              </w:rPr>
              <w:t>评价标准</w:t>
            </w:r>
          </w:p>
        </w:tc>
        <w:tc>
          <w:tcPr>
            <w:tcW w:w="2415" w:type="dxa"/>
            <w:vAlign w:val="top"/>
          </w:tcPr>
          <w:p w14:paraId="4DE56AD9">
            <w:pPr>
              <w:jc w:val="left"/>
              <w:rPr>
                <w:rFonts w:hint="eastAsia" w:ascii="宋体" w:hAnsi="宋体" w:eastAsia="宋体" w:cs="宋体"/>
                <w:color w:val="auto"/>
                <w:sz w:val="24"/>
                <w:szCs w:val="24"/>
              </w:rPr>
            </w:pPr>
            <w:r>
              <w:rPr>
                <w:rFonts w:hint="eastAsia" w:ascii="宋体" w:hAnsi="宋体" w:eastAsia="宋体" w:cs="宋体"/>
                <w:color w:val="auto"/>
                <w:sz w:val="24"/>
                <w:szCs w:val="24"/>
              </w:rPr>
              <w:t>结论</w:t>
            </w:r>
          </w:p>
        </w:tc>
      </w:tr>
      <w:tr w14:paraId="6BAC94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4" w:type="dxa"/>
            <w:vAlign w:val="top"/>
          </w:tcPr>
          <w:p w14:paraId="0072A43E">
            <w:pPr>
              <w:jc w:val="left"/>
              <w:rPr>
                <w:rFonts w:hint="eastAsia" w:ascii="宋体" w:hAnsi="宋体" w:eastAsia="宋体" w:cs="宋体"/>
                <w:color w:val="auto"/>
                <w:sz w:val="24"/>
                <w:szCs w:val="24"/>
              </w:rPr>
            </w:pPr>
            <w:r>
              <w:rPr>
                <w:rFonts w:hint="eastAsia" w:ascii="宋体" w:hAnsi="宋体" w:eastAsia="宋体" w:cs="宋体"/>
                <w:color w:val="auto"/>
                <w:sz w:val="24"/>
                <w:szCs w:val="24"/>
              </w:rPr>
              <w:t>3.1</w:t>
            </w:r>
          </w:p>
        </w:tc>
        <w:tc>
          <w:tcPr>
            <w:tcW w:w="2074" w:type="dxa"/>
            <w:vAlign w:val="top"/>
          </w:tcPr>
          <w:p w14:paraId="4C9752F0">
            <w:pPr>
              <w:jc w:val="left"/>
              <w:rPr>
                <w:rFonts w:hint="eastAsia" w:ascii="宋体" w:hAnsi="宋体" w:eastAsia="宋体" w:cs="宋体"/>
                <w:color w:val="auto"/>
                <w:sz w:val="24"/>
                <w:szCs w:val="24"/>
              </w:rPr>
            </w:pPr>
            <w:r>
              <w:rPr>
                <w:rFonts w:hint="eastAsia" w:ascii="宋体" w:hAnsi="宋体" w:eastAsia="宋体" w:cs="宋体"/>
                <w:color w:val="auto"/>
                <w:sz w:val="24"/>
                <w:szCs w:val="24"/>
              </w:rPr>
              <w:t>一般规定</w:t>
            </w:r>
          </w:p>
        </w:tc>
        <w:tc>
          <w:tcPr>
            <w:tcW w:w="2074" w:type="dxa"/>
            <w:vMerge w:val="restart"/>
            <w:vAlign w:val="top"/>
          </w:tcPr>
          <w:p w14:paraId="78E2F42A">
            <w:pPr>
              <w:jc w:val="left"/>
              <w:rPr>
                <w:rFonts w:hint="eastAsia" w:ascii="宋体" w:hAnsi="宋体" w:eastAsia="宋体" w:cs="宋体"/>
                <w:color w:val="auto"/>
                <w:sz w:val="24"/>
                <w:szCs w:val="24"/>
              </w:rPr>
            </w:pPr>
            <w:r>
              <w:rPr>
                <w:rFonts w:hint="eastAsia" w:ascii="宋体" w:hAnsi="宋体" w:eastAsia="宋体" w:cs="宋体"/>
                <w:color w:val="auto"/>
                <w:sz w:val="24"/>
                <w:szCs w:val="24"/>
              </w:rPr>
              <w:t>措施到位，全部满足要求，进入评分流程。否则，一票否决，为不合格</w:t>
            </w:r>
          </w:p>
        </w:tc>
        <w:tc>
          <w:tcPr>
            <w:tcW w:w="2415" w:type="dxa"/>
            <w:vAlign w:val="top"/>
          </w:tcPr>
          <w:p w14:paraId="58FA9CAB">
            <w:pPr>
              <w:jc w:val="left"/>
              <w:rPr>
                <w:rFonts w:hint="eastAsia" w:ascii="宋体" w:hAnsi="宋体" w:eastAsia="宋体" w:cs="宋体"/>
                <w:color w:val="auto"/>
                <w:sz w:val="24"/>
                <w:szCs w:val="24"/>
              </w:rPr>
            </w:pPr>
          </w:p>
        </w:tc>
      </w:tr>
      <w:tr w14:paraId="3FA12D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4" w:type="dxa"/>
            <w:vAlign w:val="top"/>
          </w:tcPr>
          <w:p w14:paraId="391B0493">
            <w:pPr>
              <w:jc w:val="left"/>
              <w:rPr>
                <w:rFonts w:hint="eastAsia" w:ascii="宋体" w:hAnsi="宋体" w:eastAsia="宋体" w:cs="宋体"/>
                <w:color w:val="auto"/>
                <w:sz w:val="24"/>
                <w:szCs w:val="24"/>
              </w:rPr>
            </w:pPr>
            <w:r>
              <w:rPr>
                <w:rFonts w:hint="eastAsia" w:ascii="宋体" w:hAnsi="宋体" w:eastAsia="宋体" w:cs="宋体"/>
                <w:color w:val="auto"/>
                <w:sz w:val="24"/>
                <w:szCs w:val="24"/>
              </w:rPr>
              <w:t>3.1.1</w:t>
            </w:r>
          </w:p>
        </w:tc>
        <w:tc>
          <w:tcPr>
            <w:tcW w:w="2074" w:type="dxa"/>
            <w:vAlign w:val="top"/>
          </w:tcPr>
          <w:p w14:paraId="40728EE9">
            <w:pPr>
              <w:jc w:val="left"/>
              <w:rPr>
                <w:rFonts w:hint="eastAsia" w:ascii="宋体" w:hAnsi="宋体" w:eastAsia="宋体" w:cs="宋体"/>
                <w:color w:val="auto"/>
                <w:sz w:val="24"/>
                <w:szCs w:val="24"/>
              </w:rPr>
            </w:pPr>
          </w:p>
        </w:tc>
        <w:tc>
          <w:tcPr>
            <w:tcW w:w="2074" w:type="dxa"/>
            <w:vMerge w:val="continue"/>
            <w:vAlign w:val="top"/>
          </w:tcPr>
          <w:p w14:paraId="3026247F">
            <w:pPr>
              <w:jc w:val="left"/>
              <w:rPr>
                <w:rFonts w:hint="eastAsia" w:ascii="宋体" w:hAnsi="宋体" w:eastAsia="宋体" w:cs="宋体"/>
                <w:color w:val="auto"/>
                <w:sz w:val="24"/>
                <w:szCs w:val="24"/>
              </w:rPr>
            </w:pPr>
          </w:p>
        </w:tc>
        <w:tc>
          <w:tcPr>
            <w:tcW w:w="2415" w:type="dxa"/>
            <w:vAlign w:val="top"/>
          </w:tcPr>
          <w:p w14:paraId="26777C89">
            <w:pPr>
              <w:jc w:val="left"/>
              <w:rPr>
                <w:rFonts w:hint="eastAsia" w:ascii="宋体" w:hAnsi="宋体" w:eastAsia="宋体" w:cs="宋体"/>
                <w:color w:val="auto"/>
                <w:sz w:val="24"/>
                <w:szCs w:val="24"/>
              </w:rPr>
            </w:pPr>
          </w:p>
        </w:tc>
      </w:tr>
      <w:tr w14:paraId="561AD6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4" w:type="dxa"/>
            <w:vAlign w:val="top"/>
          </w:tcPr>
          <w:p w14:paraId="7CCD0F50">
            <w:pPr>
              <w:jc w:val="left"/>
              <w:rPr>
                <w:rFonts w:hint="eastAsia" w:ascii="宋体" w:hAnsi="宋体" w:eastAsia="宋体" w:cs="宋体"/>
                <w:color w:val="auto"/>
                <w:sz w:val="24"/>
                <w:szCs w:val="24"/>
              </w:rPr>
            </w:pPr>
            <w:r>
              <w:rPr>
                <w:rFonts w:hint="eastAsia" w:ascii="宋体" w:hAnsi="宋体" w:eastAsia="宋体" w:cs="宋体"/>
                <w:color w:val="auto"/>
                <w:sz w:val="24"/>
                <w:szCs w:val="24"/>
              </w:rPr>
              <w:t>。。。</w:t>
            </w:r>
          </w:p>
        </w:tc>
        <w:tc>
          <w:tcPr>
            <w:tcW w:w="2074" w:type="dxa"/>
            <w:vAlign w:val="top"/>
          </w:tcPr>
          <w:p w14:paraId="21612A6A">
            <w:pPr>
              <w:jc w:val="left"/>
              <w:rPr>
                <w:rFonts w:hint="eastAsia" w:ascii="宋体" w:hAnsi="宋体" w:eastAsia="宋体" w:cs="宋体"/>
                <w:color w:val="auto"/>
                <w:sz w:val="24"/>
                <w:szCs w:val="24"/>
              </w:rPr>
            </w:pPr>
          </w:p>
        </w:tc>
        <w:tc>
          <w:tcPr>
            <w:tcW w:w="2074" w:type="dxa"/>
            <w:vMerge w:val="continue"/>
            <w:vAlign w:val="top"/>
          </w:tcPr>
          <w:p w14:paraId="10CAFC5B">
            <w:pPr>
              <w:jc w:val="left"/>
              <w:rPr>
                <w:rFonts w:hint="eastAsia" w:ascii="宋体" w:hAnsi="宋体" w:eastAsia="宋体" w:cs="宋体"/>
                <w:color w:val="auto"/>
                <w:sz w:val="24"/>
                <w:szCs w:val="24"/>
              </w:rPr>
            </w:pPr>
          </w:p>
        </w:tc>
        <w:tc>
          <w:tcPr>
            <w:tcW w:w="2415" w:type="dxa"/>
            <w:vAlign w:val="top"/>
          </w:tcPr>
          <w:p w14:paraId="5A67D679">
            <w:pPr>
              <w:jc w:val="left"/>
              <w:rPr>
                <w:rFonts w:hint="eastAsia" w:ascii="宋体" w:hAnsi="宋体" w:eastAsia="宋体" w:cs="宋体"/>
                <w:color w:val="auto"/>
                <w:sz w:val="24"/>
                <w:szCs w:val="24"/>
              </w:rPr>
            </w:pPr>
          </w:p>
        </w:tc>
      </w:tr>
      <w:tr w14:paraId="75B5C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4" w:type="dxa"/>
            <w:vAlign w:val="top"/>
          </w:tcPr>
          <w:p w14:paraId="10C80966">
            <w:pPr>
              <w:jc w:val="left"/>
              <w:rPr>
                <w:rFonts w:hint="eastAsia" w:ascii="宋体" w:hAnsi="宋体" w:eastAsia="宋体" w:cs="宋体"/>
                <w:color w:val="auto"/>
                <w:sz w:val="24"/>
                <w:szCs w:val="24"/>
              </w:rPr>
            </w:pPr>
            <w:r>
              <w:rPr>
                <w:rFonts w:hint="eastAsia" w:ascii="宋体" w:hAnsi="宋体" w:eastAsia="宋体" w:cs="宋体"/>
                <w:color w:val="auto"/>
                <w:sz w:val="24"/>
                <w:szCs w:val="24"/>
              </w:rPr>
              <w:t>3.2</w:t>
            </w:r>
          </w:p>
        </w:tc>
        <w:tc>
          <w:tcPr>
            <w:tcW w:w="2074" w:type="dxa"/>
            <w:vAlign w:val="top"/>
          </w:tcPr>
          <w:p w14:paraId="70A057DA">
            <w:pPr>
              <w:jc w:val="left"/>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评价与等级划分</w:t>
            </w:r>
          </w:p>
        </w:tc>
        <w:tc>
          <w:tcPr>
            <w:tcW w:w="2074" w:type="dxa"/>
            <w:vMerge w:val="restart"/>
            <w:vAlign w:val="top"/>
          </w:tcPr>
          <w:p w14:paraId="3B33E2C1">
            <w:pPr>
              <w:bidi w:val="0"/>
              <w:jc w:val="both"/>
              <w:rPr>
                <w:rFonts w:hint="default" w:ascii="Calibri" w:hAnsi="Calibri" w:eastAsia="宋体" w:cs="黑体"/>
                <w:color w:val="auto"/>
                <w:kern w:val="2"/>
                <w:sz w:val="21"/>
                <w:szCs w:val="24"/>
                <w:lang w:val="en-US" w:eastAsia="zh-CN" w:bidi="ar-SA"/>
              </w:rPr>
            </w:pPr>
            <w:r>
              <w:rPr>
                <w:rFonts w:hint="eastAsia" w:ascii="宋体" w:hAnsi="宋体" w:eastAsia="宋体" w:cs="宋体"/>
                <w:color w:val="auto"/>
                <w:sz w:val="24"/>
                <w:szCs w:val="24"/>
              </w:rPr>
              <w:t>措施到位，全部满足要求，进入评分流程。否则，一票否决，为不合格</w:t>
            </w:r>
          </w:p>
        </w:tc>
        <w:tc>
          <w:tcPr>
            <w:tcW w:w="2415" w:type="dxa"/>
            <w:vAlign w:val="top"/>
          </w:tcPr>
          <w:p w14:paraId="0B09A151">
            <w:pPr>
              <w:jc w:val="left"/>
              <w:rPr>
                <w:rFonts w:hint="eastAsia" w:ascii="宋体" w:hAnsi="宋体" w:eastAsia="宋体" w:cs="宋体"/>
                <w:color w:val="auto"/>
                <w:sz w:val="24"/>
                <w:szCs w:val="24"/>
              </w:rPr>
            </w:pPr>
          </w:p>
        </w:tc>
      </w:tr>
      <w:tr w14:paraId="012F60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4" w:type="dxa"/>
            <w:vAlign w:val="top"/>
          </w:tcPr>
          <w:p w14:paraId="70F428DA">
            <w:pPr>
              <w:jc w:val="left"/>
              <w:rPr>
                <w:rFonts w:hint="default" w:ascii="宋体" w:hAnsi="宋体" w:eastAsia="宋体" w:cs="宋体"/>
                <w:color w:val="auto"/>
                <w:sz w:val="24"/>
                <w:szCs w:val="24"/>
                <w:lang w:val="en-US" w:eastAsia="zh-CN"/>
              </w:rPr>
            </w:pPr>
            <w:r>
              <w:rPr>
                <w:rFonts w:hint="eastAsia" w:ascii="宋体" w:hAnsi="宋体" w:cs="宋体"/>
                <w:color w:val="auto"/>
                <w:sz w:val="24"/>
                <w:szCs w:val="24"/>
                <w:lang w:val="en-US" w:eastAsia="zh-CN"/>
              </w:rPr>
              <w:t>3.2.1</w:t>
            </w:r>
          </w:p>
        </w:tc>
        <w:tc>
          <w:tcPr>
            <w:tcW w:w="2074" w:type="dxa"/>
            <w:vAlign w:val="top"/>
          </w:tcPr>
          <w:p w14:paraId="50EA6B8C">
            <w:pPr>
              <w:jc w:val="left"/>
              <w:rPr>
                <w:rFonts w:hint="eastAsia" w:ascii="宋体" w:hAnsi="宋体" w:eastAsia="宋体" w:cs="宋体"/>
                <w:color w:val="auto"/>
                <w:sz w:val="24"/>
                <w:szCs w:val="24"/>
              </w:rPr>
            </w:pPr>
          </w:p>
        </w:tc>
        <w:tc>
          <w:tcPr>
            <w:tcW w:w="2074" w:type="dxa"/>
            <w:vMerge w:val="continue"/>
            <w:vAlign w:val="top"/>
          </w:tcPr>
          <w:p w14:paraId="26BFA09A">
            <w:pPr>
              <w:jc w:val="left"/>
              <w:rPr>
                <w:rFonts w:hint="eastAsia" w:ascii="宋体" w:hAnsi="宋体" w:eastAsia="宋体" w:cs="宋体"/>
                <w:color w:val="auto"/>
                <w:sz w:val="24"/>
                <w:szCs w:val="24"/>
              </w:rPr>
            </w:pPr>
          </w:p>
        </w:tc>
        <w:tc>
          <w:tcPr>
            <w:tcW w:w="2415" w:type="dxa"/>
            <w:vAlign w:val="top"/>
          </w:tcPr>
          <w:p w14:paraId="761F58AF">
            <w:pPr>
              <w:jc w:val="left"/>
              <w:rPr>
                <w:rFonts w:hint="eastAsia" w:ascii="宋体" w:hAnsi="宋体" w:eastAsia="宋体" w:cs="宋体"/>
                <w:color w:val="auto"/>
                <w:sz w:val="24"/>
                <w:szCs w:val="24"/>
              </w:rPr>
            </w:pPr>
          </w:p>
        </w:tc>
      </w:tr>
      <w:tr w14:paraId="1AF7F6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4" w:type="dxa"/>
            <w:vAlign w:val="top"/>
          </w:tcPr>
          <w:p w14:paraId="594CA308">
            <w:pPr>
              <w:jc w:val="left"/>
              <w:rPr>
                <w:rFonts w:hint="eastAsia" w:ascii="宋体" w:hAnsi="宋体" w:eastAsia="宋体" w:cs="宋体"/>
                <w:color w:val="auto"/>
                <w:sz w:val="24"/>
                <w:szCs w:val="24"/>
                <w:lang w:val="en-US" w:eastAsia="zh-CN"/>
              </w:rPr>
            </w:pPr>
            <w:r>
              <w:rPr>
                <w:rFonts w:hint="eastAsia" w:ascii="宋体" w:hAnsi="宋体" w:cs="宋体"/>
                <w:color w:val="auto"/>
                <w:sz w:val="24"/>
                <w:szCs w:val="24"/>
                <w:lang w:val="en-US" w:eastAsia="zh-CN"/>
              </w:rPr>
              <w:t>。。。</w:t>
            </w:r>
          </w:p>
        </w:tc>
        <w:tc>
          <w:tcPr>
            <w:tcW w:w="2074" w:type="dxa"/>
            <w:vAlign w:val="top"/>
          </w:tcPr>
          <w:p w14:paraId="3867DF59">
            <w:pPr>
              <w:jc w:val="left"/>
              <w:rPr>
                <w:rFonts w:hint="eastAsia" w:ascii="宋体" w:hAnsi="宋体" w:eastAsia="宋体" w:cs="宋体"/>
                <w:color w:val="auto"/>
                <w:sz w:val="24"/>
                <w:szCs w:val="24"/>
              </w:rPr>
            </w:pPr>
          </w:p>
        </w:tc>
        <w:tc>
          <w:tcPr>
            <w:tcW w:w="2074" w:type="dxa"/>
            <w:vMerge w:val="continue"/>
            <w:vAlign w:val="top"/>
          </w:tcPr>
          <w:p w14:paraId="45CA5654">
            <w:pPr>
              <w:jc w:val="left"/>
              <w:rPr>
                <w:rFonts w:hint="eastAsia" w:ascii="宋体" w:hAnsi="宋体" w:eastAsia="宋体" w:cs="宋体"/>
                <w:color w:val="auto"/>
                <w:sz w:val="24"/>
                <w:szCs w:val="24"/>
              </w:rPr>
            </w:pPr>
          </w:p>
        </w:tc>
        <w:tc>
          <w:tcPr>
            <w:tcW w:w="2415" w:type="dxa"/>
            <w:vAlign w:val="top"/>
          </w:tcPr>
          <w:p w14:paraId="4FDC8F82">
            <w:pPr>
              <w:jc w:val="left"/>
              <w:rPr>
                <w:rFonts w:hint="eastAsia" w:ascii="宋体" w:hAnsi="宋体" w:eastAsia="宋体" w:cs="宋体"/>
                <w:color w:val="auto"/>
                <w:sz w:val="24"/>
                <w:szCs w:val="24"/>
              </w:rPr>
            </w:pPr>
          </w:p>
        </w:tc>
      </w:tr>
    </w:tbl>
    <w:p w14:paraId="0C6C047B">
      <w:pPr>
        <w:jc w:val="left"/>
        <w:rPr>
          <w:rFonts w:hint="eastAsia" w:ascii="宋体" w:hAnsi="宋体" w:eastAsia="宋体" w:cs="宋体"/>
          <w:color w:val="auto"/>
          <w:sz w:val="24"/>
          <w:szCs w:val="24"/>
          <w:lang w:val="en-US" w:eastAsia="zh-CN"/>
        </w:rPr>
      </w:pPr>
    </w:p>
    <w:p w14:paraId="605CED85">
      <w:pPr>
        <w:jc w:val="left"/>
        <w:rPr>
          <w:rFonts w:hint="eastAsia" w:ascii="宋体" w:hAnsi="宋体" w:eastAsia="宋体" w:cs="宋体"/>
          <w:color w:val="auto"/>
          <w:sz w:val="24"/>
          <w:szCs w:val="24"/>
          <w:lang w:val="en-US" w:eastAsia="zh-CN"/>
        </w:rPr>
      </w:pPr>
    </w:p>
    <w:p w14:paraId="2303133B">
      <w:pPr>
        <w:jc w:val="center"/>
        <w:rPr>
          <w:rFonts w:hint="eastAsia" w:ascii="宋体" w:hAnsi="宋体" w:eastAsia="宋体" w:cs="宋体"/>
          <w:color w:val="auto"/>
          <w:sz w:val="24"/>
          <w:szCs w:val="24"/>
        </w:rPr>
      </w:pPr>
      <w:r>
        <w:rPr>
          <w:rFonts w:hint="eastAsia" w:ascii="宋体" w:hAnsi="宋体" w:cs="宋体"/>
          <w:color w:val="auto"/>
          <w:sz w:val="24"/>
          <w:szCs w:val="24"/>
          <w:lang w:val="en-US" w:eastAsia="zh-CN"/>
        </w:rPr>
        <w:t xml:space="preserve">表E.0.3-4 </w:t>
      </w:r>
      <w:r>
        <w:rPr>
          <w:rFonts w:hint="eastAsia" w:ascii="宋体" w:hAnsi="宋体" w:eastAsia="宋体" w:cs="宋体"/>
          <w:color w:val="auto"/>
          <w:sz w:val="24"/>
          <w:szCs w:val="24"/>
          <w:lang w:val="en-US" w:eastAsia="zh-CN"/>
        </w:rPr>
        <w:t>可持续</w:t>
      </w:r>
      <w:r>
        <w:rPr>
          <w:rFonts w:hint="eastAsia" w:ascii="宋体" w:hAnsi="宋体" w:eastAsia="宋体" w:cs="宋体"/>
          <w:color w:val="auto"/>
          <w:sz w:val="24"/>
          <w:szCs w:val="24"/>
        </w:rPr>
        <w:t>要素评价表</w:t>
      </w:r>
    </w:p>
    <w:tbl>
      <w:tblPr>
        <w:tblStyle w:val="15"/>
        <w:tblW w:w="86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4"/>
        <w:gridCol w:w="2148"/>
        <w:gridCol w:w="2672"/>
        <w:gridCol w:w="1659"/>
        <w:gridCol w:w="1425"/>
      </w:tblGrid>
      <w:tr w14:paraId="2481ED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04" w:type="dxa"/>
            <w:vMerge w:val="restart"/>
            <w:vAlign w:val="top"/>
          </w:tcPr>
          <w:p w14:paraId="09A17036">
            <w:pPr>
              <w:jc w:val="left"/>
              <w:rPr>
                <w:rFonts w:hint="eastAsia" w:ascii="宋体" w:hAnsi="宋体" w:eastAsia="宋体" w:cs="宋体"/>
                <w:color w:val="auto"/>
                <w:sz w:val="24"/>
                <w:szCs w:val="24"/>
              </w:rPr>
            </w:pPr>
            <w:r>
              <w:rPr>
                <w:rFonts w:hint="eastAsia" w:ascii="宋体" w:hAnsi="宋体" w:eastAsia="宋体" w:cs="宋体"/>
                <w:color w:val="auto"/>
                <w:sz w:val="24"/>
                <w:szCs w:val="24"/>
              </w:rPr>
              <w:t>控制项</w:t>
            </w:r>
          </w:p>
        </w:tc>
        <w:tc>
          <w:tcPr>
            <w:tcW w:w="2148" w:type="dxa"/>
            <w:vAlign w:val="top"/>
          </w:tcPr>
          <w:p w14:paraId="7D8EAE2E">
            <w:pPr>
              <w:jc w:val="left"/>
              <w:rPr>
                <w:rFonts w:hint="eastAsia" w:ascii="宋体" w:hAnsi="宋体" w:eastAsia="宋体" w:cs="宋体"/>
                <w:color w:val="auto"/>
                <w:sz w:val="24"/>
                <w:szCs w:val="24"/>
              </w:rPr>
            </w:pPr>
            <w:r>
              <w:rPr>
                <w:rFonts w:hint="eastAsia" w:ascii="宋体" w:hAnsi="宋体" w:eastAsia="宋体" w:cs="宋体"/>
                <w:color w:val="auto"/>
                <w:sz w:val="24"/>
                <w:szCs w:val="24"/>
              </w:rPr>
              <w:t>标准条款及要求</w:t>
            </w:r>
          </w:p>
        </w:tc>
        <w:tc>
          <w:tcPr>
            <w:tcW w:w="2672" w:type="dxa"/>
            <w:vAlign w:val="top"/>
          </w:tcPr>
          <w:p w14:paraId="0DF9FFD6">
            <w:pPr>
              <w:jc w:val="left"/>
              <w:rPr>
                <w:rFonts w:hint="eastAsia" w:ascii="宋体" w:hAnsi="宋体" w:eastAsia="宋体" w:cs="宋体"/>
                <w:color w:val="auto"/>
                <w:sz w:val="24"/>
                <w:szCs w:val="24"/>
              </w:rPr>
            </w:pPr>
            <w:r>
              <w:rPr>
                <w:rFonts w:hint="eastAsia" w:ascii="宋体" w:hAnsi="宋体" w:eastAsia="宋体" w:cs="宋体"/>
                <w:color w:val="auto"/>
                <w:sz w:val="24"/>
                <w:szCs w:val="24"/>
              </w:rPr>
              <w:t>评价标准</w:t>
            </w:r>
          </w:p>
        </w:tc>
        <w:tc>
          <w:tcPr>
            <w:tcW w:w="3084" w:type="dxa"/>
            <w:gridSpan w:val="2"/>
            <w:vAlign w:val="top"/>
          </w:tcPr>
          <w:p w14:paraId="3B05BF22">
            <w:pPr>
              <w:jc w:val="left"/>
              <w:rPr>
                <w:rFonts w:hint="eastAsia" w:ascii="宋体" w:hAnsi="宋体" w:eastAsia="宋体" w:cs="宋体"/>
                <w:color w:val="auto"/>
                <w:sz w:val="24"/>
                <w:szCs w:val="24"/>
              </w:rPr>
            </w:pPr>
            <w:r>
              <w:rPr>
                <w:rFonts w:hint="eastAsia" w:ascii="宋体" w:hAnsi="宋体" w:eastAsia="宋体" w:cs="宋体"/>
                <w:color w:val="auto"/>
                <w:sz w:val="24"/>
                <w:szCs w:val="24"/>
              </w:rPr>
              <w:t>结论</w:t>
            </w:r>
          </w:p>
        </w:tc>
      </w:tr>
      <w:tr w14:paraId="6C8B1E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Merge w:val="continue"/>
            <w:vAlign w:val="top"/>
          </w:tcPr>
          <w:p w14:paraId="32BBA7C7">
            <w:pPr>
              <w:jc w:val="left"/>
              <w:rPr>
                <w:rFonts w:hint="eastAsia" w:ascii="宋体" w:hAnsi="宋体" w:eastAsia="宋体" w:cs="宋体"/>
                <w:color w:val="auto"/>
                <w:sz w:val="24"/>
                <w:szCs w:val="24"/>
              </w:rPr>
            </w:pPr>
          </w:p>
        </w:tc>
        <w:tc>
          <w:tcPr>
            <w:tcW w:w="2148" w:type="dxa"/>
            <w:vAlign w:val="top"/>
          </w:tcPr>
          <w:p w14:paraId="206245C1">
            <w:pPr>
              <w:jc w:val="left"/>
              <w:rPr>
                <w:rFonts w:hint="eastAsia" w:ascii="宋体" w:hAnsi="宋体" w:eastAsia="宋体" w:cs="宋体"/>
                <w:color w:val="auto"/>
                <w:sz w:val="24"/>
                <w:szCs w:val="24"/>
              </w:rPr>
            </w:pPr>
            <w:r>
              <w:rPr>
                <w:rFonts w:hint="eastAsia" w:ascii="宋体" w:hAnsi="宋体" w:eastAsia="宋体" w:cs="宋体"/>
                <w:color w:val="auto"/>
                <w:sz w:val="24"/>
                <w:szCs w:val="24"/>
              </w:rPr>
              <w:t>4.1.1</w:t>
            </w:r>
          </w:p>
        </w:tc>
        <w:tc>
          <w:tcPr>
            <w:tcW w:w="2672" w:type="dxa"/>
            <w:vMerge w:val="restart"/>
            <w:vAlign w:val="top"/>
          </w:tcPr>
          <w:p w14:paraId="77F2DBF6">
            <w:pPr>
              <w:jc w:val="left"/>
              <w:rPr>
                <w:rFonts w:hint="eastAsia" w:ascii="宋体" w:hAnsi="宋体" w:eastAsia="宋体" w:cs="宋体"/>
                <w:color w:val="auto"/>
                <w:sz w:val="24"/>
                <w:szCs w:val="24"/>
              </w:rPr>
            </w:pPr>
            <w:r>
              <w:rPr>
                <w:rFonts w:hint="eastAsia" w:ascii="宋体" w:hAnsi="宋体" w:eastAsia="宋体" w:cs="宋体"/>
                <w:color w:val="auto"/>
                <w:sz w:val="24"/>
                <w:szCs w:val="24"/>
              </w:rPr>
              <w:t>措施到位，全部满足要求，进入评分流程。否则，一票否决，为不合格</w:t>
            </w:r>
          </w:p>
        </w:tc>
        <w:tc>
          <w:tcPr>
            <w:tcW w:w="3084" w:type="dxa"/>
            <w:gridSpan w:val="2"/>
            <w:vAlign w:val="top"/>
          </w:tcPr>
          <w:p w14:paraId="5B8E0DCA">
            <w:pPr>
              <w:jc w:val="left"/>
              <w:rPr>
                <w:rFonts w:hint="eastAsia" w:ascii="宋体" w:hAnsi="宋体" w:eastAsia="宋体" w:cs="宋体"/>
                <w:color w:val="auto"/>
                <w:sz w:val="24"/>
                <w:szCs w:val="24"/>
              </w:rPr>
            </w:pPr>
          </w:p>
        </w:tc>
      </w:tr>
      <w:tr w14:paraId="3D3613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Merge w:val="continue"/>
            <w:vAlign w:val="top"/>
          </w:tcPr>
          <w:p w14:paraId="7BEE1EC2">
            <w:pPr>
              <w:jc w:val="left"/>
              <w:rPr>
                <w:rFonts w:hint="eastAsia" w:ascii="宋体" w:hAnsi="宋体" w:eastAsia="宋体" w:cs="宋体"/>
                <w:color w:val="auto"/>
                <w:sz w:val="24"/>
                <w:szCs w:val="24"/>
              </w:rPr>
            </w:pPr>
          </w:p>
        </w:tc>
        <w:tc>
          <w:tcPr>
            <w:tcW w:w="2148" w:type="dxa"/>
            <w:vAlign w:val="top"/>
          </w:tcPr>
          <w:p w14:paraId="509D69D1">
            <w:pPr>
              <w:jc w:val="left"/>
              <w:rPr>
                <w:rFonts w:hint="eastAsia" w:ascii="宋体" w:hAnsi="宋体" w:eastAsia="宋体" w:cs="宋体"/>
                <w:color w:val="auto"/>
                <w:sz w:val="24"/>
                <w:szCs w:val="24"/>
              </w:rPr>
            </w:pPr>
            <w:r>
              <w:rPr>
                <w:rFonts w:hint="eastAsia" w:ascii="宋体" w:hAnsi="宋体" w:eastAsia="宋体" w:cs="宋体"/>
                <w:color w:val="auto"/>
                <w:sz w:val="24"/>
                <w:szCs w:val="24"/>
              </w:rPr>
              <w:t>。。。。。</w:t>
            </w:r>
          </w:p>
        </w:tc>
        <w:tc>
          <w:tcPr>
            <w:tcW w:w="2672" w:type="dxa"/>
            <w:vMerge w:val="continue"/>
            <w:vAlign w:val="top"/>
          </w:tcPr>
          <w:p w14:paraId="3A2CE72D">
            <w:pPr>
              <w:jc w:val="left"/>
              <w:rPr>
                <w:rFonts w:hint="eastAsia" w:ascii="宋体" w:hAnsi="宋体" w:eastAsia="宋体" w:cs="宋体"/>
                <w:color w:val="auto"/>
                <w:sz w:val="24"/>
                <w:szCs w:val="24"/>
              </w:rPr>
            </w:pPr>
          </w:p>
        </w:tc>
        <w:tc>
          <w:tcPr>
            <w:tcW w:w="3084" w:type="dxa"/>
            <w:gridSpan w:val="2"/>
            <w:vAlign w:val="top"/>
          </w:tcPr>
          <w:p w14:paraId="358790BA">
            <w:pPr>
              <w:jc w:val="left"/>
              <w:rPr>
                <w:rFonts w:hint="eastAsia" w:ascii="宋体" w:hAnsi="宋体" w:eastAsia="宋体" w:cs="宋体"/>
                <w:color w:val="auto"/>
                <w:sz w:val="24"/>
                <w:szCs w:val="24"/>
              </w:rPr>
            </w:pPr>
          </w:p>
        </w:tc>
      </w:tr>
      <w:tr w14:paraId="1469A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Merge w:val="restart"/>
            <w:vAlign w:val="top"/>
          </w:tcPr>
          <w:p w14:paraId="0625A331">
            <w:pPr>
              <w:jc w:val="left"/>
              <w:rPr>
                <w:rFonts w:hint="eastAsia" w:ascii="宋体" w:hAnsi="宋体" w:eastAsia="宋体" w:cs="宋体"/>
                <w:color w:val="auto"/>
                <w:sz w:val="24"/>
                <w:szCs w:val="24"/>
                <w:lang w:eastAsia="zh-CN"/>
              </w:rPr>
            </w:pPr>
            <w:r>
              <w:rPr>
                <w:rFonts w:hint="eastAsia" w:ascii="宋体" w:hAnsi="宋体" w:cs="宋体"/>
                <w:color w:val="auto"/>
                <w:sz w:val="24"/>
                <w:szCs w:val="24"/>
                <w:lang w:eastAsia="zh-CN"/>
              </w:rPr>
              <w:t>评分项</w:t>
            </w:r>
          </w:p>
        </w:tc>
        <w:tc>
          <w:tcPr>
            <w:tcW w:w="2148" w:type="dxa"/>
            <w:vAlign w:val="top"/>
          </w:tcPr>
          <w:p w14:paraId="269E4298">
            <w:pPr>
              <w:jc w:val="left"/>
              <w:rPr>
                <w:rFonts w:hint="eastAsia" w:ascii="宋体" w:hAnsi="宋体" w:eastAsia="宋体" w:cs="宋体"/>
                <w:color w:val="auto"/>
                <w:sz w:val="24"/>
                <w:szCs w:val="24"/>
              </w:rPr>
            </w:pPr>
            <w:r>
              <w:rPr>
                <w:rFonts w:hint="eastAsia" w:ascii="宋体" w:hAnsi="宋体" w:eastAsia="宋体" w:cs="宋体"/>
                <w:color w:val="auto"/>
                <w:sz w:val="24"/>
                <w:szCs w:val="24"/>
              </w:rPr>
              <w:t>标准条款及要求</w:t>
            </w:r>
          </w:p>
        </w:tc>
        <w:tc>
          <w:tcPr>
            <w:tcW w:w="2672" w:type="dxa"/>
            <w:vAlign w:val="top"/>
          </w:tcPr>
          <w:p w14:paraId="08F88700">
            <w:pPr>
              <w:jc w:val="left"/>
              <w:rPr>
                <w:rFonts w:hint="eastAsia" w:ascii="宋体" w:hAnsi="宋体" w:eastAsia="宋体" w:cs="宋体"/>
                <w:color w:val="auto"/>
                <w:sz w:val="24"/>
                <w:szCs w:val="24"/>
              </w:rPr>
            </w:pPr>
            <w:r>
              <w:rPr>
                <w:rFonts w:hint="eastAsia" w:ascii="宋体" w:hAnsi="宋体" w:eastAsia="宋体" w:cs="宋体"/>
                <w:color w:val="auto"/>
                <w:sz w:val="24"/>
                <w:szCs w:val="24"/>
              </w:rPr>
              <w:t>计分标准</w:t>
            </w:r>
          </w:p>
        </w:tc>
        <w:tc>
          <w:tcPr>
            <w:tcW w:w="1659" w:type="dxa"/>
            <w:vAlign w:val="top"/>
          </w:tcPr>
          <w:p w14:paraId="04880DDC">
            <w:pPr>
              <w:jc w:val="left"/>
              <w:rPr>
                <w:rFonts w:hint="eastAsia" w:ascii="宋体" w:hAnsi="宋体" w:eastAsia="宋体" w:cs="宋体"/>
                <w:color w:val="auto"/>
                <w:sz w:val="24"/>
                <w:szCs w:val="24"/>
              </w:rPr>
            </w:pPr>
            <w:r>
              <w:rPr>
                <w:rFonts w:hint="eastAsia" w:ascii="宋体" w:hAnsi="宋体" w:eastAsia="宋体" w:cs="宋体"/>
                <w:color w:val="auto"/>
                <w:sz w:val="24"/>
                <w:szCs w:val="24"/>
              </w:rPr>
              <w:t>应得分</w:t>
            </w:r>
          </w:p>
        </w:tc>
        <w:tc>
          <w:tcPr>
            <w:tcW w:w="1425" w:type="dxa"/>
            <w:vAlign w:val="top"/>
          </w:tcPr>
          <w:p w14:paraId="69ECCDFB">
            <w:pPr>
              <w:jc w:val="left"/>
              <w:rPr>
                <w:rFonts w:hint="eastAsia" w:ascii="宋体" w:hAnsi="宋体" w:eastAsia="宋体" w:cs="宋体"/>
                <w:color w:val="auto"/>
                <w:sz w:val="24"/>
                <w:szCs w:val="24"/>
              </w:rPr>
            </w:pPr>
            <w:r>
              <w:rPr>
                <w:rFonts w:hint="eastAsia" w:ascii="宋体" w:hAnsi="宋体" w:eastAsia="宋体" w:cs="宋体"/>
                <w:color w:val="auto"/>
                <w:sz w:val="24"/>
                <w:szCs w:val="24"/>
              </w:rPr>
              <w:t>实得分</w:t>
            </w:r>
          </w:p>
        </w:tc>
      </w:tr>
      <w:tr w14:paraId="45FA7A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Merge w:val="continue"/>
            <w:vAlign w:val="top"/>
          </w:tcPr>
          <w:p w14:paraId="5EBF9711">
            <w:pPr>
              <w:jc w:val="left"/>
              <w:rPr>
                <w:rFonts w:hint="eastAsia" w:ascii="宋体" w:hAnsi="宋体" w:eastAsia="宋体" w:cs="宋体"/>
                <w:color w:val="auto"/>
                <w:sz w:val="24"/>
                <w:szCs w:val="24"/>
              </w:rPr>
            </w:pPr>
          </w:p>
        </w:tc>
        <w:tc>
          <w:tcPr>
            <w:tcW w:w="2148" w:type="dxa"/>
            <w:vAlign w:val="top"/>
          </w:tcPr>
          <w:p w14:paraId="3AF2F747">
            <w:pPr>
              <w:jc w:val="left"/>
              <w:rPr>
                <w:rFonts w:hint="eastAsia" w:ascii="宋体" w:hAnsi="宋体" w:eastAsia="宋体" w:cs="宋体"/>
                <w:color w:val="auto"/>
                <w:sz w:val="24"/>
                <w:szCs w:val="24"/>
              </w:rPr>
            </w:pPr>
            <w:r>
              <w:rPr>
                <w:rFonts w:hint="eastAsia" w:ascii="宋体" w:hAnsi="宋体" w:eastAsia="宋体" w:cs="宋体"/>
                <w:color w:val="auto"/>
                <w:sz w:val="24"/>
                <w:szCs w:val="24"/>
              </w:rPr>
              <w:t>4.2.1</w:t>
            </w:r>
            <w:r>
              <w:rPr>
                <w:rFonts w:hint="eastAsia" w:ascii="宋体" w:hAnsi="宋体" w:eastAsia="宋体" w:cs="宋体"/>
                <w:color w:val="auto"/>
                <w:sz w:val="24"/>
              </w:rPr>
              <w:t>全面充分识别污废水源，并采取有效措施降低废水污染。</w:t>
            </w:r>
          </w:p>
        </w:tc>
        <w:tc>
          <w:tcPr>
            <w:tcW w:w="2672" w:type="dxa"/>
            <w:vMerge w:val="restart"/>
            <w:vAlign w:val="top"/>
          </w:tcPr>
          <w:p w14:paraId="25131757">
            <w:pPr>
              <w:jc w:val="left"/>
              <w:rPr>
                <w:rFonts w:hint="eastAsia" w:ascii="宋体" w:hAnsi="宋体" w:eastAsia="宋体" w:cs="宋体"/>
                <w:color w:val="auto"/>
                <w:sz w:val="24"/>
                <w:szCs w:val="24"/>
                <w:lang w:val="en-US" w:eastAsia="zh-CN"/>
              </w:rPr>
            </w:pPr>
            <w:r>
              <w:rPr>
                <w:rFonts w:hint="eastAsia" w:ascii="宋体" w:hAnsi="宋体" w:cs="宋体"/>
                <w:color w:val="auto"/>
                <w:sz w:val="24"/>
                <w:szCs w:val="24"/>
                <w:lang w:val="en-US" w:eastAsia="zh-CN"/>
              </w:rPr>
              <w:t>1</w:t>
            </w:r>
            <w:r>
              <w:rPr>
                <w:rFonts w:hint="eastAsia" w:ascii="宋体" w:hAnsi="宋体" w:eastAsia="宋体" w:cs="宋体"/>
                <w:color w:val="auto"/>
                <w:sz w:val="24"/>
                <w:szCs w:val="24"/>
              </w:rPr>
              <w:t>措施到位，基本满足考评指标要求</w:t>
            </w:r>
            <w:r>
              <w:rPr>
                <w:rFonts w:hint="eastAsia" w:ascii="宋体" w:hAnsi="宋体" w:cs="宋体"/>
                <w:color w:val="auto"/>
                <w:sz w:val="24"/>
                <w:szCs w:val="24"/>
                <w:lang w:eastAsia="zh-CN"/>
              </w:rPr>
              <w:t>，</w:t>
            </w:r>
            <w:r>
              <w:rPr>
                <w:rFonts w:hint="eastAsia" w:ascii="宋体" w:hAnsi="宋体" w:eastAsia="宋体" w:cs="宋体"/>
                <w:color w:val="auto"/>
                <w:sz w:val="24"/>
                <w:szCs w:val="24"/>
                <w:lang w:val="en-US" w:eastAsia="zh-CN"/>
              </w:rPr>
              <w:t>根据实现程度获得相应程度得分</w:t>
            </w:r>
            <w:r>
              <w:rPr>
                <w:rFonts w:hint="eastAsia" w:ascii="宋体" w:hAnsi="宋体" w:cs="宋体"/>
                <w:color w:val="auto"/>
                <w:sz w:val="24"/>
                <w:szCs w:val="24"/>
                <w:lang w:val="en-US" w:eastAsia="zh-CN"/>
              </w:rPr>
              <w:t>，1分至10分</w:t>
            </w:r>
            <w:r>
              <w:rPr>
                <w:rFonts w:hint="eastAsia" w:ascii="宋体" w:hAnsi="宋体" w:eastAsia="宋体" w:cs="宋体"/>
                <w:color w:val="auto"/>
                <w:sz w:val="24"/>
                <w:szCs w:val="24"/>
                <w:lang w:val="en-US" w:eastAsia="zh-CN"/>
              </w:rPr>
              <w:t>。</w:t>
            </w:r>
          </w:p>
          <w:p w14:paraId="684E8680">
            <w:pPr>
              <w:jc w:val="left"/>
              <w:rPr>
                <w:rFonts w:hint="default" w:ascii="宋体" w:hAnsi="宋体" w:eastAsia="宋体" w:cs="宋体"/>
                <w:color w:val="auto"/>
                <w:sz w:val="24"/>
                <w:szCs w:val="24"/>
                <w:lang w:val="en-US" w:eastAsia="zh-CN"/>
              </w:rPr>
            </w:pPr>
            <w:r>
              <w:rPr>
                <w:rFonts w:hint="eastAsia" w:ascii="宋体" w:hAnsi="宋体" w:cs="宋体"/>
                <w:color w:val="auto"/>
                <w:sz w:val="24"/>
                <w:szCs w:val="24"/>
                <w:lang w:val="en-US" w:eastAsia="zh-CN"/>
              </w:rPr>
              <w:t>2</w:t>
            </w:r>
            <w:r>
              <w:rPr>
                <w:rFonts w:hint="eastAsia" w:ascii="宋体" w:hAnsi="宋体" w:eastAsia="宋体" w:cs="宋体"/>
                <w:color w:val="auto"/>
                <w:sz w:val="24"/>
                <w:szCs w:val="24"/>
              </w:rPr>
              <w:t>措施不到位，不满足考评指标要求</w:t>
            </w:r>
            <w:r>
              <w:rPr>
                <w:rFonts w:hint="eastAsia" w:ascii="宋体" w:hAnsi="宋体" w:cs="宋体"/>
                <w:color w:val="auto"/>
                <w:sz w:val="24"/>
                <w:szCs w:val="24"/>
                <w:lang w:eastAsia="zh-CN"/>
              </w:rPr>
              <w:t>，得</w:t>
            </w:r>
            <w:r>
              <w:rPr>
                <w:rFonts w:hint="eastAsia" w:ascii="宋体" w:hAnsi="宋体" w:cs="宋体"/>
                <w:color w:val="auto"/>
                <w:sz w:val="24"/>
                <w:szCs w:val="24"/>
                <w:lang w:val="en-US" w:eastAsia="zh-CN"/>
              </w:rPr>
              <w:t>0分。</w:t>
            </w:r>
          </w:p>
        </w:tc>
        <w:tc>
          <w:tcPr>
            <w:tcW w:w="1659" w:type="dxa"/>
            <w:vAlign w:val="top"/>
          </w:tcPr>
          <w:p w14:paraId="774B3598">
            <w:pPr>
              <w:jc w:val="left"/>
              <w:rPr>
                <w:rFonts w:hint="default" w:ascii="宋体" w:hAnsi="宋体" w:eastAsia="宋体" w:cs="宋体"/>
                <w:color w:val="auto"/>
                <w:sz w:val="24"/>
                <w:szCs w:val="24"/>
                <w:lang w:val="en-US" w:eastAsia="zh-CN"/>
              </w:rPr>
            </w:pPr>
            <w:r>
              <w:rPr>
                <w:rFonts w:hint="eastAsia" w:ascii="宋体" w:hAnsi="宋体" w:cs="宋体"/>
                <w:color w:val="auto"/>
                <w:sz w:val="24"/>
                <w:szCs w:val="24"/>
                <w:lang w:val="en-US" w:eastAsia="zh-CN"/>
              </w:rPr>
              <w:t>10分</w:t>
            </w:r>
          </w:p>
        </w:tc>
        <w:tc>
          <w:tcPr>
            <w:tcW w:w="1425" w:type="dxa"/>
            <w:vAlign w:val="top"/>
          </w:tcPr>
          <w:p w14:paraId="533B41F8">
            <w:pPr>
              <w:jc w:val="left"/>
              <w:rPr>
                <w:rFonts w:hint="eastAsia" w:ascii="宋体" w:hAnsi="宋体" w:eastAsia="宋体" w:cs="宋体"/>
                <w:color w:val="auto"/>
                <w:sz w:val="24"/>
                <w:szCs w:val="24"/>
              </w:rPr>
            </w:pPr>
          </w:p>
        </w:tc>
      </w:tr>
      <w:tr w14:paraId="225329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Merge w:val="continue"/>
            <w:vAlign w:val="top"/>
          </w:tcPr>
          <w:p w14:paraId="7F4125BC">
            <w:pPr>
              <w:jc w:val="left"/>
              <w:rPr>
                <w:rFonts w:hint="eastAsia" w:ascii="宋体" w:hAnsi="宋体" w:eastAsia="宋体" w:cs="宋体"/>
                <w:color w:val="auto"/>
                <w:sz w:val="24"/>
                <w:szCs w:val="24"/>
              </w:rPr>
            </w:pPr>
          </w:p>
        </w:tc>
        <w:tc>
          <w:tcPr>
            <w:tcW w:w="2148" w:type="dxa"/>
            <w:vAlign w:val="top"/>
          </w:tcPr>
          <w:p w14:paraId="73729CD1">
            <w:pPr>
              <w:jc w:val="left"/>
              <w:rPr>
                <w:rFonts w:hint="eastAsia" w:ascii="宋体" w:hAnsi="宋体" w:eastAsia="宋体" w:cs="宋体"/>
                <w:color w:val="auto"/>
                <w:sz w:val="24"/>
                <w:szCs w:val="24"/>
              </w:rPr>
            </w:pPr>
            <w:r>
              <w:rPr>
                <w:rFonts w:hint="eastAsia" w:ascii="宋体" w:hAnsi="宋体" w:eastAsia="宋体" w:cs="宋体"/>
                <w:color w:val="auto"/>
                <w:sz w:val="24"/>
                <w:szCs w:val="24"/>
              </w:rPr>
              <w:t>1</w:t>
            </w:r>
            <w:r>
              <w:rPr>
                <w:rFonts w:hint="eastAsia" w:ascii="宋体" w:hAnsi="宋体" w:eastAsia="宋体" w:cs="宋体"/>
                <w:color w:val="auto"/>
                <w:sz w:val="24"/>
              </w:rPr>
              <w:t>对项目在各阶段可能产生的污废水产生源进行充分识别</w:t>
            </w:r>
          </w:p>
        </w:tc>
        <w:tc>
          <w:tcPr>
            <w:tcW w:w="2672" w:type="dxa"/>
            <w:vMerge w:val="continue"/>
            <w:vAlign w:val="top"/>
          </w:tcPr>
          <w:p w14:paraId="4FBC042D">
            <w:pPr>
              <w:jc w:val="left"/>
              <w:rPr>
                <w:rFonts w:hint="eastAsia" w:ascii="宋体" w:hAnsi="宋体" w:eastAsia="宋体" w:cs="宋体"/>
                <w:color w:val="auto"/>
                <w:sz w:val="24"/>
                <w:szCs w:val="24"/>
              </w:rPr>
            </w:pPr>
          </w:p>
        </w:tc>
        <w:tc>
          <w:tcPr>
            <w:tcW w:w="1659" w:type="dxa"/>
            <w:vAlign w:val="top"/>
          </w:tcPr>
          <w:p w14:paraId="111CCE52">
            <w:pPr>
              <w:jc w:val="left"/>
              <w:rPr>
                <w:rFonts w:hint="default" w:ascii="宋体" w:hAnsi="宋体" w:eastAsia="宋体" w:cs="宋体"/>
                <w:color w:val="auto"/>
                <w:sz w:val="24"/>
                <w:szCs w:val="24"/>
                <w:lang w:val="en-US" w:eastAsia="zh-CN"/>
              </w:rPr>
            </w:pPr>
            <w:r>
              <w:rPr>
                <w:rFonts w:hint="eastAsia" w:ascii="宋体" w:hAnsi="宋体" w:cs="宋体"/>
                <w:color w:val="auto"/>
                <w:sz w:val="24"/>
                <w:szCs w:val="24"/>
                <w:lang w:val="en-US" w:eastAsia="zh-CN"/>
              </w:rPr>
              <w:t>0分</w:t>
            </w:r>
          </w:p>
        </w:tc>
        <w:tc>
          <w:tcPr>
            <w:tcW w:w="1425" w:type="dxa"/>
            <w:vAlign w:val="top"/>
          </w:tcPr>
          <w:p w14:paraId="49E81847">
            <w:pPr>
              <w:jc w:val="left"/>
              <w:rPr>
                <w:rFonts w:hint="eastAsia" w:ascii="宋体" w:hAnsi="宋体" w:eastAsia="宋体" w:cs="宋体"/>
                <w:color w:val="auto"/>
                <w:sz w:val="24"/>
                <w:szCs w:val="24"/>
              </w:rPr>
            </w:pPr>
          </w:p>
        </w:tc>
      </w:tr>
      <w:tr w14:paraId="1FF8A4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Merge w:val="continue"/>
            <w:vAlign w:val="top"/>
          </w:tcPr>
          <w:p w14:paraId="1950A4F5">
            <w:pPr>
              <w:jc w:val="left"/>
              <w:rPr>
                <w:rFonts w:hint="eastAsia" w:ascii="宋体" w:hAnsi="宋体" w:eastAsia="宋体" w:cs="宋体"/>
                <w:color w:val="auto"/>
                <w:sz w:val="24"/>
                <w:szCs w:val="24"/>
              </w:rPr>
            </w:pPr>
          </w:p>
        </w:tc>
        <w:tc>
          <w:tcPr>
            <w:tcW w:w="2148" w:type="dxa"/>
            <w:vAlign w:val="top"/>
          </w:tcPr>
          <w:p w14:paraId="4A8BF1E1">
            <w:pPr>
              <w:jc w:val="left"/>
              <w:rPr>
                <w:rFonts w:hint="eastAsia" w:ascii="宋体" w:hAnsi="宋体" w:eastAsia="宋体" w:cs="宋体"/>
                <w:color w:val="auto"/>
                <w:sz w:val="24"/>
                <w:szCs w:val="24"/>
              </w:rPr>
            </w:pPr>
            <w:r>
              <w:rPr>
                <w:rFonts w:hint="eastAsia" w:ascii="宋体" w:hAnsi="宋体" w:eastAsia="宋体" w:cs="宋体"/>
                <w:color w:val="auto"/>
                <w:sz w:val="24"/>
                <w:szCs w:val="24"/>
              </w:rPr>
              <w:t>。。。。。。</w:t>
            </w:r>
          </w:p>
        </w:tc>
        <w:tc>
          <w:tcPr>
            <w:tcW w:w="2672" w:type="dxa"/>
            <w:vAlign w:val="top"/>
          </w:tcPr>
          <w:p w14:paraId="21E3D9A7">
            <w:pPr>
              <w:jc w:val="left"/>
              <w:rPr>
                <w:rFonts w:hint="eastAsia" w:ascii="宋体" w:hAnsi="宋体" w:eastAsia="宋体" w:cs="宋体"/>
                <w:color w:val="auto"/>
                <w:sz w:val="24"/>
                <w:szCs w:val="24"/>
              </w:rPr>
            </w:pPr>
          </w:p>
        </w:tc>
        <w:tc>
          <w:tcPr>
            <w:tcW w:w="1659" w:type="dxa"/>
            <w:vAlign w:val="top"/>
          </w:tcPr>
          <w:p w14:paraId="70550E3C">
            <w:pPr>
              <w:jc w:val="left"/>
              <w:rPr>
                <w:rFonts w:hint="eastAsia" w:ascii="宋体" w:hAnsi="宋体" w:eastAsia="宋体" w:cs="宋体"/>
                <w:color w:val="auto"/>
                <w:sz w:val="24"/>
                <w:szCs w:val="24"/>
              </w:rPr>
            </w:pPr>
          </w:p>
        </w:tc>
        <w:tc>
          <w:tcPr>
            <w:tcW w:w="1425" w:type="dxa"/>
            <w:vAlign w:val="top"/>
          </w:tcPr>
          <w:p w14:paraId="3CA2C751">
            <w:pPr>
              <w:jc w:val="left"/>
              <w:rPr>
                <w:rFonts w:hint="eastAsia" w:ascii="宋体" w:hAnsi="宋体" w:eastAsia="宋体" w:cs="宋体"/>
                <w:color w:val="auto"/>
                <w:sz w:val="24"/>
                <w:szCs w:val="24"/>
              </w:rPr>
            </w:pPr>
          </w:p>
        </w:tc>
      </w:tr>
      <w:tr w14:paraId="6FF937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Merge w:val="continue"/>
            <w:vAlign w:val="top"/>
          </w:tcPr>
          <w:p w14:paraId="48F670A5">
            <w:pPr>
              <w:jc w:val="left"/>
              <w:rPr>
                <w:rFonts w:hint="eastAsia" w:ascii="宋体" w:hAnsi="宋体" w:eastAsia="宋体" w:cs="宋体"/>
                <w:color w:val="auto"/>
                <w:sz w:val="24"/>
                <w:szCs w:val="24"/>
              </w:rPr>
            </w:pPr>
          </w:p>
        </w:tc>
        <w:tc>
          <w:tcPr>
            <w:tcW w:w="2148" w:type="dxa"/>
            <w:vAlign w:val="top"/>
          </w:tcPr>
          <w:p w14:paraId="025660AA">
            <w:pPr>
              <w:jc w:val="left"/>
              <w:rPr>
                <w:rFonts w:hint="eastAsia" w:ascii="宋体" w:hAnsi="宋体" w:eastAsia="宋体" w:cs="宋体"/>
                <w:color w:val="auto"/>
                <w:sz w:val="24"/>
                <w:szCs w:val="24"/>
              </w:rPr>
            </w:pPr>
          </w:p>
        </w:tc>
        <w:tc>
          <w:tcPr>
            <w:tcW w:w="2672" w:type="dxa"/>
            <w:vAlign w:val="top"/>
          </w:tcPr>
          <w:p w14:paraId="069819ED">
            <w:pPr>
              <w:jc w:val="left"/>
              <w:rPr>
                <w:rFonts w:hint="eastAsia" w:ascii="宋体" w:hAnsi="宋体" w:eastAsia="宋体" w:cs="宋体"/>
                <w:color w:val="auto"/>
                <w:sz w:val="24"/>
                <w:szCs w:val="24"/>
              </w:rPr>
            </w:pPr>
          </w:p>
        </w:tc>
        <w:tc>
          <w:tcPr>
            <w:tcW w:w="1659" w:type="dxa"/>
            <w:vAlign w:val="top"/>
          </w:tcPr>
          <w:p w14:paraId="28CB0907">
            <w:pPr>
              <w:jc w:val="left"/>
              <w:rPr>
                <w:rFonts w:hint="eastAsia" w:ascii="宋体" w:hAnsi="宋体" w:eastAsia="宋体" w:cs="宋体"/>
                <w:color w:val="auto"/>
                <w:sz w:val="24"/>
                <w:szCs w:val="24"/>
              </w:rPr>
            </w:pPr>
          </w:p>
        </w:tc>
        <w:tc>
          <w:tcPr>
            <w:tcW w:w="1425" w:type="dxa"/>
            <w:vAlign w:val="top"/>
          </w:tcPr>
          <w:p w14:paraId="7DF6B1AF">
            <w:pPr>
              <w:jc w:val="left"/>
              <w:rPr>
                <w:rFonts w:hint="eastAsia" w:ascii="宋体" w:hAnsi="宋体" w:eastAsia="宋体" w:cs="宋体"/>
                <w:color w:val="auto"/>
                <w:sz w:val="24"/>
                <w:szCs w:val="24"/>
              </w:rPr>
            </w:pPr>
          </w:p>
        </w:tc>
      </w:tr>
    </w:tbl>
    <w:p w14:paraId="4B25C3CD">
      <w:pPr>
        <w:numPr>
          <w:ilvl w:val="-1"/>
          <w:numId w:val="0"/>
        </w:numPr>
        <w:spacing w:after="0" w:afterLines="-2147483648" w:line="360" w:lineRule="auto"/>
        <w:ind w:firstLine="0" w:firstLineChars="0"/>
        <w:jc w:val="left"/>
        <w:outlineLvl w:val="9"/>
        <w:rPr>
          <w:rFonts w:hint="eastAsia"/>
          <w:color w:val="auto"/>
          <w:sz w:val="24"/>
          <w:lang w:val="en-US" w:eastAsia="zh-CN"/>
        </w:rPr>
      </w:pPr>
      <w:r>
        <w:rPr>
          <w:rFonts w:hint="eastAsia" w:ascii="宋体" w:hAnsi="宋体" w:cs="宋体"/>
          <w:color w:val="auto"/>
          <w:sz w:val="24"/>
          <w:lang w:val="en-US" w:eastAsia="zh-CN"/>
        </w:rPr>
        <w:t xml:space="preserve">E.0.4 </w:t>
      </w:r>
      <w:r>
        <w:rPr>
          <w:rFonts w:hint="eastAsia" w:ascii="宋体" w:hAnsi="宋体" w:cs="宋体"/>
          <w:color w:val="auto"/>
          <w:sz w:val="24"/>
          <w:szCs w:val="24"/>
          <w:lang w:val="en-US" w:eastAsia="zh-CN"/>
        </w:rPr>
        <w:t>项目</w:t>
      </w:r>
      <w:r>
        <w:rPr>
          <w:rFonts w:hint="eastAsia" w:ascii="宋体" w:hAnsi="宋体" w:cs="宋体"/>
          <w:color w:val="auto"/>
          <w:sz w:val="24"/>
        </w:rPr>
        <w:t>可持续评价</w:t>
      </w:r>
      <w:r>
        <w:rPr>
          <w:rFonts w:hint="eastAsia" w:ascii="宋体" w:hAnsi="宋体" w:cs="宋体"/>
          <w:color w:val="auto"/>
          <w:sz w:val="24"/>
          <w:lang w:val="en-US" w:eastAsia="zh-CN"/>
        </w:rPr>
        <w:t>应</w:t>
      </w:r>
      <w:r>
        <w:rPr>
          <w:rFonts w:hint="eastAsia"/>
          <w:color w:val="auto"/>
          <w:sz w:val="24"/>
          <w:lang w:eastAsia="zh-CN"/>
        </w:rPr>
        <w:t>根据标准条款分值，按照权重累计分别给出项目规划设计</w:t>
      </w:r>
      <w:r>
        <w:rPr>
          <w:rFonts w:hint="eastAsia"/>
          <w:color w:val="auto"/>
          <w:sz w:val="24"/>
        </w:rPr>
        <w:t>阶段、施工建造阶段评价、运行阶段</w:t>
      </w:r>
      <w:r>
        <w:rPr>
          <w:rFonts w:hint="eastAsia"/>
          <w:color w:val="auto"/>
          <w:sz w:val="24"/>
          <w:lang w:eastAsia="zh-CN"/>
        </w:rPr>
        <w:t>，以及</w:t>
      </w:r>
      <w:r>
        <w:rPr>
          <w:rFonts w:hint="eastAsia"/>
          <w:color w:val="auto"/>
          <w:sz w:val="24"/>
        </w:rPr>
        <w:t>项目</w:t>
      </w:r>
      <w:r>
        <w:rPr>
          <w:rFonts w:hint="eastAsia"/>
          <w:color w:val="auto"/>
          <w:sz w:val="24"/>
          <w:lang w:eastAsia="zh-CN"/>
        </w:rPr>
        <w:t>全周期评价结果。</w:t>
      </w:r>
      <w:r>
        <w:rPr>
          <w:rFonts w:hint="eastAsia"/>
          <w:color w:val="auto"/>
          <w:sz w:val="24"/>
          <w:lang w:val="en-US" w:eastAsia="zh-CN"/>
        </w:rPr>
        <w:t>具体指标条款得分，以及</w:t>
      </w:r>
      <w:r>
        <w:rPr>
          <w:rFonts w:hint="eastAsia"/>
          <w:color w:val="auto"/>
          <w:sz w:val="24"/>
          <w:highlight w:val="none"/>
          <w:lang w:eastAsia="zh-CN"/>
        </w:rPr>
        <w:t>可持续评价权重</w:t>
      </w:r>
      <w:r>
        <w:rPr>
          <w:rFonts w:hint="eastAsia"/>
          <w:color w:val="auto"/>
          <w:sz w:val="24"/>
          <w:highlight w:val="none"/>
          <w:lang w:val="en-US" w:eastAsia="zh-CN"/>
        </w:rPr>
        <w:t>体系按表</w:t>
      </w:r>
      <w:r>
        <w:rPr>
          <w:rFonts w:hint="eastAsia" w:ascii="宋体" w:hAnsi="宋体" w:cs="宋体"/>
          <w:color w:val="auto"/>
          <w:sz w:val="24"/>
          <w:szCs w:val="24"/>
          <w:lang w:val="en-US" w:eastAsia="zh-CN"/>
        </w:rPr>
        <w:t>E.0.4的取值</w:t>
      </w:r>
      <w:r>
        <w:rPr>
          <w:rFonts w:hint="eastAsia"/>
          <w:color w:val="auto"/>
          <w:sz w:val="24"/>
          <w:lang w:val="en-US" w:eastAsia="zh-CN"/>
        </w:rPr>
        <w:t>。</w:t>
      </w:r>
    </w:p>
    <w:p w14:paraId="4A37DA4B">
      <w:pPr>
        <w:numPr>
          <w:ilvl w:val="0"/>
          <w:numId w:val="0"/>
        </w:numPr>
        <w:spacing w:after="0" w:afterLines="-2147483648" w:line="360" w:lineRule="auto"/>
        <w:ind w:firstLine="480" w:firstLineChars="200"/>
        <w:jc w:val="left"/>
        <w:outlineLvl w:val="9"/>
        <w:rPr>
          <w:rFonts w:hint="eastAsia"/>
          <w:color w:val="auto"/>
          <w:sz w:val="24"/>
          <w:lang w:eastAsia="zh-CN"/>
        </w:rPr>
      </w:pPr>
    </w:p>
    <w:p w14:paraId="2B90B5E5">
      <w:pPr>
        <w:numPr>
          <w:ilvl w:val="0"/>
          <w:numId w:val="0"/>
        </w:numPr>
        <w:spacing w:after="0" w:afterLines="-2147483648" w:line="360" w:lineRule="auto"/>
        <w:jc w:val="center"/>
        <w:outlineLvl w:val="9"/>
        <w:rPr>
          <w:rFonts w:hint="eastAsia"/>
          <w:color w:val="auto"/>
          <w:sz w:val="24"/>
          <w:highlight w:val="none"/>
          <w:lang w:val="en-US" w:eastAsia="zh-CN"/>
        </w:rPr>
      </w:pPr>
      <w:r>
        <w:rPr>
          <w:rFonts w:hint="eastAsia"/>
          <w:color w:val="auto"/>
          <w:sz w:val="24"/>
          <w:highlight w:val="none"/>
          <w:lang w:val="en-US" w:eastAsia="zh-CN"/>
        </w:rPr>
        <w:t>表</w:t>
      </w:r>
      <w:r>
        <w:rPr>
          <w:rFonts w:hint="eastAsia" w:ascii="宋体" w:hAnsi="宋体" w:cs="宋体"/>
          <w:color w:val="auto"/>
          <w:sz w:val="24"/>
          <w:szCs w:val="24"/>
          <w:lang w:val="en-US" w:eastAsia="zh-CN"/>
        </w:rPr>
        <w:t xml:space="preserve">E.0.4 </w:t>
      </w:r>
      <w:r>
        <w:rPr>
          <w:rFonts w:hint="eastAsia"/>
          <w:color w:val="auto"/>
          <w:sz w:val="24"/>
          <w:highlight w:val="none"/>
          <w:lang w:eastAsia="zh-CN"/>
        </w:rPr>
        <w:t>可持续评价权重</w:t>
      </w:r>
      <w:r>
        <w:rPr>
          <w:rFonts w:hint="eastAsia"/>
          <w:color w:val="auto"/>
          <w:sz w:val="24"/>
          <w:highlight w:val="none"/>
          <w:lang w:val="en-US" w:eastAsia="zh-CN"/>
        </w:rPr>
        <w:t>体系</w:t>
      </w:r>
    </w:p>
    <w:tbl>
      <w:tblPr>
        <w:tblStyle w:val="14"/>
        <w:tblW w:w="517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716"/>
        <w:gridCol w:w="1723"/>
        <w:gridCol w:w="1468"/>
        <w:gridCol w:w="1473"/>
        <w:gridCol w:w="973"/>
        <w:gridCol w:w="1473"/>
      </w:tblGrid>
      <w:tr w14:paraId="37FC157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9" w:hRule="atLeast"/>
        </w:trPr>
        <w:tc>
          <w:tcPr>
            <w:tcW w:w="0" w:type="auto"/>
            <w:tcBorders>
              <w:top w:val="single" w:color="000000" w:sz="4" w:space="0"/>
              <w:left w:val="single" w:color="000000" w:sz="4" w:space="0"/>
              <w:bottom w:val="single" w:color="000000" w:sz="4" w:space="0"/>
              <w:right w:val="single" w:color="000000" w:sz="4" w:space="0"/>
            </w:tcBorders>
            <w:shd w:val="clear" w:color="auto" w:fill="D99594" w:themeFill="accent2" w:themeFillTint="99"/>
            <w:vAlign w:val="center"/>
          </w:tcPr>
          <w:p w14:paraId="1B4F5828">
            <w:pPr>
              <w:keepNext w:val="0"/>
              <w:keepLines w:val="0"/>
              <w:widowControl/>
              <w:suppressLineNumbers w:val="0"/>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2"/>
                <w:sz w:val="24"/>
                <w:szCs w:val="24"/>
                <w:u w:val="none"/>
                <w:lang w:val="en-US" w:eastAsia="zh-CN" w:bidi="ar"/>
              </w:rPr>
              <w:t>全周期层</w:t>
            </w:r>
          </w:p>
        </w:tc>
        <w:tc>
          <w:tcPr>
            <w:tcW w:w="0" w:type="auto"/>
            <w:tcBorders>
              <w:top w:val="single" w:color="000000" w:sz="4" w:space="0"/>
              <w:left w:val="single" w:color="000000" w:sz="4" w:space="0"/>
              <w:bottom w:val="single" w:color="000000" w:sz="4" w:space="0"/>
              <w:right w:val="single" w:color="000000" w:sz="4" w:space="0"/>
            </w:tcBorders>
            <w:shd w:val="clear" w:color="auto" w:fill="D99594" w:themeFill="accent2" w:themeFillTint="99"/>
            <w:vAlign w:val="center"/>
          </w:tcPr>
          <w:p w14:paraId="6D4DA415">
            <w:pPr>
              <w:keepNext w:val="0"/>
              <w:keepLines w:val="0"/>
              <w:widowControl/>
              <w:suppressLineNumbers w:val="0"/>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2"/>
                <w:sz w:val="24"/>
                <w:szCs w:val="24"/>
                <w:u w:val="none"/>
                <w:lang w:val="en-US" w:eastAsia="zh-CN" w:bidi="ar"/>
              </w:rPr>
              <w:t>全周期层权重</w:t>
            </w:r>
          </w:p>
        </w:tc>
        <w:tc>
          <w:tcPr>
            <w:tcW w:w="0" w:type="auto"/>
            <w:tcBorders>
              <w:top w:val="single" w:color="000000" w:sz="4" w:space="0"/>
              <w:left w:val="single" w:color="000000" w:sz="4" w:space="0"/>
              <w:bottom w:val="single" w:color="000000" w:sz="4" w:space="0"/>
              <w:right w:val="single" w:color="000000" w:sz="4" w:space="0"/>
            </w:tcBorders>
            <w:shd w:val="clear" w:color="auto" w:fill="D99594" w:themeFill="accent2" w:themeFillTint="99"/>
            <w:vAlign w:val="center"/>
          </w:tcPr>
          <w:p w14:paraId="647476EC">
            <w:pPr>
              <w:keepNext w:val="0"/>
              <w:keepLines w:val="0"/>
              <w:widowControl/>
              <w:suppressLineNumbers w:val="0"/>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2"/>
                <w:sz w:val="24"/>
                <w:szCs w:val="24"/>
                <w:u w:val="none"/>
                <w:lang w:val="en-US" w:eastAsia="zh-CN" w:bidi="ar"/>
              </w:rPr>
              <w:t>准则层</w:t>
            </w:r>
          </w:p>
        </w:tc>
        <w:tc>
          <w:tcPr>
            <w:tcW w:w="0" w:type="auto"/>
            <w:tcBorders>
              <w:top w:val="single" w:color="000000" w:sz="4" w:space="0"/>
              <w:left w:val="single" w:color="000000" w:sz="4" w:space="0"/>
              <w:bottom w:val="single" w:color="000000" w:sz="4" w:space="0"/>
              <w:right w:val="single" w:color="000000" w:sz="4" w:space="0"/>
            </w:tcBorders>
            <w:shd w:val="clear" w:color="auto" w:fill="D99594" w:themeFill="accent2" w:themeFillTint="99"/>
            <w:vAlign w:val="center"/>
          </w:tcPr>
          <w:p w14:paraId="0D3DFDB6">
            <w:pPr>
              <w:keepNext w:val="0"/>
              <w:keepLines w:val="0"/>
              <w:widowControl/>
              <w:suppressLineNumbers w:val="0"/>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2"/>
                <w:sz w:val="24"/>
                <w:szCs w:val="24"/>
                <w:u w:val="none"/>
                <w:lang w:val="en-US" w:eastAsia="zh-CN" w:bidi="ar"/>
              </w:rPr>
              <w:t>准则层权重</w:t>
            </w:r>
          </w:p>
        </w:tc>
        <w:tc>
          <w:tcPr>
            <w:tcW w:w="0" w:type="auto"/>
            <w:tcBorders>
              <w:top w:val="single" w:color="000000" w:sz="4" w:space="0"/>
              <w:left w:val="single" w:color="000000" w:sz="4" w:space="0"/>
              <w:bottom w:val="single" w:color="000000" w:sz="4" w:space="0"/>
              <w:right w:val="single" w:color="000000" w:sz="4" w:space="0"/>
            </w:tcBorders>
            <w:shd w:val="clear" w:color="auto" w:fill="D99594" w:themeFill="accent2" w:themeFillTint="99"/>
            <w:vAlign w:val="center"/>
          </w:tcPr>
          <w:p w14:paraId="79DCFED0">
            <w:pPr>
              <w:keepNext w:val="0"/>
              <w:keepLines w:val="0"/>
              <w:widowControl/>
              <w:suppressLineNumbers w:val="0"/>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2"/>
                <w:sz w:val="24"/>
                <w:szCs w:val="24"/>
                <w:u w:val="none"/>
                <w:lang w:val="en-US" w:eastAsia="zh-CN" w:bidi="ar"/>
              </w:rPr>
              <w:t>指标层</w:t>
            </w:r>
          </w:p>
        </w:tc>
        <w:tc>
          <w:tcPr>
            <w:tcW w:w="0" w:type="auto"/>
            <w:tcBorders>
              <w:top w:val="single" w:color="000000" w:sz="4" w:space="0"/>
              <w:left w:val="single" w:color="000000" w:sz="4" w:space="0"/>
              <w:bottom w:val="single" w:color="000000" w:sz="4" w:space="0"/>
              <w:right w:val="single" w:color="000000" w:sz="4" w:space="0"/>
            </w:tcBorders>
            <w:shd w:val="clear" w:color="auto" w:fill="D99594" w:themeFill="accent2" w:themeFillTint="99"/>
            <w:vAlign w:val="center"/>
          </w:tcPr>
          <w:p w14:paraId="27F7B495">
            <w:pPr>
              <w:keepNext w:val="0"/>
              <w:keepLines w:val="0"/>
              <w:widowControl/>
              <w:suppressLineNumbers w:val="0"/>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2"/>
                <w:sz w:val="24"/>
                <w:szCs w:val="24"/>
                <w:u w:val="none"/>
                <w:lang w:val="en-US" w:eastAsia="zh-CN" w:bidi="ar"/>
              </w:rPr>
              <w:t>指标层权重</w:t>
            </w:r>
          </w:p>
        </w:tc>
      </w:tr>
      <w:tr w14:paraId="3BBFE3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5"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266AE6A">
            <w:pPr>
              <w:keepNext w:val="0"/>
              <w:keepLines w:val="0"/>
              <w:widowControl/>
              <w:suppressLineNumbers w:val="0"/>
              <w:snapToGrid w:val="0"/>
              <w:jc w:val="center"/>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规划设计阶段</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C03536C">
            <w:pPr>
              <w:keepNext w:val="0"/>
              <w:keepLines w:val="0"/>
              <w:widowControl/>
              <w:suppressLineNumbers w:val="0"/>
              <w:snapToGrid w:val="0"/>
              <w:jc w:val="center"/>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0.367</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40FA0BBD">
            <w:pPr>
              <w:keepNext w:val="0"/>
              <w:keepLines w:val="0"/>
              <w:widowControl/>
              <w:suppressLineNumbers w:val="0"/>
              <w:snapToGrid w:val="0"/>
              <w:jc w:val="center"/>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环境可持续</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4AC8830C">
            <w:pPr>
              <w:keepNext w:val="0"/>
              <w:keepLines w:val="0"/>
              <w:widowControl/>
              <w:suppressLineNumbers w:val="0"/>
              <w:snapToGrid w:val="0"/>
              <w:jc w:val="center"/>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0.455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064DD992">
            <w:pPr>
              <w:keepNext w:val="0"/>
              <w:keepLines w:val="0"/>
              <w:widowControl/>
              <w:suppressLineNumbers w:val="0"/>
              <w:snapToGrid w:val="0"/>
              <w:jc w:val="left"/>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4.2.1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69DD6C1D">
            <w:pPr>
              <w:keepNext w:val="0"/>
              <w:keepLines w:val="0"/>
              <w:widowControl/>
              <w:suppressLineNumbers w:val="0"/>
              <w:snapToGrid w:val="0"/>
              <w:jc w:val="right"/>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 xml:space="preserve">0.072 </w:t>
            </w:r>
          </w:p>
        </w:tc>
      </w:tr>
      <w:tr w14:paraId="1FFD7E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F70C359">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F409DCF">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08F6D46">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ABB1139">
            <w:pPr>
              <w:snapToGrid w:val="0"/>
              <w:jc w:val="center"/>
              <w:rPr>
                <w:rFonts w:hint="default" w:ascii="Segoe UI" w:hAnsi="Segoe UI" w:eastAsia="Segoe UI" w:cs="Segoe UI"/>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282A78C1">
            <w:pPr>
              <w:keepNext w:val="0"/>
              <w:keepLines w:val="0"/>
              <w:widowControl/>
              <w:suppressLineNumbers w:val="0"/>
              <w:snapToGrid w:val="0"/>
              <w:jc w:val="left"/>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4.2.2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4C548962">
            <w:pPr>
              <w:keepNext w:val="0"/>
              <w:keepLines w:val="0"/>
              <w:widowControl/>
              <w:suppressLineNumbers w:val="0"/>
              <w:snapToGrid w:val="0"/>
              <w:jc w:val="right"/>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 xml:space="preserve">0.072 </w:t>
            </w:r>
          </w:p>
        </w:tc>
      </w:tr>
      <w:tr w14:paraId="4727AC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7A66DA8">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BAF551F">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727EB91">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264F171">
            <w:pPr>
              <w:snapToGrid w:val="0"/>
              <w:jc w:val="center"/>
              <w:rPr>
                <w:rFonts w:hint="default" w:ascii="Segoe UI" w:hAnsi="Segoe UI" w:eastAsia="Segoe UI" w:cs="Segoe UI"/>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6ECF701D">
            <w:pPr>
              <w:keepNext w:val="0"/>
              <w:keepLines w:val="0"/>
              <w:widowControl/>
              <w:suppressLineNumbers w:val="0"/>
              <w:snapToGrid w:val="0"/>
              <w:jc w:val="left"/>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4.2.3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151F7CAD">
            <w:pPr>
              <w:keepNext w:val="0"/>
              <w:keepLines w:val="0"/>
              <w:widowControl/>
              <w:suppressLineNumbers w:val="0"/>
              <w:snapToGrid w:val="0"/>
              <w:jc w:val="right"/>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 xml:space="preserve">0.040 </w:t>
            </w:r>
          </w:p>
        </w:tc>
      </w:tr>
      <w:tr w14:paraId="1F1826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BA4240B">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8FA01FD">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700C097">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91F4A56">
            <w:pPr>
              <w:snapToGrid w:val="0"/>
              <w:jc w:val="center"/>
              <w:rPr>
                <w:rFonts w:hint="default" w:ascii="Segoe UI" w:hAnsi="Segoe UI" w:eastAsia="Segoe UI" w:cs="Segoe UI"/>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6C956D3D">
            <w:pPr>
              <w:keepNext w:val="0"/>
              <w:keepLines w:val="0"/>
              <w:widowControl/>
              <w:suppressLineNumbers w:val="0"/>
              <w:snapToGrid w:val="0"/>
              <w:jc w:val="left"/>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4.2.4</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45E6FAD2">
            <w:pPr>
              <w:keepNext w:val="0"/>
              <w:keepLines w:val="0"/>
              <w:widowControl/>
              <w:suppressLineNumbers w:val="0"/>
              <w:snapToGrid w:val="0"/>
              <w:jc w:val="right"/>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 xml:space="preserve">0.040 </w:t>
            </w:r>
          </w:p>
        </w:tc>
      </w:tr>
      <w:tr w14:paraId="6FF207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7655459">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587C65A">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347AC67">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0E05E88">
            <w:pPr>
              <w:snapToGrid w:val="0"/>
              <w:jc w:val="center"/>
              <w:rPr>
                <w:rFonts w:hint="default" w:ascii="Segoe UI" w:hAnsi="Segoe UI" w:eastAsia="Segoe UI" w:cs="Segoe UI"/>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174DEBFD">
            <w:pPr>
              <w:keepNext w:val="0"/>
              <w:keepLines w:val="0"/>
              <w:widowControl/>
              <w:suppressLineNumbers w:val="0"/>
              <w:snapToGrid w:val="0"/>
              <w:jc w:val="left"/>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4.2.5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7C70447D">
            <w:pPr>
              <w:keepNext w:val="0"/>
              <w:keepLines w:val="0"/>
              <w:widowControl/>
              <w:suppressLineNumbers w:val="0"/>
              <w:snapToGrid w:val="0"/>
              <w:jc w:val="right"/>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 xml:space="preserve">0.040 </w:t>
            </w:r>
          </w:p>
        </w:tc>
      </w:tr>
      <w:tr w14:paraId="1B7781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97510F1">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C0626BB">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9D12459">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344DF16">
            <w:pPr>
              <w:snapToGrid w:val="0"/>
              <w:jc w:val="center"/>
              <w:rPr>
                <w:rFonts w:hint="default" w:ascii="Segoe UI" w:hAnsi="Segoe UI" w:eastAsia="Segoe UI" w:cs="Segoe UI"/>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6BD50F28">
            <w:pPr>
              <w:keepNext w:val="0"/>
              <w:keepLines w:val="0"/>
              <w:widowControl/>
              <w:suppressLineNumbers w:val="0"/>
              <w:snapToGrid w:val="0"/>
              <w:jc w:val="left"/>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4.2.6</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415BCD1D">
            <w:pPr>
              <w:keepNext w:val="0"/>
              <w:keepLines w:val="0"/>
              <w:widowControl/>
              <w:suppressLineNumbers w:val="0"/>
              <w:snapToGrid w:val="0"/>
              <w:jc w:val="right"/>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 xml:space="preserve">0.110 </w:t>
            </w:r>
          </w:p>
        </w:tc>
      </w:tr>
      <w:tr w14:paraId="62B7A4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161D848">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6BBE90A">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ED9026D">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8020CE3">
            <w:pPr>
              <w:snapToGrid w:val="0"/>
              <w:jc w:val="center"/>
              <w:rPr>
                <w:rFonts w:hint="default" w:ascii="Segoe UI" w:hAnsi="Segoe UI" w:eastAsia="Segoe UI" w:cs="Segoe UI"/>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414BECF7">
            <w:pPr>
              <w:keepNext w:val="0"/>
              <w:keepLines w:val="0"/>
              <w:widowControl/>
              <w:suppressLineNumbers w:val="0"/>
              <w:snapToGrid w:val="0"/>
              <w:jc w:val="left"/>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4.2.7</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10822FFA">
            <w:pPr>
              <w:keepNext w:val="0"/>
              <w:keepLines w:val="0"/>
              <w:widowControl/>
              <w:suppressLineNumbers w:val="0"/>
              <w:snapToGrid w:val="0"/>
              <w:jc w:val="right"/>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 xml:space="preserve">0.110 </w:t>
            </w:r>
          </w:p>
        </w:tc>
      </w:tr>
      <w:tr w14:paraId="03A083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D11347F">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F3A5FC6">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4EE5DD3">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3A53BE1">
            <w:pPr>
              <w:snapToGrid w:val="0"/>
              <w:jc w:val="center"/>
              <w:rPr>
                <w:rFonts w:hint="default" w:ascii="Segoe UI" w:hAnsi="Segoe UI" w:eastAsia="Segoe UI" w:cs="Segoe UI"/>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2B95ACA6">
            <w:pPr>
              <w:keepNext w:val="0"/>
              <w:keepLines w:val="0"/>
              <w:widowControl/>
              <w:suppressLineNumbers w:val="0"/>
              <w:snapToGrid w:val="0"/>
              <w:jc w:val="left"/>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4.2.10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3C925E53">
            <w:pPr>
              <w:keepNext w:val="0"/>
              <w:keepLines w:val="0"/>
              <w:widowControl/>
              <w:suppressLineNumbers w:val="0"/>
              <w:snapToGrid w:val="0"/>
              <w:jc w:val="right"/>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 xml:space="preserve">0.186 </w:t>
            </w:r>
          </w:p>
        </w:tc>
      </w:tr>
      <w:tr w14:paraId="375071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AFCD398">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410E0C0">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0E3E100">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48D40A1">
            <w:pPr>
              <w:snapToGrid w:val="0"/>
              <w:jc w:val="center"/>
              <w:rPr>
                <w:rFonts w:hint="default" w:ascii="Segoe UI" w:hAnsi="Segoe UI" w:eastAsia="Segoe UI" w:cs="Segoe UI"/>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616EE9EC">
            <w:pPr>
              <w:keepNext w:val="0"/>
              <w:keepLines w:val="0"/>
              <w:widowControl/>
              <w:suppressLineNumbers w:val="0"/>
              <w:snapToGrid w:val="0"/>
              <w:jc w:val="left"/>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4.2.11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7D4E775B">
            <w:pPr>
              <w:keepNext w:val="0"/>
              <w:keepLines w:val="0"/>
              <w:widowControl/>
              <w:suppressLineNumbers w:val="0"/>
              <w:snapToGrid w:val="0"/>
              <w:jc w:val="right"/>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 xml:space="preserve">0.110 </w:t>
            </w:r>
          </w:p>
        </w:tc>
      </w:tr>
      <w:tr w14:paraId="184507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70B8199">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F0FEFDB">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F4686B0">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1F7BF07">
            <w:pPr>
              <w:snapToGrid w:val="0"/>
              <w:jc w:val="center"/>
              <w:rPr>
                <w:rFonts w:hint="default" w:ascii="Segoe UI" w:hAnsi="Segoe UI" w:eastAsia="Segoe UI" w:cs="Segoe UI"/>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5FE4E37D">
            <w:pPr>
              <w:keepNext w:val="0"/>
              <w:keepLines w:val="0"/>
              <w:widowControl/>
              <w:suppressLineNumbers w:val="0"/>
              <w:snapToGrid w:val="0"/>
              <w:jc w:val="left"/>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4.2.12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16EC3207">
            <w:pPr>
              <w:keepNext w:val="0"/>
              <w:keepLines w:val="0"/>
              <w:widowControl/>
              <w:suppressLineNumbers w:val="0"/>
              <w:snapToGrid w:val="0"/>
              <w:jc w:val="right"/>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 xml:space="preserve">0.110 </w:t>
            </w:r>
          </w:p>
        </w:tc>
      </w:tr>
      <w:tr w14:paraId="6A73D9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B9E6DD0">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176775F">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6770652">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145643D">
            <w:pPr>
              <w:snapToGrid w:val="0"/>
              <w:jc w:val="center"/>
              <w:rPr>
                <w:rFonts w:hint="default" w:ascii="Segoe UI" w:hAnsi="Segoe UI" w:eastAsia="Segoe UI" w:cs="Segoe UI"/>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2AC2D72D">
            <w:pPr>
              <w:keepNext w:val="0"/>
              <w:keepLines w:val="0"/>
              <w:widowControl/>
              <w:suppressLineNumbers w:val="0"/>
              <w:snapToGrid w:val="0"/>
              <w:jc w:val="left"/>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4.2.13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09D1328A">
            <w:pPr>
              <w:keepNext w:val="0"/>
              <w:keepLines w:val="0"/>
              <w:widowControl/>
              <w:suppressLineNumbers w:val="0"/>
              <w:snapToGrid w:val="0"/>
              <w:jc w:val="right"/>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 xml:space="preserve">0.110 </w:t>
            </w:r>
          </w:p>
        </w:tc>
      </w:tr>
      <w:tr w14:paraId="2D1BA3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4EE3808">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82FCE6A">
            <w:pPr>
              <w:snapToGrid w:val="0"/>
              <w:jc w:val="center"/>
              <w:rPr>
                <w:rFonts w:hint="default" w:ascii="Segoe UI" w:hAnsi="Segoe UI" w:eastAsia="Segoe UI" w:cs="Segoe UI"/>
                <w:i w:val="0"/>
                <w:iCs w:val="0"/>
                <w:color w:val="000000"/>
                <w:sz w:val="24"/>
                <w:szCs w:val="24"/>
                <w:u w:val="none"/>
              </w:rPr>
            </w:pP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45F50446">
            <w:pPr>
              <w:keepNext w:val="0"/>
              <w:keepLines w:val="0"/>
              <w:widowControl/>
              <w:suppressLineNumbers w:val="0"/>
              <w:snapToGrid w:val="0"/>
              <w:jc w:val="center"/>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资源可持续</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0FBE221">
            <w:pPr>
              <w:keepNext w:val="0"/>
              <w:keepLines w:val="0"/>
              <w:widowControl/>
              <w:suppressLineNumbers w:val="0"/>
              <w:snapToGrid w:val="0"/>
              <w:jc w:val="center"/>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0.297</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6E62430C">
            <w:pPr>
              <w:keepNext w:val="0"/>
              <w:keepLines w:val="0"/>
              <w:widowControl/>
              <w:suppressLineNumbers w:val="0"/>
              <w:snapToGrid w:val="0"/>
              <w:jc w:val="left"/>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5.2.1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4411F72D">
            <w:pPr>
              <w:keepNext w:val="0"/>
              <w:keepLines w:val="0"/>
              <w:widowControl/>
              <w:suppressLineNumbers w:val="0"/>
              <w:snapToGrid w:val="0"/>
              <w:jc w:val="right"/>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 xml:space="preserve">0.330 </w:t>
            </w:r>
          </w:p>
        </w:tc>
      </w:tr>
      <w:tr w14:paraId="41A083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F448E9C">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A162559">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C7AED99">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69231D3">
            <w:pPr>
              <w:snapToGrid w:val="0"/>
              <w:jc w:val="center"/>
              <w:rPr>
                <w:rFonts w:hint="default" w:ascii="Segoe UI" w:hAnsi="Segoe UI" w:eastAsia="Segoe UI" w:cs="Segoe UI"/>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1985ACD4">
            <w:pPr>
              <w:keepNext w:val="0"/>
              <w:keepLines w:val="0"/>
              <w:widowControl/>
              <w:suppressLineNumbers w:val="0"/>
              <w:snapToGrid w:val="0"/>
              <w:jc w:val="left"/>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5.2.2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5835D40C">
            <w:pPr>
              <w:keepNext w:val="0"/>
              <w:keepLines w:val="0"/>
              <w:widowControl/>
              <w:suppressLineNumbers w:val="0"/>
              <w:snapToGrid w:val="0"/>
              <w:jc w:val="right"/>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 xml:space="preserve">0.247 </w:t>
            </w:r>
          </w:p>
        </w:tc>
      </w:tr>
      <w:tr w14:paraId="586A57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A5B334C">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0A2A7E3">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2F06E3A">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3E39650">
            <w:pPr>
              <w:snapToGrid w:val="0"/>
              <w:jc w:val="center"/>
              <w:rPr>
                <w:rFonts w:hint="default" w:ascii="Segoe UI" w:hAnsi="Segoe UI" w:eastAsia="Segoe UI" w:cs="Segoe UI"/>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52AF76AE">
            <w:pPr>
              <w:keepNext w:val="0"/>
              <w:keepLines w:val="0"/>
              <w:widowControl/>
              <w:suppressLineNumbers w:val="0"/>
              <w:snapToGrid w:val="0"/>
              <w:jc w:val="left"/>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5.2.4</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06A2FE6D">
            <w:pPr>
              <w:keepNext w:val="0"/>
              <w:keepLines w:val="0"/>
              <w:widowControl/>
              <w:suppressLineNumbers w:val="0"/>
              <w:snapToGrid w:val="0"/>
              <w:jc w:val="right"/>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 xml:space="preserve">0.129 </w:t>
            </w:r>
          </w:p>
        </w:tc>
      </w:tr>
      <w:tr w14:paraId="4510CE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6F2B0AB">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B7FEA47">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D4828B0">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F16E55D">
            <w:pPr>
              <w:snapToGrid w:val="0"/>
              <w:jc w:val="center"/>
              <w:rPr>
                <w:rFonts w:hint="default" w:ascii="Segoe UI" w:hAnsi="Segoe UI" w:eastAsia="Segoe UI" w:cs="Segoe UI"/>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1DA070C4">
            <w:pPr>
              <w:keepNext w:val="0"/>
              <w:keepLines w:val="0"/>
              <w:widowControl/>
              <w:suppressLineNumbers w:val="0"/>
              <w:snapToGrid w:val="0"/>
              <w:jc w:val="left"/>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5.2.6</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55A61E80">
            <w:pPr>
              <w:keepNext w:val="0"/>
              <w:keepLines w:val="0"/>
              <w:widowControl/>
              <w:suppressLineNumbers w:val="0"/>
              <w:snapToGrid w:val="0"/>
              <w:jc w:val="right"/>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 xml:space="preserve">0.164 </w:t>
            </w:r>
          </w:p>
        </w:tc>
      </w:tr>
      <w:tr w14:paraId="562CDA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C4FF408">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5A2C3F4">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8D128CE">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EBF3CCA">
            <w:pPr>
              <w:snapToGrid w:val="0"/>
              <w:jc w:val="center"/>
              <w:rPr>
                <w:rFonts w:hint="default" w:ascii="Segoe UI" w:hAnsi="Segoe UI" w:eastAsia="Segoe UI" w:cs="Segoe UI"/>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688B47F5">
            <w:pPr>
              <w:keepNext w:val="0"/>
              <w:keepLines w:val="0"/>
              <w:widowControl/>
              <w:suppressLineNumbers w:val="0"/>
              <w:snapToGrid w:val="0"/>
              <w:jc w:val="left"/>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5.2.7</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5A8CF059">
            <w:pPr>
              <w:keepNext w:val="0"/>
              <w:keepLines w:val="0"/>
              <w:widowControl/>
              <w:suppressLineNumbers w:val="0"/>
              <w:snapToGrid w:val="0"/>
              <w:jc w:val="right"/>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 xml:space="preserve">0.129 </w:t>
            </w:r>
          </w:p>
        </w:tc>
      </w:tr>
      <w:tr w14:paraId="57B6CF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CAD3C0C">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3F647C0">
            <w:pPr>
              <w:snapToGrid w:val="0"/>
              <w:jc w:val="center"/>
              <w:rPr>
                <w:rFonts w:hint="default" w:ascii="Segoe UI" w:hAnsi="Segoe UI" w:eastAsia="Segoe UI" w:cs="Segoe UI"/>
                <w:i w:val="0"/>
                <w:iCs w:val="0"/>
                <w:color w:val="000000"/>
                <w:sz w:val="24"/>
                <w:szCs w:val="24"/>
                <w:u w:val="none"/>
              </w:rPr>
            </w:pP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405351F">
            <w:pPr>
              <w:keepNext w:val="0"/>
              <w:keepLines w:val="0"/>
              <w:widowControl/>
              <w:suppressLineNumbers w:val="0"/>
              <w:snapToGrid w:val="0"/>
              <w:jc w:val="center"/>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社会可持续</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43D5E594">
            <w:pPr>
              <w:keepNext w:val="0"/>
              <w:keepLines w:val="0"/>
              <w:widowControl/>
              <w:suppressLineNumbers w:val="0"/>
              <w:snapToGrid w:val="0"/>
              <w:jc w:val="center"/>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0.143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38E01429">
            <w:pPr>
              <w:keepNext w:val="0"/>
              <w:keepLines w:val="0"/>
              <w:widowControl/>
              <w:suppressLineNumbers w:val="0"/>
              <w:snapToGrid w:val="0"/>
              <w:jc w:val="left"/>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6.2.9</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33806DB7">
            <w:pPr>
              <w:keepNext w:val="0"/>
              <w:keepLines w:val="0"/>
              <w:widowControl/>
              <w:suppressLineNumbers w:val="0"/>
              <w:snapToGrid w:val="0"/>
              <w:jc w:val="right"/>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 xml:space="preserve">0.379 </w:t>
            </w:r>
          </w:p>
        </w:tc>
      </w:tr>
      <w:tr w14:paraId="12ABAB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DD789B1">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75647A5">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F92F45B">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AE4AE77">
            <w:pPr>
              <w:snapToGrid w:val="0"/>
              <w:jc w:val="center"/>
              <w:rPr>
                <w:rFonts w:hint="default" w:ascii="Segoe UI" w:hAnsi="Segoe UI" w:eastAsia="Segoe UI" w:cs="Segoe UI"/>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61933C8E">
            <w:pPr>
              <w:keepNext w:val="0"/>
              <w:keepLines w:val="0"/>
              <w:widowControl/>
              <w:suppressLineNumbers w:val="0"/>
              <w:snapToGrid w:val="0"/>
              <w:jc w:val="left"/>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6.2.10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24E68569">
            <w:pPr>
              <w:keepNext w:val="0"/>
              <w:keepLines w:val="0"/>
              <w:widowControl/>
              <w:suppressLineNumbers w:val="0"/>
              <w:snapToGrid w:val="0"/>
              <w:jc w:val="right"/>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 xml:space="preserve">0.331 </w:t>
            </w:r>
          </w:p>
        </w:tc>
      </w:tr>
      <w:tr w14:paraId="02AF86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CEF8DC7">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E518C54">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DF4D4A3">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750C721">
            <w:pPr>
              <w:snapToGrid w:val="0"/>
              <w:jc w:val="center"/>
              <w:rPr>
                <w:rFonts w:hint="default" w:ascii="Segoe UI" w:hAnsi="Segoe UI" w:eastAsia="Segoe UI" w:cs="Segoe UI"/>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5FC749FB">
            <w:pPr>
              <w:keepNext w:val="0"/>
              <w:keepLines w:val="0"/>
              <w:widowControl/>
              <w:suppressLineNumbers w:val="0"/>
              <w:snapToGrid w:val="0"/>
              <w:jc w:val="left"/>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6.2.12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51B9ADBA">
            <w:pPr>
              <w:keepNext w:val="0"/>
              <w:keepLines w:val="0"/>
              <w:widowControl/>
              <w:suppressLineNumbers w:val="0"/>
              <w:snapToGrid w:val="0"/>
              <w:jc w:val="right"/>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 xml:space="preserve">0.290 </w:t>
            </w:r>
          </w:p>
        </w:tc>
      </w:tr>
      <w:tr w14:paraId="7C616F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31DE751">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DF53DE2">
            <w:pPr>
              <w:snapToGrid w:val="0"/>
              <w:jc w:val="center"/>
              <w:rPr>
                <w:rFonts w:hint="default" w:ascii="Segoe UI" w:hAnsi="Segoe UI" w:eastAsia="Segoe UI" w:cs="Segoe UI"/>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5302DF64">
            <w:pPr>
              <w:keepNext w:val="0"/>
              <w:keepLines w:val="0"/>
              <w:widowControl/>
              <w:suppressLineNumbers w:val="0"/>
              <w:snapToGrid w:val="0"/>
              <w:jc w:val="left"/>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治理可持续</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0F88E637">
            <w:pPr>
              <w:keepNext w:val="0"/>
              <w:keepLines w:val="0"/>
              <w:widowControl/>
              <w:suppressLineNumbers w:val="0"/>
              <w:snapToGrid w:val="0"/>
              <w:jc w:val="center"/>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0.105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20F817EC">
            <w:pPr>
              <w:keepNext w:val="0"/>
              <w:keepLines w:val="0"/>
              <w:widowControl/>
              <w:suppressLineNumbers w:val="0"/>
              <w:snapToGrid w:val="0"/>
              <w:jc w:val="left"/>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7.2.7</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7969A901">
            <w:pPr>
              <w:keepNext w:val="0"/>
              <w:keepLines w:val="0"/>
              <w:widowControl/>
              <w:suppressLineNumbers w:val="0"/>
              <w:snapToGrid w:val="0"/>
              <w:jc w:val="right"/>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 xml:space="preserve">1.000 </w:t>
            </w:r>
          </w:p>
        </w:tc>
      </w:tr>
      <w:tr w14:paraId="7A3EF8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8402632">
            <w:pPr>
              <w:keepNext w:val="0"/>
              <w:keepLines w:val="0"/>
              <w:widowControl/>
              <w:suppressLineNumbers w:val="0"/>
              <w:snapToGrid w:val="0"/>
              <w:jc w:val="center"/>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施工建造阶段</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5007CDB3">
            <w:pPr>
              <w:keepNext w:val="0"/>
              <w:keepLines w:val="0"/>
              <w:widowControl/>
              <w:suppressLineNumbers w:val="0"/>
              <w:snapToGrid w:val="0"/>
              <w:jc w:val="center"/>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0.266</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54C9C12D">
            <w:pPr>
              <w:keepNext w:val="0"/>
              <w:keepLines w:val="0"/>
              <w:widowControl/>
              <w:suppressLineNumbers w:val="0"/>
              <w:snapToGrid w:val="0"/>
              <w:jc w:val="center"/>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环境可持续</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ECB7FB2">
            <w:pPr>
              <w:keepNext w:val="0"/>
              <w:keepLines w:val="0"/>
              <w:widowControl/>
              <w:suppressLineNumbers w:val="0"/>
              <w:snapToGrid w:val="0"/>
              <w:jc w:val="center"/>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0.284</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7507646E">
            <w:pPr>
              <w:keepNext w:val="0"/>
              <w:keepLines w:val="0"/>
              <w:widowControl/>
              <w:suppressLineNumbers w:val="0"/>
              <w:snapToGrid w:val="0"/>
              <w:jc w:val="left"/>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4.2.1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0F1741C5">
            <w:pPr>
              <w:keepNext w:val="0"/>
              <w:keepLines w:val="0"/>
              <w:widowControl/>
              <w:suppressLineNumbers w:val="0"/>
              <w:snapToGrid w:val="0"/>
              <w:jc w:val="right"/>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 xml:space="preserve">0.069 </w:t>
            </w:r>
          </w:p>
        </w:tc>
      </w:tr>
      <w:tr w14:paraId="5D4FA8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D52BC21">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20A42E5">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69EC643">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9BBDBA0">
            <w:pPr>
              <w:snapToGrid w:val="0"/>
              <w:jc w:val="center"/>
              <w:rPr>
                <w:rFonts w:hint="default" w:ascii="Segoe UI" w:hAnsi="Segoe UI" w:eastAsia="Segoe UI" w:cs="Segoe UI"/>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0A42CABF">
            <w:pPr>
              <w:keepNext w:val="0"/>
              <w:keepLines w:val="0"/>
              <w:widowControl/>
              <w:suppressLineNumbers w:val="0"/>
              <w:snapToGrid w:val="0"/>
              <w:jc w:val="left"/>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4.2.2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53C98210">
            <w:pPr>
              <w:keepNext w:val="0"/>
              <w:keepLines w:val="0"/>
              <w:widowControl/>
              <w:suppressLineNumbers w:val="0"/>
              <w:snapToGrid w:val="0"/>
              <w:jc w:val="right"/>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 xml:space="preserve">0.069 </w:t>
            </w:r>
          </w:p>
        </w:tc>
      </w:tr>
      <w:tr w14:paraId="722090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812644C">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8386AA1">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B053B9D">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0D949ED">
            <w:pPr>
              <w:snapToGrid w:val="0"/>
              <w:jc w:val="center"/>
              <w:rPr>
                <w:rFonts w:hint="default" w:ascii="Segoe UI" w:hAnsi="Segoe UI" w:eastAsia="Segoe UI" w:cs="Segoe UI"/>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1D3F483D">
            <w:pPr>
              <w:keepNext w:val="0"/>
              <w:keepLines w:val="0"/>
              <w:widowControl/>
              <w:suppressLineNumbers w:val="0"/>
              <w:snapToGrid w:val="0"/>
              <w:jc w:val="left"/>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4.2.3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4D6937ED">
            <w:pPr>
              <w:keepNext w:val="0"/>
              <w:keepLines w:val="0"/>
              <w:widowControl/>
              <w:suppressLineNumbers w:val="0"/>
              <w:snapToGrid w:val="0"/>
              <w:jc w:val="right"/>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 xml:space="preserve">0.069 </w:t>
            </w:r>
          </w:p>
        </w:tc>
      </w:tr>
      <w:tr w14:paraId="3E378B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376EA43">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82CEFAB">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DD263F0">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695E8BB">
            <w:pPr>
              <w:snapToGrid w:val="0"/>
              <w:jc w:val="center"/>
              <w:rPr>
                <w:rFonts w:hint="default" w:ascii="Segoe UI" w:hAnsi="Segoe UI" w:eastAsia="Segoe UI" w:cs="Segoe UI"/>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0914FB41">
            <w:pPr>
              <w:keepNext w:val="0"/>
              <w:keepLines w:val="0"/>
              <w:widowControl/>
              <w:suppressLineNumbers w:val="0"/>
              <w:snapToGrid w:val="0"/>
              <w:jc w:val="left"/>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4.2.4</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39D8B4FE">
            <w:pPr>
              <w:keepNext w:val="0"/>
              <w:keepLines w:val="0"/>
              <w:widowControl/>
              <w:suppressLineNumbers w:val="0"/>
              <w:snapToGrid w:val="0"/>
              <w:jc w:val="right"/>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 xml:space="preserve">0.069 </w:t>
            </w:r>
          </w:p>
        </w:tc>
      </w:tr>
      <w:tr w14:paraId="25BBC3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937194C">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A66D80F">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5FE8145">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DA1AE50">
            <w:pPr>
              <w:snapToGrid w:val="0"/>
              <w:jc w:val="center"/>
              <w:rPr>
                <w:rFonts w:hint="default" w:ascii="Segoe UI" w:hAnsi="Segoe UI" w:eastAsia="Segoe UI" w:cs="Segoe UI"/>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4BF30522">
            <w:pPr>
              <w:keepNext w:val="0"/>
              <w:keepLines w:val="0"/>
              <w:widowControl/>
              <w:suppressLineNumbers w:val="0"/>
              <w:snapToGrid w:val="0"/>
              <w:jc w:val="left"/>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4.2.5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405133B5">
            <w:pPr>
              <w:keepNext w:val="0"/>
              <w:keepLines w:val="0"/>
              <w:widowControl/>
              <w:suppressLineNumbers w:val="0"/>
              <w:snapToGrid w:val="0"/>
              <w:jc w:val="right"/>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 xml:space="preserve">0.069 </w:t>
            </w:r>
          </w:p>
        </w:tc>
      </w:tr>
      <w:tr w14:paraId="135F24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FF3F51F">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F82DB53">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765E844">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0348DD3">
            <w:pPr>
              <w:snapToGrid w:val="0"/>
              <w:jc w:val="center"/>
              <w:rPr>
                <w:rFonts w:hint="default" w:ascii="Segoe UI" w:hAnsi="Segoe UI" w:eastAsia="Segoe UI" w:cs="Segoe UI"/>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135C5463">
            <w:pPr>
              <w:keepNext w:val="0"/>
              <w:keepLines w:val="0"/>
              <w:widowControl/>
              <w:suppressLineNumbers w:val="0"/>
              <w:snapToGrid w:val="0"/>
              <w:jc w:val="left"/>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4.2.6</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44FD0526">
            <w:pPr>
              <w:keepNext w:val="0"/>
              <w:keepLines w:val="0"/>
              <w:widowControl/>
              <w:suppressLineNumbers w:val="0"/>
              <w:snapToGrid w:val="0"/>
              <w:jc w:val="right"/>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 xml:space="preserve">0.085 </w:t>
            </w:r>
          </w:p>
        </w:tc>
      </w:tr>
      <w:tr w14:paraId="743AD5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78CADFB">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860F541">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4CC62D1">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DDF6217">
            <w:pPr>
              <w:snapToGrid w:val="0"/>
              <w:jc w:val="center"/>
              <w:rPr>
                <w:rFonts w:hint="default" w:ascii="Segoe UI" w:hAnsi="Segoe UI" w:eastAsia="Segoe UI" w:cs="Segoe UI"/>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4D1B45DC">
            <w:pPr>
              <w:keepNext w:val="0"/>
              <w:keepLines w:val="0"/>
              <w:widowControl/>
              <w:suppressLineNumbers w:val="0"/>
              <w:snapToGrid w:val="0"/>
              <w:jc w:val="left"/>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4.2.7</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6DC871E5">
            <w:pPr>
              <w:keepNext w:val="0"/>
              <w:keepLines w:val="0"/>
              <w:widowControl/>
              <w:suppressLineNumbers w:val="0"/>
              <w:snapToGrid w:val="0"/>
              <w:jc w:val="right"/>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 xml:space="preserve">0.071 </w:t>
            </w:r>
          </w:p>
        </w:tc>
      </w:tr>
      <w:tr w14:paraId="7CE82A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7522E1F">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F1020CD">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2EB08A9">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C1322EE">
            <w:pPr>
              <w:snapToGrid w:val="0"/>
              <w:jc w:val="center"/>
              <w:rPr>
                <w:rFonts w:hint="default" w:ascii="Segoe UI" w:hAnsi="Segoe UI" w:eastAsia="Segoe UI" w:cs="Segoe UI"/>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163F8FED">
            <w:pPr>
              <w:keepNext w:val="0"/>
              <w:keepLines w:val="0"/>
              <w:widowControl/>
              <w:suppressLineNumbers w:val="0"/>
              <w:snapToGrid w:val="0"/>
              <w:jc w:val="left"/>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4.2.9</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46429117">
            <w:pPr>
              <w:keepNext w:val="0"/>
              <w:keepLines w:val="0"/>
              <w:widowControl/>
              <w:suppressLineNumbers w:val="0"/>
              <w:snapToGrid w:val="0"/>
              <w:jc w:val="right"/>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 xml:space="preserve">0.143 </w:t>
            </w:r>
          </w:p>
        </w:tc>
      </w:tr>
      <w:tr w14:paraId="55667D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DDB1558">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5C0AFA3">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EE742C0">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21F7FF5">
            <w:pPr>
              <w:snapToGrid w:val="0"/>
              <w:jc w:val="center"/>
              <w:rPr>
                <w:rFonts w:hint="default" w:ascii="Segoe UI" w:hAnsi="Segoe UI" w:eastAsia="Segoe UI" w:cs="Segoe UI"/>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57AF7DC4">
            <w:pPr>
              <w:keepNext w:val="0"/>
              <w:keepLines w:val="0"/>
              <w:widowControl/>
              <w:suppressLineNumbers w:val="0"/>
              <w:snapToGrid w:val="0"/>
              <w:jc w:val="left"/>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4.2.10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32D3E316">
            <w:pPr>
              <w:keepNext w:val="0"/>
              <w:keepLines w:val="0"/>
              <w:widowControl/>
              <w:suppressLineNumbers w:val="0"/>
              <w:snapToGrid w:val="0"/>
              <w:jc w:val="right"/>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 xml:space="preserve">0.143 </w:t>
            </w:r>
          </w:p>
        </w:tc>
      </w:tr>
      <w:tr w14:paraId="1E1D7E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35705DC">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C2F97E4">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C75E3D2">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889E838">
            <w:pPr>
              <w:snapToGrid w:val="0"/>
              <w:jc w:val="center"/>
              <w:rPr>
                <w:rFonts w:hint="default" w:ascii="Segoe UI" w:hAnsi="Segoe UI" w:eastAsia="Segoe UI" w:cs="Segoe UI"/>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0C1F3770">
            <w:pPr>
              <w:keepNext w:val="0"/>
              <w:keepLines w:val="0"/>
              <w:widowControl/>
              <w:suppressLineNumbers w:val="0"/>
              <w:snapToGrid w:val="0"/>
              <w:jc w:val="left"/>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4.2.11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566B88C4">
            <w:pPr>
              <w:keepNext w:val="0"/>
              <w:keepLines w:val="0"/>
              <w:widowControl/>
              <w:suppressLineNumbers w:val="0"/>
              <w:snapToGrid w:val="0"/>
              <w:jc w:val="right"/>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 xml:space="preserve">0.071 </w:t>
            </w:r>
          </w:p>
        </w:tc>
      </w:tr>
      <w:tr w14:paraId="7049D2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5DD7E1B">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9CF0EBE">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0AADE48">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97F62F7">
            <w:pPr>
              <w:snapToGrid w:val="0"/>
              <w:jc w:val="center"/>
              <w:rPr>
                <w:rFonts w:hint="default" w:ascii="Segoe UI" w:hAnsi="Segoe UI" w:eastAsia="Segoe UI" w:cs="Segoe UI"/>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280B3FF9">
            <w:pPr>
              <w:keepNext w:val="0"/>
              <w:keepLines w:val="0"/>
              <w:widowControl/>
              <w:suppressLineNumbers w:val="0"/>
              <w:snapToGrid w:val="0"/>
              <w:jc w:val="left"/>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4.2.12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2F6FD55F">
            <w:pPr>
              <w:keepNext w:val="0"/>
              <w:keepLines w:val="0"/>
              <w:widowControl/>
              <w:suppressLineNumbers w:val="0"/>
              <w:snapToGrid w:val="0"/>
              <w:jc w:val="right"/>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 xml:space="preserve">0.071 </w:t>
            </w:r>
          </w:p>
        </w:tc>
      </w:tr>
      <w:tr w14:paraId="5BD309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3AD50E8">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20E4788">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7A11160">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DBE5B09">
            <w:pPr>
              <w:snapToGrid w:val="0"/>
              <w:jc w:val="center"/>
              <w:rPr>
                <w:rFonts w:hint="default" w:ascii="Segoe UI" w:hAnsi="Segoe UI" w:eastAsia="Segoe UI" w:cs="Segoe UI"/>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0A4F4CA6">
            <w:pPr>
              <w:keepNext w:val="0"/>
              <w:keepLines w:val="0"/>
              <w:widowControl/>
              <w:suppressLineNumbers w:val="0"/>
              <w:snapToGrid w:val="0"/>
              <w:jc w:val="left"/>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4.2.13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69EA2DB6">
            <w:pPr>
              <w:keepNext w:val="0"/>
              <w:keepLines w:val="0"/>
              <w:widowControl/>
              <w:suppressLineNumbers w:val="0"/>
              <w:snapToGrid w:val="0"/>
              <w:jc w:val="right"/>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 xml:space="preserve">0.071 </w:t>
            </w:r>
          </w:p>
        </w:tc>
      </w:tr>
      <w:tr w14:paraId="4424BF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A55C099">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A2FE093">
            <w:pPr>
              <w:snapToGrid w:val="0"/>
              <w:jc w:val="center"/>
              <w:rPr>
                <w:rFonts w:hint="default" w:ascii="Segoe UI" w:hAnsi="Segoe UI" w:eastAsia="Segoe UI" w:cs="Segoe UI"/>
                <w:i w:val="0"/>
                <w:iCs w:val="0"/>
                <w:color w:val="000000"/>
                <w:sz w:val="24"/>
                <w:szCs w:val="24"/>
                <w:u w:val="none"/>
              </w:rPr>
            </w:pP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46F28DD1">
            <w:pPr>
              <w:keepNext w:val="0"/>
              <w:keepLines w:val="0"/>
              <w:widowControl/>
              <w:suppressLineNumbers w:val="0"/>
              <w:snapToGrid w:val="0"/>
              <w:jc w:val="center"/>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资源可持续</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E5C5431">
            <w:pPr>
              <w:keepNext w:val="0"/>
              <w:keepLines w:val="0"/>
              <w:widowControl/>
              <w:suppressLineNumbers w:val="0"/>
              <w:snapToGrid w:val="0"/>
              <w:jc w:val="center"/>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0.317</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25CC1EC9">
            <w:pPr>
              <w:keepNext w:val="0"/>
              <w:keepLines w:val="0"/>
              <w:widowControl/>
              <w:suppressLineNumbers w:val="0"/>
              <w:snapToGrid w:val="0"/>
              <w:jc w:val="left"/>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5.2.1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073BF7A8">
            <w:pPr>
              <w:keepNext w:val="0"/>
              <w:keepLines w:val="0"/>
              <w:widowControl/>
              <w:suppressLineNumbers w:val="0"/>
              <w:snapToGrid w:val="0"/>
              <w:jc w:val="right"/>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 xml:space="preserve">0.177 </w:t>
            </w:r>
          </w:p>
        </w:tc>
      </w:tr>
      <w:tr w14:paraId="3D270B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3DFD095">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BF4C9BF">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78F64C4">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D3A9AD4">
            <w:pPr>
              <w:snapToGrid w:val="0"/>
              <w:jc w:val="center"/>
              <w:rPr>
                <w:rFonts w:hint="default" w:ascii="Segoe UI" w:hAnsi="Segoe UI" w:eastAsia="Segoe UI" w:cs="Segoe UI"/>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3B09EF2D">
            <w:pPr>
              <w:keepNext w:val="0"/>
              <w:keepLines w:val="0"/>
              <w:widowControl/>
              <w:suppressLineNumbers w:val="0"/>
              <w:snapToGrid w:val="0"/>
              <w:jc w:val="left"/>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5.2.2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285A9598">
            <w:pPr>
              <w:keepNext w:val="0"/>
              <w:keepLines w:val="0"/>
              <w:widowControl/>
              <w:suppressLineNumbers w:val="0"/>
              <w:snapToGrid w:val="0"/>
              <w:jc w:val="right"/>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 xml:space="preserve">0.096 </w:t>
            </w:r>
          </w:p>
        </w:tc>
      </w:tr>
      <w:tr w14:paraId="650559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4923143">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75D6789">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6B13B1D">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67FF312">
            <w:pPr>
              <w:snapToGrid w:val="0"/>
              <w:jc w:val="center"/>
              <w:rPr>
                <w:rFonts w:hint="default" w:ascii="Segoe UI" w:hAnsi="Segoe UI" w:eastAsia="Segoe UI" w:cs="Segoe UI"/>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624DA8E8">
            <w:pPr>
              <w:keepNext w:val="0"/>
              <w:keepLines w:val="0"/>
              <w:widowControl/>
              <w:suppressLineNumbers w:val="0"/>
              <w:snapToGrid w:val="0"/>
              <w:jc w:val="left"/>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5.2.3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46F9272F">
            <w:pPr>
              <w:keepNext w:val="0"/>
              <w:keepLines w:val="0"/>
              <w:widowControl/>
              <w:suppressLineNumbers w:val="0"/>
              <w:snapToGrid w:val="0"/>
              <w:jc w:val="right"/>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 xml:space="preserve">0.127 </w:t>
            </w:r>
          </w:p>
        </w:tc>
      </w:tr>
      <w:tr w14:paraId="6CFBF3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CF02116">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5852BC5">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AEACBCF">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ED7D790">
            <w:pPr>
              <w:snapToGrid w:val="0"/>
              <w:jc w:val="center"/>
              <w:rPr>
                <w:rFonts w:hint="default" w:ascii="Segoe UI" w:hAnsi="Segoe UI" w:eastAsia="Segoe UI" w:cs="Segoe UI"/>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7C63E254">
            <w:pPr>
              <w:keepNext w:val="0"/>
              <w:keepLines w:val="0"/>
              <w:widowControl/>
              <w:suppressLineNumbers w:val="0"/>
              <w:snapToGrid w:val="0"/>
              <w:jc w:val="left"/>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5.2.4</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06C3C724">
            <w:pPr>
              <w:keepNext w:val="0"/>
              <w:keepLines w:val="0"/>
              <w:widowControl/>
              <w:suppressLineNumbers w:val="0"/>
              <w:snapToGrid w:val="0"/>
              <w:jc w:val="right"/>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 xml:space="preserve">0.192 </w:t>
            </w:r>
          </w:p>
        </w:tc>
      </w:tr>
      <w:tr w14:paraId="7EE9E2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113A8BA">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5654E45">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B66D476">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EE0E538">
            <w:pPr>
              <w:snapToGrid w:val="0"/>
              <w:jc w:val="center"/>
              <w:rPr>
                <w:rFonts w:hint="default" w:ascii="Segoe UI" w:hAnsi="Segoe UI" w:eastAsia="Segoe UI" w:cs="Segoe UI"/>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78B33FFB">
            <w:pPr>
              <w:keepNext w:val="0"/>
              <w:keepLines w:val="0"/>
              <w:widowControl/>
              <w:suppressLineNumbers w:val="0"/>
              <w:snapToGrid w:val="0"/>
              <w:jc w:val="left"/>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5.2.5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563D88CB">
            <w:pPr>
              <w:keepNext w:val="0"/>
              <w:keepLines w:val="0"/>
              <w:widowControl/>
              <w:suppressLineNumbers w:val="0"/>
              <w:snapToGrid w:val="0"/>
              <w:jc w:val="right"/>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 xml:space="preserve">0.094 </w:t>
            </w:r>
          </w:p>
        </w:tc>
      </w:tr>
      <w:tr w14:paraId="0240C4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9520824">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ED0D258">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BE0CABD">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8013A78">
            <w:pPr>
              <w:snapToGrid w:val="0"/>
              <w:jc w:val="center"/>
              <w:rPr>
                <w:rFonts w:hint="default" w:ascii="Segoe UI" w:hAnsi="Segoe UI" w:eastAsia="Segoe UI" w:cs="Segoe UI"/>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4D4B3C24">
            <w:pPr>
              <w:keepNext w:val="0"/>
              <w:keepLines w:val="0"/>
              <w:widowControl/>
              <w:suppressLineNumbers w:val="0"/>
              <w:snapToGrid w:val="0"/>
              <w:jc w:val="left"/>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5.2.6</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0B28AC23">
            <w:pPr>
              <w:keepNext w:val="0"/>
              <w:keepLines w:val="0"/>
              <w:widowControl/>
              <w:suppressLineNumbers w:val="0"/>
              <w:snapToGrid w:val="0"/>
              <w:jc w:val="right"/>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 xml:space="preserve">0.080 </w:t>
            </w:r>
          </w:p>
        </w:tc>
      </w:tr>
      <w:tr w14:paraId="1FC737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828CD76">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C77DECD">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24C3435">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355B11C">
            <w:pPr>
              <w:snapToGrid w:val="0"/>
              <w:jc w:val="center"/>
              <w:rPr>
                <w:rFonts w:hint="default" w:ascii="Segoe UI" w:hAnsi="Segoe UI" w:eastAsia="Segoe UI" w:cs="Segoe UI"/>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1CFB9C0F">
            <w:pPr>
              <w:keepNext w:val="0"/>
              <w:keepLines w:val="0"/>
              <w:widowControl/>
              <w:suppressLineNumbers w:val="0"/>
              <w:snapToGrid w:val="0"/>
              <w:jc w:val="left"/>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5.2.7</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3CB777D6">
            <w:pPr>
              <w:keepNext w:val="0"/>
              <w:keepLines w:val="0"/>
              <w:widowControl/>
              <w:suppressLineNumbers w:val="0"/>
              <w:snapToGrid w:val="0"/>
              <w:jc w:val="right"/>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 xml:space="preserve">0.183 </w:t>
            </w:r>
          </w:p>
        </w:tc>
      </w:tr>
      <w:tr w14:paraId="17DF24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F62F4BF">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1FEE95A">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C939A93">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9EE9FDD">
            <w:pPr>
              <w:snapToGrid w:val="0"/>
              <w:jc w:val="center"/>
              <w:rPr>
                <w:rFonts w:hint="default" w:ascii="Segoe UI" w:hAnsi="Segoe UI" w:eastAsia="Segoe UI" w:cs="Segoe UI"/>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4FC7C4CC">
            <w:pPr>
              <w:keepNext w:val="0"/>
              <w:keepLines w:val="0"/>
              <w:widowControl/>
              <w:suppressLineNumbers w:val="0"/>
              <w:snapToGrid w:val="0"/>
              <w:jc w:val="left"/>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5.2.8</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7864B7D3">
            <w:pPr>
              <w:keepNext w:val="0"/>
              <w:keepLines w:val="0"/>
              <w:widowControl/>
              <w:suppressLineNumbers w:val="0"/>
              <w:snapToGrid w:val="0"/>
              <w:jc w:val="right"/>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 xml:space="preserve">0.051 </w:t>
            </w:r>
          </w:p>
        </w:tc>
      </w:tr>
      <w:tr w14:paraId="0F398E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E7CB757">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648065D">
            <w:pPr>
              <w:snapToGrid w:val="0"/>
              <w:jc w:val="center"/>
              <w:rPr>
                <w:rFonts w:hint="default" w:ascii="Segoe UI" w:hAnsi="Segoe UI" w:eastAsia="Segoe UI" w:cs="Segoe UI"/>
                <w:i w:val="0"/>
                <w:iCs w:val="0"/>
                <w:color w:val="000000"/>
                <w:sz w:val="24"/>
                <w:szCs w:val="24"/>
                <w:u w:val="none"/>
              </w:rPr>
            </w:pP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3F145AC">
            <w:pPr>
              <w:keepNext w:val="0"/>
              <w:keepLines w:val="0"/>
              <w:widowControl/>
              <w:suppressLineNumbers w:val="0"/>
              <w:snapToGrid w:val="0"/>
              <w:jc w:val="center"/>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社会可持续</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BCAE450">
            <w:pPr>
              <w:keepNext w:val="0"/>
              <w:keepLines w:val="0"/>
              <w:widowControl/>
              <w:suppressLineNumbers w:val="0"/>
              <w:snapToGrid w:val="0"/>
              <w:jc w:val="center"/>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0.218</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41731AE9">
            <w:pPr>
              <w:keepNext w:val="0"/>
              <w:keepLines w:val="0"/>
              <w:widowControl/>
              <w:suppressLineNumbers w:val="0"/>
              <w:snapToGrid w:val="0"/>
              <w:jc w:val="left"/>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6.2.3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70A3FACD">
            <w:pPr>
              <w:keepNext w:val="0"/>
              <w:keepLines w:val="0"/>
              <w:widowControl/>
              <w:suppressLineNumbers w:val="0"/>
              <w:snapToGrid w:val="0"/>
              <w:jc w:val="right"/>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 xml:space="preserve">0.175 </w:t>
            </w:r>
          </w:p>
        </w:tc>
      </w:tr>
      <w:tr w14:paraId="0F952B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B9F0A7C">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1429D2A">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DDE55F9">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9C1B8C5">
            <w:pPr>
              <w:snapToGrid w:val="0"/>
              <w:jc w:val="center"/>
              <w:rPr>
                <w:rFonts w:hint="default" w:ascii="Segoe UI" w:hAnsi="Segoe UI" w:eastAsia="Segoe UI" w:cs="Segoe UI"/>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5A4592C1">
            <w:pPr>
              <w:keepNext w:val="0"/>
              <w:keepLines w:val="0"/>
              <w:widowControl/>
              <w:suppressLineNumbers w:val="0"/>
              <w:snapToGrid w:val="0"/>
              <w:jc w:val="left"/>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6.2.4</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38F45210">
            <w:pPr>
              <w:keepNext w:val="0"/>
              <w:keepLines w:val="0"/>
              <w:widowControl/>
              <w:suppressLineNumbers w:val="0"/>
              <w:snapToGrid w:val="0"/>
              <w:jc w:val="right"/>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 xml:space="preserve">0.100 </w:t>
            </w:r>
          </w:p>
        </w:tc>
      </w:tr>
      <w:tr w14:paraId="0F789C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10BE2DA">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EA8AE39">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BF313B0">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C089B4A">
            <w:pPr>
              <w:snapToGrid w:val="0"/>
              <w:jc w:val="center"/>
              <w:rPr>
                <w:rFonts w:hint="default" w:ascii="Segoe UI" w:hAnsi="Segoe UI" w:eastAsia="Segoe UI" w:cs="Segoe UI"/>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1265D4D8">
            <w:pPr>
              <w:keepNext w:val="0"/>
              <w:keepLines w:val="0"/>
              <w:widowControl/>
              <w:suppressLineNumbers w:val="0"/>
              <w:snapToGrid w:val="0"/>
              <w:jc w:val="left"/>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6.2.6</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717BCBBE">
            <w:pPr>
              <w:keepNext w:val="0"/>
              <w:keepLines w:val="0"/>
              <w:widowControl/>
              <w:suppressLineNumbers w:val="0"/>
              <w:snapToGrid w:val="0"/>
              <w:jc w:val="right"/>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 xml:space="preserve">0.155 </w:t>
            </w:r>
          </w:p>
        </w:tc>
      </w:tr>
      <w:tr w14:paraId="07E1B2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4C859AF">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D5B1EEC">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E7B693B">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1BFC91E">
            <w:pPr>
              <w:snapToGrid w:val="0"/>
              <w:jc w:val="center"/>
              <w:rPr>
                <w:rFonts w:hint="default" w:ascii="Segoe UI" w:hAnsi="Segoe UI" w:eastAsia="Segoe UI" w:cs="Segoe UI"/>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25631064">
            <w:pPr>
              <w:keepNext w:val="0"/>
              <w:keepLines w:val="0"/>
              <w:widowControl/>
              <w:suppressLineNumbers w:val="0"/>
              <w:snapToGrid w:val="0"/>
              <w:jc w:val="left"/>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6.2.7</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4499F643">
            <w:pPr>
              <w:keepNext w:val="0"/>
              <w:keepLines w:val="0"/>
              <w:widowControl/>
              <w:suppressLineNumbers w:val="0"/>
              <w:snapToGrid w:val="0"/>
              <w:jc w:val="right"/>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 xml:space="preserve">0.175 </w:t>
            </w:r>
          </w:p>
        </w:tc>
      </w:tr>
      <w:tr w14:paraId="31F4B0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0E1DF8B">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A5B53AA">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B325643">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8F84F92">
            <w:pPr>
              <w:snapToGrid w:val="0"/>
              <w:jc w:val="center"/>
              <w:rPr>
                <w:rFonts w:hint="default" w:ascii="Segoe UI" w:hAnsi="Segoe UI" w:eastAsia="Segoe UI" w:cs="Segoe UI"/>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1B1AA8C4">
            <w:pPr>
              <w:keepNext w:val="0"/>
              <w:keepLines w:val="0"/>
              <w:widowControl/>
              <w:suppressLineNumbers w:val="0"/>
              <w:snapToGrid w:val="0"/>
              <w:jc w:val="left"/>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6.2.9</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59574403">
            <w:pPr>
              <w:keepNext w:val="0"/>
              <w:keepLines w:val="0"/>
              <w:widowControl/>
              <w:suppressLineNumbers w:val="0"/>
              <w:snapToGrid w:val="0"/>
              <w:jc w:val="right"/>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 xml:space="preserve">0.082 </w:t>
            </w:r>
          </w:p>
        </w:tc>
      </w:tr>
      <w:tr w14:paraId="78D75D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30A1EFA">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E5FCF32">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397734F">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40B2BCC">
            <w:pPr>
              <w:snapToGrid w:val="0"/>
              <w:jc w:val="center"/>
              <w:rPr>
                <w:rFonts w:hint="default" w:ascii="Segoe UI" w:hAnsi="Segoe UI" w:eastAsia="Segoe UI" w:cs="Segoe UI"/>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17D90FBD">
            <w:pPr>
              <w:keepNext w:val="0"/>
              <w:keepLines w:val="0"/>
              <w:widowControl/>
              <w:suppressLineNumbers w:val="0"/>
              <w:snapToGrid w:val="0"/>
              <w:jc w:val="left"/>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6.2.11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0FF7E8D2">
            <w:pPr>
              <w:keepNext w:val="0"/>
              <w:keepLines w:val="0"/>
              <w:widowControl/>
              <w:suppressLineNumbers w:val="0"/>
              <w:snapToGrid w:val="0"/>
              <w:jc w:val="right"/>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 xml:space="preserve">0.136 </w:t>
            </w:r>
          </w:p>
        </w:tc>
      </w:tr>
      <w:tr w14:paraId="3FAD4C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788DD8C">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A399E74">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15F7341">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2F826F3">
            <w:pPr>
              <w:snapToGrid w:val="0"/>
              <w:jc w:val="center"/>
              <w:rPr>
                <w:rFonts w:hint="default" w:ascii="Segoe UI" w:hAnsi="Segoe UI" w:eastAsia="Segoe UI" w:cs="Segoe UI"/>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625945C4">
            <w:pPr>
              <w:keepNext w:val="0"/>
              <w:keepLines w:val="0"/>
              <w:widowControl/>
              <w:suppressLineNumbers w:val="0"/>
              <w:snapToGrid w:val="0"/>
              <w:jc w:val="left"/>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6.2.13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23CA4306">
            <w:pPr>
              <w:keepNext w:val="0"/>
              <w:keepLines w:val="0"/>
              <w:widowControl/>
              <w:suppressLineNumbers w:val="0"/>
              <w:snapToGrid w:val="0"/>
              <w:jc w:val="right"/>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 xml:space="preserve">0.177 </w:t>
            </w:r>
          </w:p>
        </w:tc>
      </w:tr>
      <w:tr w14:paraId="489FA3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B599285">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39BE8CA">
            <w:pPr>
              <w:snapToGrid w:val="0"/>
              <w:jc w:val="center"/>
              <w:rPr>
                <w:rFonts w:hint="default" w:ascii="Segoe UI" w:hAnsi="Segoe UI" w:eastAsia="Segoe UI" w:cs="Segoe UI"/>
                <w:i w:val="0"/>
                <w:iCs w:val="0"/>
                <w:color w:val="000000"/>
                <w:sz w:val="24"/>
                <w:szCs w:val="24"/>
                <w:u w:val="none"/>
              </w:rPr>
            </w:pP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071E4FB">
            <w:pPr>
              <w:keepNext w:val="0"/>
              <w:keepLines w:val="0"/>
              <w:widowControl/>
              <w:suppressLineNumbers w:val="0"/>
              <w:snapToGrid w:val="0"/>
              <w:jc w:val="center"/>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治理可持续</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4D773450">
            <w:pPr>
              <w:keepNext w:val="0"/>
              <w:keepLines w:val="0"/>
              <w:widowControl/>
              <w:suppressLineNumbers w:val="0"/>
              <w:snapToGrid w:val="0"/>
              <w:jc w:val="center"/>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0.181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75C87E6D">
            <w:pPr>
              <w:keepNext w:val="0"/>
              <w:keepLines w:val="0"/>
              <w:widowControl/>
              <w:suppressLineNumbers w:val="0"/>
              <w:snapToGrid w:val="0"/>
              <w:jc w:val="left"/>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7.2.1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3A7A5D30">
            <w:pPr>
              <w:keepNext w:val="0"/>
              <w:keepLines w:val="0"/>
              <w:widowControl/>
              <w:suppressLineNumbers w:val="0"/>
              <w:snapToGrid w:val="0"/>
              <w:jc w:val="right"/>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 xml:space="preserve">0.088 </w:t>
            </w:r>
          </w:p>
        </w:tc>
      </w:tr>
      <w:tr w14:paraId="4C06FF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A1BE603">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A6BC9EF">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B3CD80D">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A22A6B4">
            <w:pPr>
              <w:snapToGrid w:val="0"/>
              <w:jc w:val="center"/>
              <w:rPr>
                <w:rFonts w:hint="default" w:ascii="Segoe UI" w:hAnsi="Segoe UI" w:eastAsia="Segoe UI" w:cs="Segoe UI"/>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6DBBD9D9">
            <w:pPr>
              <w:keepNext w:val="0"/>
              <w:keepLines w:val="0"/>
              <w:widowControl/>
              <w:suppressLineNumbers w:val="0"/>
              <w:snapToGrid w:val="0"/>
              <w:jc w:val="left"/>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7.2.2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6C506449">
            <w:pPr>
              <w:keepNext w:val="0"/>
              <w:keepLines w:val="0"/>
              <w:widowControl/>
              <w:suppressLineNumbers w:val="0"/>
              <w:snapToGrid w:val="0"/>
              <w:jc w:val="right"/>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 xml:space="preserve">0.177 </w:t>
            </w:r>
          </w:p>
        </w:tc>
      </w:tr>
      <w:tr w14:paraId="422511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2537720">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DC5886A">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AD61543">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93F556E">
            <w:pPr>
              <w:snapToGrid w:val="0"/>
              <w:jc w:val="center"/>
              <w:rPr>
                <w:rFonts w:hint="default" w:ascii="Segoe UI" w:hAnsi="Segoe UI" w:eastAsia="Segoe UI" w:cs="Segoe UI"/>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3FF34284">
            <w:pPr>
              <w:keepNext w:val="0"/>
              <w:keepLines w:val="0"/>
              <w:widowControl/>
              <w:suppressLineNumbers w:val="0"/>
              <w:snapToGrid w:val="0"/>
              <w:jc w:val="left"/>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7.2.3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43580B3A">
            <w:pPr>
              <w:keepNext w:val="0"/>
              <w:keepLines w:val="0"/>
              <w:widowControl/>
              <w:suppressLineNumbers w:val="0"/>
              <w:snapToGrid w:val="0"/>
              <w:jc w:val="right"/>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 xml:space="preserve">0.132 </w:t>
            </w:r>
          </w:p>
        </w:tc>
      </w:tr>
      <w:tr w14:paraId="1811EB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FFC55F1">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D346919">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8EADC49">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D74153B">
            <w:pPr>
              <w:snapToGrid w:val="0"/>
              <w:jc w:val="center"/>
              <w:rPr>
                <w:rFonts w:hint="default" w:ascii="Segoe UI" w:hAnsi="Segoe UI" w:eastAsia="Segoe UI" w:cs="Segoe UI"/>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3A1F3003">
            <w:pPr>
              <w:keepNext w:val="0"/>
              <w:keepLines w:val="0"/>
              <w:widowControl/>
              <w:suppressLineNumbers w:val="0"/>
              <w:snapToGrid w:val="0"/>
              <w:jc w:val="left"/>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7.2.4</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5951416A">
            <w:pPr>
              <w:keepNext w:val="0"/>
              <w:keepLines w:val="0"/>
              <w:widowControl/>
              <w:suppressLineNumbers w:val="0"/>
              <w:snapToGrid w:val="0"/>
              <w:jc w:val="right"/>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 xml:space="preserve">0.241 </w:t>
            </w:r>
          </w:p>
        </w:tc>
      </w:tr>
      <w:tr w14:paraId="3C68E1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95887E5">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A7EC595">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272E825">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FAEC577">
            <w:pPr>
              <w:snapToGrid w:val="0"/>
              <w:jc w:val="center"/>
              <w:rPr>
                <w:rFonts w:hint="default" w:ascii="Segoe UI" w:hAnsi="Segoe UI" w:eastAsia="Segoe UI" w:cs="Segoe UI"/>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316DCA32">
            <w:pPr>
              <w:keepNext w:val="0"/>
              <w:keepLines w:val="0"/>
              <w:widowControl/>
              <w:suppressLineNumbers w:val="0"/>
              <w:snapToGrid w:val="0"/>
              <w:jc w:val="left"/>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7.2.6</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22E39C1B">
            <w:pPr>
              <w:keepNext w:val="0"/>
              <w:keepLines w:val="0"/>
              <w:widowControl/>
              <w:suppressLineNumbers w:val="0"/>
              <w:snapToGrid w:val="0"/>
              <w:jc w:val="right"/>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 xml:space="preserve">0.204 </w:t>
            </w:r>
          </w:p>
        </w:tc>
      </w:tr>
      <w:tr w14:paraId="44A6AA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FA22DB9">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5DBF840">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10D8995">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4DA7C46">
            <w:pPr>
              <w:snapToGrid w:val="0"/>
              <w:jc w:val="center"/>
              <w:rPr>
                <w:rFonts w:hint="default" w:ascii="Segoe UI" w:hAnsi="Segoe UI" w:eastAsia="Segoe UI" w:cs="Segoe UI"/>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11CD19B5">
            <w:pPr>
              <w:keepNext w:val="0"/>
              <w:keepLines w:val="0"/>
              <w:widowControl/>
              <w:suppressLineNumbers w:val="0"/>
              <w:snapToGrid w:val="0"/>
              <w:jc w:val="left"/>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7.2.7</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25385D44">
            <w:pPr>
              <w:keepNext w:val="0"/>
              <w:keepLines w:val="0"/>
              <w:widowControl/>
              <w:suppressLineNumbers w:val="0"/>
              <w:snapToGrid w:val="0"/>
              <w:jc w:val="right"/>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 xml:space="preserve">0.082 </w:t>
            </w:r>
          </w:p>
        </w:tc>
      </w:tr>
      <w:tr w14:paraId="7935A3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655BB9F">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A8BFEC3">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B930E76">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152F924">
            <w:pPr>
              <w:snapToGrid w:val="0"/>
              <w:jc w:val="center"/>
              <w:rPr>
                <w:rFonts w:hint="default" w:ascii="Segoe UI" w:hAnsi="Segoe UI" w:eastAsia="Segoe UI" w:cs="Segoe UI"/>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4E070C9D">
            <w:pPr>
              <w:keepNext w:val="0"/>
              <w:keepLines w:val="0"/>
              <w:widowControl/>
              <w:suppressLineNumbers w:val="0"/>
              <w:snapToGrid w:val="0"/>
              <w:jc w:val="left"/>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7.2.8</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426B80C8">
            <w:pPr>
              <w:keepNext w:val="0"/>
              <w:keepLines w:val="0"/>
              <w:widowControl/>
              <w:suppressLineNumbers w:val="0"/>
              <w:snapToGrid w:val="0"/>
              <w:jc w:val="right"/>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 xml:space="preserve">0.077 </w:t>
            </w:r>
          </w:p>
        </w:tc>
      </w:tr>
      <w:tr w14:paraId="57C359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20C4EED">
            <w:pPr>
              <w:keepNext w:val="0"/>
              <w:keepLines w:val="0"/>
              <w:widowControl/>
              <w:suppressLineNumbers w:val="0"/>
              <w:snapToGrid w:val="0"/>
              <w:jc w:val="center"/>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运行阶段</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E731884">
            <w:pPr>
              <w:keepNext w:val="0"/>
              <w:keepLines w:val="0"/>
              <w:widowControl/>
              <w:suppressLineNumbers w:val="0"/>
              <w:snapToGrid w:val="0"/>
              <w:jc w:val="center"/>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0.367</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CB30B95">
            <w:pPr>
              <w:keepNext w:val="0"/>
              <w:keepLines w:val="0"/>
              <w:widowControl/>
              <w:suppressLineNumbers w:val="0"/>
              <w:snapToGrid w:val="0"/>
              <w:jc w:val="center"/>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环境可持续</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6539BA9">
            <w:pPr>
              <w:keepNext w:val="0"/>
              <w:keepLines w:val="0"/>
              <w:widowControl/>
              <w:suppressLineNumbers w:val="0"/>
              <w:snapToGrid w:val="0"/>
              <w:jc w:val="center"/>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0.299</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523F4CF8">
            <w:pPr>
              <w:keepNext w:val="0"/>
              <w:keepLines w:val="0"/>
              <w:widowControl/>
              <w:suppressLineNumbers w:val="0"/>
              <w:snapToGrid w:val="0"/>
              <w:jc w:val="left"/>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4.2.1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78A5195C">
            <w:pPr>
              <w:keepNext w:val="0"/>
              <w:keepLines w:val="0"/>
              <w:widowControl/>
              <w:suppressLineNumbers w:val="0"/>
              <w:snapToGrid w:val="0"/>
              <w:jc w:val="right"/>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 xml:space="preserve">0.066 </w:t>
            </w:r>
          </w:p>
        </w:tc>
      </w:tr>
      <w:tr w14:paraId="573503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7ED9544">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6F96C0F">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6F217DF">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9F84DCA">
            <w:pPr>
              <w:snapToGrid w:val="0"/>
              <w:jc w:val="center"/>
              <w:rPr>
                <w:rFonts w:hint="default" w:ascii="Segoe UI" w:hAnsi="Segoe UI" w:eastAsia="Segoe UI" w:cs="Segoe UI"/>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5A03E2BD">
            <w:pPr>
              <w:keepNext w:val="0"/>
              <w:keepLines w:val="0"/>
              <w:widowControl/>
              <w:suppressLineNumbers w:val="0"/>
              <w:snapToGrid w:val="0"/>
              <w:jc w:val="left"/>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4.2.2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40A90C6A">
            <w:pPr>
              <w:keepNext w:val="0"/>
              <w:keepLines w:val="0"/>
              <w:widowControl/>
              <w:suppressLineNumbers w:val="0"/>
              <w:snapToGrid w:val="0"/>
              <w:jc w:val="right"/>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 xml:space="preserve">0.052 </w:t>
            </w:r>
          </w:p>
        </w:tc>
      </w:tr>
      <w:tr w14:paraId="457EAB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9D24587">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A92F031">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94C5251">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E3D9B7D">
            <w:pPr>
              <w:snapToGrid w:val="0"/>
              <w:jc w:val="center"/>
              <w:rPr>
                <w:rFonts w:hint="default" w:ascii="Segoe UI" w:hAnsi="Segoe UI" w:eastAsia="Segoe UI" w:cs="Segoe UI"/>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257116BD">
            <w:pPr>
              <w:keepNext w:val="0"/>
              <w:keepLines w:val="0"/>
              <w:widowControl/>
              <w:suppressLineNumbers w:val="0"/>
              <w:snapToGrid w:val="0"/>
              <w:jc w:val="left"/>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4.2.3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1A6CE045">
            <w:pPr>
              <w:keepNext w:val="0"/>
              <w:keepLines w:val="0"/>
              <w:widowControl/>
              <w:suppressLineNumbers w:val="0"/>
              <w:snapToGrid w:val="0"/>
              <w:jc w:val="right"/>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 xml:space="preserve">0.052 </w:t>
            </w:r>
          </w:p>
        </w:tc>
      </w:tr>
      <w:tr w14:paraId="20BA73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44EFA7A">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912D739">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B1C993E">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D013CD5">
            <w:pPr>
              <w:snapToGrid w:val="0"/>
              <w:jc w:val="center"/>
              <w:rPr>
                <w:rFonts w:hint="default" w:ascii="Segoe UI" w:hAnsi="Segoe UI" w:eastAsia="Segoe UI" w:cs="Segoe UI"/>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61C86EE4">
            <w:pPr>
              <w:keepNext w:val="0"/>
              <w:keepLines w:val="0"/>
              <w:widowControl/>
              <w:suppressLineNumbers w:val="0"/>
              <w:snapToGrid w:val="0"/>
              <w:jc w:val="left"/>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4.2.4</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6250B059">
            <w:pPr>
              <w:keepNext w:val="0"/>
              <w:keepLines w:val="0"/>
              <w:widowControl/>
              <w:suppressLineNumbers w:val="0"/>
              <w:snapToGrid w:val="0"/>
              <w:jc w:val="right"/>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 xml:space="preserve">0.066 </w:t>
            </w:r>
          </w:p>
        </w:tc>
      </w:tr>
      <w:tr w14:paraId="17A519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5C3A2DA">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302980E">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8AF6D55">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0BA6474">
            <w:pPr>
              <w:snapToGrid w:val="0"/>
              <w:jc w:val="center"/>
              <w:rPr>
                <w:rFonts w:hint="default" w:ascii="Segoe UI" w:hAnsi="Segoe UI" w:eastAsia="Segoe UI" w:cs="Segoe UI"/>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1C54E1E9">
            <w:pPr>
              <w:keepNext w:val="0"/>
              <w:keepLines w:val="0"/>
              <w:widowControl/>
              <w:suppressLineNumbers w:val="0"/>
              <w:snapToGrid w:val="0"/>
              <w:jc w:val="left"/>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4.2.5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7242679E">
            <w:pPr>
              <w:keepNext w:val="0"/>
              <w:keepLines w:val="0"/>
              <w:widowControl/>
              <w:suppressLineNumbers w:val="0"/>
              <w:snapToGrid w:val="0"/>
              <w:jc w:val="right"/>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 xml:space="preserve">0.066 </w:t>
            </w:r>
          </w:p>
        </w:tc>
      </w:tr>
      <w:tr w14:paraId="4C94CC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D95BDE9">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19AE9D1">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9FB0A83">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DF55BC3">
            <w:pPr>
              <w:snapToGrid w:val="0"/>
              <w:jc w:val="center"/>
              <w:rPr>
                <w:rFonts w:hint="default" w:ascii="Segoe UI" w:hAnsi="Segoe UI" w:eastAsia="Segoe UI" w:cs="Segoe UI"/>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0781D555">
            <w:pPr>
              <w:keepNext w:val="0"/>
              <w:keepLines w:val="0"/>
              <w:widowControl/>
              <w:suppressLineNumbers w:val="0"/>
              <w:snapToGrid w:val="0"/>
              <w:jc w:val="left"/>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4.2.6</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4686534F">
            <w:pPr>
              <w:keepNext w:val="0"/>
              <w:keepLines w:val="0"/>
              <w:widowControl/>
              <w:suppressLineNumbers w:val="0"/>
              <w:snapToGrid w:val="0"/>
              <w:jc w:val="right"/>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 xml:space="preserve">0.066 </w:t>
            </w:r>
          </w:p>
        </w:tc>
      </w:tr>
      <w:tr w14:paraId="512B24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0C4D42B">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76BB9BA">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1F8BB25">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47DA7E8">
            <w:pPr>
              <w:snapToGrid w:val="0"/>
              <w:jc w:val="center"/>
              <w:rPr>
                <w:rFonts w:hint="default" w:ascii="Segoe UI" w:hAnsi="Segoe UI" w:eastAsia="Segoe UI" w:cs="Segoe UI"/>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23D4A24C">
            <w:pPr>
              <w:keepNext w:val="0"/>
              <w:keepLines w:val="0"/>
              <w:widowControl/>
              <w:suppressLineNumbers w:val="0"/>
              <w:snapToGrid w:val="0"/>
              <w:jc w:val="left"/>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4.2.7</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1C20BBEC">
            <w:pPr>
              <w:keepNext w:val="0"/>
              <w:keepLines w:val="0"/>
              <w:widowControl/>
              <w:suppressLineNumbers w:val="0"/>
              <w:snapToGrid w:val="0"/>
              <w:jc w:val="right"/>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 xml:space="preserve">0.066 </w:t>
            </w:r>
          </w:p>
        </w:tc>
      </w:tr>
      <w:tr w14:paraId="2F3BBA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B9AC7F4">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DBF72EE">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7B5E78B">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E432CDE">
            <w:pPr>
              <w:snapToGrid w:val="0"/>
              <w:jc w:val="center"/>
              <w:rPr>
                <w:rFonts w:hint="default" w:ascii="Segoe UI" w:hAnsi="Segoe UI" w:eastAsia="Segoe UI" w:cs="Segoe UI"/>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0DF20EF7">
            <w:pPr>
              <w:keepNext w:val="0"/>
              <w:keepLines w:val="0"/>
              <w:widowControl/>
              <w:suppressLineNumbers w:val="0"/>
              <w:snapToGrid w:val="0"/>
              <w:jc w:val="left"/>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4.2.8</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3DA8BE6F">
            <w:pPr>
              <w:keepNext w:val="0"/>
              <w:keepLines w:val="0"/>
              <w:widowControl/>
              <w:suppressLineNumbers w:val="0"/>
              <w:snapToGrid w:val="0"/>
              <w:jc w:val="right"/>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 xml:space="preserve">0.052 </w:t>
            </w:r>
          </w:p>
        </w:tc>
      </w:tr>
      <w:tr w14:paraId="1D5C53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9B6C6D6">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BCB5FF5">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7FE4CA4">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BD7EF90">
            <w:pPr>
              <w:snapToGrid w:val="0"/>
              <w:jc w:val="center"/>
              <w:rPr>
                <w:rFonts w:hint="default" w:ascii="Segoe UI" w:hAnsi="Segoe UI" w:eastAsia="Segoe UI" w:cs="Segoe UI"/>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0BA73056">
            <w:pPr>
              <w:keepNext w:val="0"/>
              <w:keepLines w:val="0"/>
              <w:widowControl/>
              <w:suppressLineNumbers w:val="0"/>
              <w:snapToGrid w:val="0"/>
              <w:jc w:val="left"/>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4.2.9</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4139944D">
            <w:pPr>
              <w:keepNext w:val="0"/>
              <w:keepLines w:val="0"/>
              <w:widowControl/>
              <w:suppressLineNumbers w:val="0"/>
              <w:snapToGrid w:val="0"/>
              <w:jc w:val="right"/>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 xml:space="preserve">0.124 </w:t>
            </w:r>
          </w:p>
        </w:tc>
      </w:tr>
      <w:tr w14:paraId="701A06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C09C373">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2DB4706">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B9E36F4">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41AA203">
            <w:pPr>
              <w:snapToGrid w:val="0"/>
              <w:jc w:val="center"/>
              <w:rPr>
                <w:rFonts w:hint="default" w:ascii="Segoe UI" w:hAnsi="Segoe UI" w:eastAsia="Segoe UI" w:cs="Segoe UI"/>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2AC3EB39">
            <w:pPr>
              <w:keepNext w:val="0"/>
              <w:keepLines w:val="0"/>
              <w:widowControl/>
              <w:suppressLineNumbers w:val="0"/>
              <w:snapToGrid w:val="0"/>
              <w:jc w:val="left"/>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4.2.10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48CBC970">
            <w:pPr>
              <w:keepNext w:val="0"/>
              <w:keepLines w:val="0"/>
              <w:widowControl/>
              <w:suppressLineNumbers w:val="0"/>
              <w:snapToGrid w:val="0"/>
              <w:jc w:val="right"/>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 xml:space="preserve">0.124 </w:t>
            </w:r>
          </w:p>
        </w:tc>
      </w:tr>
      <w:tr w14:paraId="3E0405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BD2FFC3">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D661E1B">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EEA16E8">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285BA29">
            <w:pPr>
              <w:snapToGrid w:val="0"/>
              <w:jc w:val="center"/>
              <w:rPr>
                <w:rFonts w:hint="default" w:ascii="Segoe UI" w:hAnsi="Segoe UI" w:eastAsia="Segoe UI" w:cs="Segoe UI"/>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13D8D7B4">
            <w:pPr>
              <w:keepNext w:val="0"/>
              <w:keepLines w:val="0"/>
              <w:widowControl/>
              <w:suppressLineNumbers w:val="0"/>
              <w:snapToGrid w:val="0"/>
              <w:jc w:val="left"/>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4.2.11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2C7408B1">
            <w:pPr>
              <w:keepNext w:val="0"/>
              <w:keepLines w:val="0"/>
              <w:widowControl/>
              <w:suppressLineNumbers w:val="0"/>
              <w:snapToGrid w:val="0"/>
              <w:jc w:val="right"/>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 xml:space="preserve">0.089 </w:t>
            </w:r>
          </w:p>
        </w:tc>
      </w:tr>
      <w:tr w14:paraId="0FF3B7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ECF4EE0">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B0B7BB4">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662196B">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D5C6927">
            <w:pPr>
              <w:snapToGrid w:val="0"/>
              <w:jc w:val="center"/>
              <w:rPr>
                <w:rFonts w:hint="default" w:ascii="Segoe UI" w:hAnsi="Segoe UI" w:eastAsia="Segoe UI" w:cs="Segoe UI"/>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3AF85922">
            <w:pPr>
              <w:keepNext w:val="0"/>
              <w:keepLines w:val="0"/>
              <w:widowControl/>
              <w:suppressLineNumbers w:val="0"/>
              <w:snapToGrid w:val="0"/>
              <w:jc w:val="left"/>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4.2.12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10DE6E8D">
            <w:pPr>
              <w:keepNext w:val="0"/>
              <w:keepLines w:val="0"/>
              <w:widowControl/>
              <w:suppressLineNumbers w:val="0"/>
              <w:snapToGrid w:val="0"/>
              <w:jc w:val="right"/>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 xml:space="preserve">0.089 </w:t>
            </w:r>
          </w:p>
        </w:tc>
      </w:tr>
      <w:tr w14:paraId="369A5F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B2A3AFF">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57AA9E9">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048735F">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1C7E1F8">
            <w:pPr>
              <w:snapToGrid w:val="0"/>
              <w:jc w:val="center"/>
              <w:rPr>
                <w:rFonts w:hint="default" w:ascii="Segoe UI" w:hAnsi="Segoe UI" w:eastAsia="Segoe UI" w:cs="Segoe UI"/>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468A11CE">
            <w:pPr>
              <w:keepNext w:val="0"/>
              <w:keepLines w:val="0"/>
              <w:widowControl/>
              <w:suppressLineNumbers w:val="0"/>
              <w:snapToGrid w:val="0"/>
              <w:jc w:val="left"/>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4.2.13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7DAC4AF5">
            <w:pPr>
              <w:keepNext w:val="0"/>
              <w:keepLines w:val="0"/>
              <w:widowControl/>
              <w:suppressLineNumbers w:val="0"/>
              <w:snapToGrid w:val="0"/>
              <w:jc w:val="right"/>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 xml:space="preserve">0.089 </w:t>
            </w:r>
          </w:p>
        </w:tc>
      </w:tr>
      <w:tr w14:paraId="5F56D0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C990EC6">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B941692">
            <w:pPr>
              <w:snapToGrid w:val="0"/>
              <w:jc w:val="center"/>
              <w:rPr>
                <w:rFonts w:hint="default" w:ascii="Segoe UI" w:hAnsi="Segoe UI" w:eastAsia="Segoe UI" w:cs="Segoe UI"/>
                <w:i w:val="0"/>
                <w:iCs w:val="0"/>
                <w:color w:val="000000"/>
                <w:sz w:val="24"/>
                <w:szCs w:val="24"/>
                <w:u w:val="none"/>
              </w:rPr>
            </w:pP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525C7707">
            <w:pPr>
              <w:keepNext w:val="0"/>
              <w:keepLines w:val="0"/>
              <w:widowControl/>
              <w:suppressLineNumbers w:val="0"/>
              <w:snapToGrid w:val="0"/>
              <w:jc w:val="center"/>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资源可持续</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C8C07F2">
            <w:pPr>
              <w:keepNext w:val="0"/>
              <w:keepLines w:val="0"/>
              <w:widowControl/>
              <w:suppressLineNumbers w:val="0"/>
              <w:snapToGrid w:val="0"/>
              <w:jc w:val="center"/>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0.181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44A1C481">
            <w:pPr>
              <w:keepNext w:val="0"/>
              <w:keepLines w:val="0"/>
              <w:widowControl/>
              <w:suppressLineNumbers w:val="0"/>
              <w:snapToGrid w:val="0"/>
              <w:jc w:val="left"/>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5.2.1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064AB0E7">
            <w:pPr>
              <w:keepNext w:val="0"/>
              <w:keepLines w:val="0"/>
              <w:widowControl/>
              <w:suppressLineNumbers w:val="0"/>
              <w:snapToGrid w:val="0"/>
              <w:jc w:val="right"/>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 xml:space="preserve">0.275 </w:t>
            </w:r>
          </w:p>
        </w:tc>
      </w:tr>
      <w:tr w14:paraId="77F887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CD63182">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FFF994C">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A744D58">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5131583">
            <w:pPr>
              <w:snapToGrid w:val="0"/>
              <w:jc w:val="center"/>
              <w:rPr>
                <w:rFonts w:hint="default" w:ascii="Segoe UI" w:hAnsi="Segoe UI" w:eastAsia="Segoe UI" w:cs="Segoe UI"/>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7951D4AF">
            <w:pPr>
              <w:keepNext w:val="0"/>
              <w:keepLines w:val="0"/>
              <w:widowControl/>
              <w:suppressLineNumbers w:val="0"/>
              <w:snapToGrid w:val="0"/>
              <w:jc w:val="left"/>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5.2.2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7CD75F0C">
            <w:pPr>
              <w:keepNext w:val="0"/>
              <w:keepLines w:val="0"/>
              <w:widowControl/>
              <w:suppressLineNumbers w:val="0"/>
              <w:snapToGrid w:val="0"/>
              <w:jc w:val="right"/>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 xml:space="preserve">0.265 </w:t>
            </w:r>
          </w:p>
        </w:tc>
      </w:tr>
      <w:tr w14:paraId="6A27CC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F16EE98">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859CA12">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6D22828">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B8B794C">
            <w:pPr>
              <w:snapToGrid w:val="0"/>
              <w:jc w:val="center"/>
              <w:rPr>
                <w:rFonts w:hint="default" w:ascii="Segoe UI" w:hAnsi="Segoe UI" w:eastAsia="Segoe UI" w:cs="Segoe UI"/>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10119C25">
            <w:pPr>
              <w:keepNext w:val="0"/>
              <w:keepLines w:val="0"/>
              <w:widowControl/>
              <w:suppressLineNumbers w:val="0"/>
              <w:snapToGrid w:val="0"/>
              <w:jc w:val="left"/>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5.2.3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45D45F47">
            <w:pPr>
              <w:keepNext w:val="0"/>
              <w:keepLines w:val="0"/>
              <w:widowControl/>
              <w:suppressLineNumbers w:val="0"/>
              <w:snapToGrid w:val="0"/>
              <w:jc w:val="right"/>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 xml:space="preserve">0.156 </w:t>
            </w:r>
          </w:p>
        </w:tc>
      </w:tr>
      <w:tr w14:paraId="3234B0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A7C0DBC">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6085CE7">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2878B06">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B66D6D7">
            <w:pPr>
              <w:snapToGrid w:val="0"/>
              <w:jc w:val="center"/>
              <w:rPr>
                <w:rFonts w:hint="default" w:ascii="Segoe UI" w:hAnsi="Segoe UI" w:eastAsia="Segoe UI" w:cs="Segoe UI"/>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65605C4E">
            <w:pPr>
              <w:keepNext w:val="0"/>
              <w:keepLines w:val="0"/>
              <w:widowControl/>
              <w:suppressLineNumbers w:val="0"/>
              <w:snapToGrid w:val="0"/>
              <w:jc w:val="left"/>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5.2.4</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7F9745FC">
            <w:pPr>
              <w:keepNext w:val="0"/>
              <w:keepLines w:val="0"/>
              <w:widowControl/>
              <w:suppressLineNumbers w:val="0"/>
              <w:snapToGrid w:val="0"/>
              <w:jc w:val="right"/>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 xml:space="preserve">0.109 </w:t>
            </w:r>
          </w:p>
        </w:tc>
      </w:tr>
      <w:tr w14:paraId="624A03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A34B0AE">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0BEDE2C">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BF80614">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F18F0F1">
            <w:pPr>
              <w:snapToGrid w:val="0"/>
              <w:jc w:val="center"/>
              <w:rPr>
                <w:rFonts w:hint="default" w:ascii="Segoe UI" w:hAnsi="Segoe UI" w:eastAsia="Segoe UI" w:cs="Segoe UI"/>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046B3417">
            <w:pPr>
              <w:keepNext w:val="0"/>
              <w:keepLines w:val="0"/>
              <w:widowControl/>
              <w:suppressLineNumbers w:val="0"/>
              <w:snapToGrid w:val="0"/>
              <w:jc w:val="left"/>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5.2.5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6D23A5CF">
            <w:pPr>
              <w:keepNext w:val="0"/>
              <w:keepLines w:val="0"/>
              <w:widowControl/>
              <w:suppressLineNumbers w:val="0"/>
              <w:snapToGrid w:val="0"/>
              <w:jc w:val="right"/>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 xml:space="preserve">0.138 </w:t>
            </w:r>
          </w:p>
        </w:tc>
      </w:tr>
      <w:tr w14:paraId="08AE6A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48051CA">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5D644ED">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5AABEEC">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DA09D29">
            <w:pPr>
              <w:snapToGrid w:val="0"/>
              <w:jc w:val="center"/>
              <w:rPr>
                <w:rFonts w:hint="default" w:ascii="Segoe UI" w:hAnsi="Segoe UI" w:eastAsia="Segoe UI" w:cs="Segoe UI"/>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5518FFE4">
            <w:pPr>
              <w:keepNext w:val="0"/>
              <w:keepLines w:val="0"/>
              <w:widowControl/>
              <w:suppressLineNumbers w:val="0"/>
              <w:snapToGrid w:val="0"/>
              <w:jc w:val="left"/>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5.2.8</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204D5CCA">
            <w:pPr>
              <w:keepNext w:val="0"/>
              <w:keepLines w:val="0"/>
              <w:widowControl/>
              <w:suppressLineNumbers w:val="0"/>
              <w:snapToGrid w:val="0"/>
              <w:jc w:val="right"/>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 xml:space="preserve">0.057 </w:t>
            </w:r>
          </w:p>
        </w:tc>
      </w:tr>
      <w:tr w14:paraId="326A37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CE7E8CA">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57CF260">
            <w:pPr>
              <w:snapToGrid w:val="0"/>
              <w:jc w:val="center"/>
              <w:rPr>
                <w:rFonts w:hint="default" w:ascii="Segoe UI" w:hAnsi="Segoe UI" w:eastAsia="Segoe UI" w:cs="Segoe UI"/>
                <w:i w:val="0"/>
                <w:iCs w:val="0"/>
                <w:color w:val="000000"/>
                <w:sz w:val="24"/>
                <w:szCs w:val="24"/>
                <w:u w:val="none"/>
              </w:rPr>
            </w:pP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76F0C61">
            <w:pPr>
              <w:keepNext w:val="0"/>
              <w:keepLines w:val="0"/>
              <w:widowControl/>
              <w:suppressLineNumbers w:val="0"/>
              <w:snapToGrid w:val="0"/>
              <w:jc w:val="center"/>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社会可持续</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528BF472">
            <w:pPr>
              <w:keepNext w:val="0"/>
              <w:keepLines w:val="0"/>
              <w:widowControl/>
              <w:suppressLineNumbers w:val="0"/>
              <w:snapToGrid w:val="0"/>
              <w:jc w:val="center"/>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0.299</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26F5EDB2">
            <w:pPr>
              <w:keepNext w:val="0"/>
              <w:keepLines w:val="0"/>
              <w:widowControl/>
              <w:suppressLineNumbers w:val="0"/>
              <w:snapToGrid w:val="0"/>
              <w:jc w:val="left"/>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6.2.1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37B986BD">
            <w:pPr>
              <w:keepNext w:val="0"/>
              <w:keepLines w:val="0"/>
              <w:widowControl/>
              <w:suppressLineNumbers w:val="0"/>
              <w:snapToGrid w:val="0"/>
              <w:jc w:val="right"/>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 xml:space="preserve">0.109 </w:t>
            </w:r>
          </w:p>
        </w:tc>
      </w:tr>
      <w:tr w14:paraId="446378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5A72DF6">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5D647F5">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7868160">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E523D85">
            <w:pPr>
              <w:snapToGrid w:val="0"/>
              <w:jc w:val="center"/>
              <w:rPr>
                <w:rFonts w:hint="default" w:ascii="Segoe UI" w:hAnsi="Segoe UI" w:eastAsia="Segoe UI" w:cs="Segoe UI"/>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5CBCFE10">
            <w:pPr>
              <w:keepNext w:val="0"/>
              <w:keepLines w:val="0"/>
              <w:widowControl/>
              <w:suppressLineNumbers w:val="0"/>
              <w:snapToGrid w:val="0"/>
              <w:jc w:val="left"/>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6.2.2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2D498DE5">
            <w:pPr>
              <w:keepNext w:val="0"/>
              <w:keepLines w:val="0"/>
              <w:widowControl/>
              <w:suppressLineNumbers w:val="0"/>
              <w:snapToGrid w:val="0"/>
              <w:jc w:val="right"/>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 xml:space="preserve">0.120 </w:t>
            </w:r>
          </w:p>
        </w:tc>
      </w:tr>
      <w:tr w14:paraId="07D59B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502ADE7">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B04A1C2">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9506486">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795537A">
            <w:pPr>
              <w:snapToGrid w:val="0"/>
              <w:jc w:val="center"/>
              <w:rPr>
                <w:rFonts w:hint="default" w:ascii="Segoe UI" w:hAnsi="Segoe UI" w:eastAsia="Segoe UI" w:cs="Segoe UI"/>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5C6F2DCF">
            <w:pPr>
              <w:keepNext w:val="0"/>
              <w:keepLines w:val="0"/>
              <w:widowControl/>
              <w:suppressLineNumbers w:val="0"/>
              <w:snapToGrid w:val="0"/>
              <w:jc w:val="left"/>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6.2.5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0369D2C0">
            <w:pPr>
              <w:keepNext w:val="0"/>
              <w:keepLines w:val="0"/>
              <w:widowControl/>
              <w:suppressLineNumbers w:val="0"/>
              <w:snapToGrid w:val="0"/>
              <w:jc w:val="right"/>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 xml:space="preserve">0.109 </w:t>
            </w:r>
          </w:p>
        </w:tc>
      </w:tr>
      <w:tr w14:paraId="63BA6B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165C415">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340519E">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0A9CFF9">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1128ECC">
            <w:pPr>
              <w:snapToGrid w:val="0"/>
              <w:jc w:val="center"/>
              <w:rPr>
                <w:rFonts w:hint="default" w:ascii="Segoe UI" w:hAnsi="Segoe UI" w:eastAsia="Segoe UI" w:cs="Segoe UI"/>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6D2D9DB5">
            <w:pPr>
              <w:keepNext w:val="0"/>
              <w:keepLines w:val="0"/>
              <w:widowControl/>
              <w:suppressLineNumbers w:val="0"/>
              <w:snapToGrid w:val="0"/>
              <w:jc w:val="left"/>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6.2.8</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727F30AC">
            <w:pPr>
              <w:keepNext w:val="0"/>
              <w:keepLines w:val="0"/>
              <w:widowControl/>
              <w:suppressLineNumbers w:val="0"/>
              <w:snapToGrid w:val="0"/>
              <w:jc w:val="right"/>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 xml:space="preserve">0.192 </w:t>
            </w:r>
          </w:p>
        </w:tc>
      </w:tr>
      <w:tr w14:paraId="2566AF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952A788">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BF1D766">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2202111">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F28CC6A">
            <w:pPr>
              <w:snapToGrid w:val="0"/>
              <w:jc w:val="center"/>
              <w:rPr>
                <w:rFonts w:hint="default" w:ascii="Segoe UI" w:hAnsi="Segoe UI" w:eastAsia="Segoe UI" w:cs="Segoe UI"/>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7D5EBD3E">
            <w:pPr>
              <w:keepNext w:val="0"/>
              <w:keepLines w:val="0"/>
              <w:widowControl/>
              <w:suppressLineNumbers w:val="0"/>
              <w:snapToGrid w:val="0"/>
              <w:jc w:val="left"/>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6.2.9</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58BF933F">
            <w:pPr>
              <w:keepNext w:val="0"/>
              <w:keepLines w:val="0"/>
              <w:widowControl/>
              <w:suppressLineNumbers w:val="0"/>
              <w:snapToGrid w:val="0"/>
              <w:jc w:val="right"/>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 xml:space="preserve">0.091 </w:t>
            </w:r>
          </w:p>
        </w:tc>
      </w:tr>
      <w:tr w14:paraId="6A7E16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D4675B5">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C3D0F9F">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0FB87C9">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62E25DC">
            <w:pPr>
              <w:snapToGrid w:val="0"/>
              <w:jc w:val="center"/>
              <w:rPr>
                <w:rFonts w:hint="default" w:ascii="Segoe UI" w:hAnsi="Segoe UI" w:eastAsia="Segoe UI" w:cs="Segoe UI"/>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018C41F9">
            <w:pPr>
              <w:keepNext w:val="0"/>
              <w:keepLines w:val="0"/>
              <w:widowControl/>
              <w:suppressLineNumbers w:val="0"/>
              <w:snapToGrid w:val="0"/>
              <w:jc w:val="left"/>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6.2.11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40767B7B">
            <w:pPr>
              <w:keepNext w:val="0"/>
              <w:keepLines w:val="0"/>
              <w:widowControl/>
              <w:suppressLineNumbers w:val="0"/>
              <w:snapToGrid w:val="0"/>
              <w:jc w:val="right"/>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 xml:space="preserve">0.119 </w:t>
            </w:r>
          </w:p>
        </w:tc>
      </w:tr>
      <w:tr w14:paraId="620A1D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708AD06">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D88F70C">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5130738">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7E97291">
            <w:pPr>
              <w:snapToGrid w:val="0"/>
              <w:jc w:val="center"/>
              <w:rPr>
                <w:rFonts w:hint="default" w:ascii="Segoe UI" w:hAnsi="Segoe UI" w:eastAsia="Segoe UI" w:cs="Segoe UI"/>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670A27E1">
            <w:pPr>
              <w:keepNext w:val="0"/>
              <w:keepLines w:val="0"/>
              <w:widowControl/>
              <w:suppressLineNumbers w:val="0"/>
              <w:snapToGrid w:val="0"/>
              <w:jc w:val="left"/>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6.2.14</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485A704B">
            <w:pPr>
              <w:keepNext w:val="0"/>
              <w:keepLines w:val="0"/>
              <w:widowControl/>
              <w:suppressLineNumbers w:val="0"/>
              <w:snapToGrid w:val="0"/>
              <w:jc w:val="right"/>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 xml:space="preserve">0.171 </w:t>
            </w:r>
          </w:p>
        </w:tc>
      </w:tr>
      <w:tr w14:paraId="37E92E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2334F9D">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DB85A1D">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D868CEF">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F8AA7D3">
            <w:pPr>
              <w:snapToGrid w:val="0"/>
              <w:jc w:val="center"/>
              <w:rPr>
                <w:rFonts w:hint="default" w:ascii="Segoe UI" w:hAnsi="Segoe UI" w:eastAsia="Segoe UI" w:cs="Segoe UI"/>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3091336E">
            <w:pPr>
              <w:keepNext w:val="0"/>
              <w:keepLines w:val="0"/>
              <w:widowControl/>
              <w:suppressLineNumbers w:val="0"/>
              <w:snapToGrid w:val="0"/>
              <w:jc w:val="left"/>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6.2.15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64F343BE">
            <w:pPr>
              <w:keepNext w:val="0"/>
              <w:keepLines w:val="0"/>
              <w:widowControl/>
              <w:suppressLineNumbers w:val="0"/>
              <w:snapToGrid w:val="0"/>
              <w:jc w:val="right"/>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 xml:space="preserve">0.089 </w:t>
            </w:r>
          </w:p>
        </w:tc>
      </w:tr>
      <w:tr w14:paraId="20EACA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CE3C605">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D1E5C00">
            <w:pPr>
              <w:snapToGrid w:val="0"/>
              <w:jc w:val="center"/>
              <w:rPr>
                <w:rFonts w:hint="default" w:ascii="Segoe UI" w:hAnsi="Segoe UI" w:eastAsia="Segoe UI" w:cs="Segoe UI"/>
                <w:i w:val="0"/>
                <w:iCs w:val="0"/>
                <w:color w:val="000000"/>
                <w:sz w:val="24"/>
                <w:szCs w:val="24"/>
                <w:u w:val="none"/>
              </w:rPr>
            </w:pP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F2EC9CD">
            <w:pPr>
              <w:keepNext w:val="0"/>
              <w:keepLines w:val="0"/>
              <w:widowControl/>
              <w:suppressLineNumbers w:val="0"/>
              <w:snapToGrid w:val="0"/>
              <w:jc w:val="center"/>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治理可持续</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B675A3C">
            <w:pPr>
              <w:keepNext w:val="0"/>
              <w:keepLines w:val="0"/>
              <w:widowControl/>
              <w:suppressLineNumbers w:val="0"/>
              <w:snapToGrid w:val="0"/>
              <w:jc w:val="center"/>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0.221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6706A3BB">
            <w:pPr>
              <w:keepNext w:val="0"/>
              <w:keepLines w:val="0"/>
              <w:widowControl/>
              <w:suppressLineNumbers w:val="0"/>
              <w:snapToGrid w:val="0"/>
              <w:jc w:val="left"/>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7.2.1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51E89F65">
            <w:pPr>
              <w:keepNext w:val="0"/>
              <w:keepLines w:val="0"/>
              <w:widowControl/>
              <w:suppressLineNumbers w:val="0"/>
              <w:snapToGrid w:val="0"/>
              <w:jc w:val="right"/>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 xml:space="preserve">0.100 </w:t>
            </w:r>
          </w:p>
        </w:tc>
      </w:tr>
      <w:tr w14:paraId="5AAE09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EF4C93C">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2AE9E74">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0A3B0F1">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C402917">
            <w:pPr>
              <w:snapToGrid w:val="0"/>
              <w:jc w:val="center"/>
              <w:rPr>
                <w:rFonts w:hint="default" w:ascii="Segoe UI" w:hAnsi="Segoe UI" w:eastAsia="Segoe UI" w:cs="Segoe UI"/>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54259C98">
            <w:pPr>
              <w:keepNext w:val="0"/>
              <w:keepLines w:val="0"/>
              <w:widowControl/>
              <w:suppressLineNumbers w:val="0"/>
              <w:snapToGrid w:val="0"/>
              <w:jc w:val="left"/>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7.2.2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3F3BA55B">
            <w:pPr>
              <w:keepNext w:val="0"/>
              <w:keepLines w:val="0"/>
              <w:widowControl/>
              <w:suppressLineNumbers w:val="0"/>
              <w:snapToGrid w:val="0"/>
              <w:jc w:val="right"/>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 xml:space="preserve">0.198 </w:t>
            </w:r>
          </w:p>
        </w:tc>
      </w:tr>
      <w:tr w14:paraId="500E63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7124D62">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DA5ADEB">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1093E9B">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D5BD085">
            <w:pPr>
              <w:snapToGrid w:val="0"/>
              <w:jc w:val="center"/>
              <w:rPr>
                <w:rFonts w:hint="default" w:ascii="Segoe UI" w:hAnsi="Segoe UI" w:eastAsia="Segoe UI" w:cs="Segoe UI"/>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40575FD4">
            <w:pPr>
              <w:keepNext w:val="0"/>
              <w:keepLines w:val="0"/>
              <w:widowControl/>
              <w:suppressLineNumbers w:val="0"/>
              <w:snapToGrid w:val="0"/>
              <w:jc w:val="left"/>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7.2.3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102930B3">
            <w:pPr>
              <w:keepNext w:val="0"/>
              <w:keepLines w:val="0"/>
              <w:widowControl/>
              <w:suppressLineNumbers w:val="0"/>
              <w:snapToGrid w:val="0"/>
              <w:jc w:val="right"/>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 xml:space="preserve">0.151 </w:t>
            </w:r>
          </w:p>
        </w:tc>
      </w:tr>
      <w:tr w14:paraId="2D80A7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0EB6127">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E3BF95E">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C6CA19B">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E1317C8">
            <w:pPr>
              <w:snapToGrid w:val="0"/>
              <w:jc w:val="center"/>
              <w:rPr>
                <w:rFonts w:hint="default" w:ascii="Segoe UI" w:hAnsi="Segoe UI" w:eastAsia="Segoe UI" w:cs="Segoe UI"/>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52E4E0DE">
            <w:pPr>
              <w:keepNext w:val="0"/>
              <w:keepLines w:val="0"/>
              <w:widowControl/>
              <w:suppressLineNumbers w:val="0"/>
              <w:snapToGrid w:val="0"/>
              <w:jc w:val="left"/>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7.2.4</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281140A4">
            <w:pPr>
              <w:keepNext w:val="0"/>
              <w:keepLines w:val="0"/>
              <w:widowControl/>
              <w:suppressLineNumbers w:val="0"/>
              <w:snapToGrid w:val="0"/>
              <w:jc w:val="right"/>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 xml:space="preserve">0.198 </w:t>
            </w:r>
          </w:p>
        </w:tc>
      </w:tr>
      <w:tr w14:paraId="3160B0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8E56B6E">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1ACA200">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C7A130E">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3B11270">
            <w:pPr>
              <w:snapToGrid w:val="0"/>
              <w:jc w:val="center"/>
              <w:rPr>
                <w:rFonts w:hint="default" w:ascii="Segoe UI" w:hAnsi="Segoe UI" w:eastAsia="Segoe UI" w:cs="Segoe UI"/>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58652A6B">
            <w:pPr>
              <w:keepNext w:val="0"/>
              <w:keepLines w:val="0"/>
              <w:widowControl/>
              <w:suppressLineNumbers w:val="0"/>
              <w:snapToGrid w:val="0"/>
              <w:jc w:val="left"/>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7.2.5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008B1A34">
            <w:pPr>
              <w:keepNext w:val="0"/>
              <w:keepLines w:val="0"/>
              <w:widowControl/>
              <w:suppressLineNumbers w:val="0"/>
              <w:snapToGrid w:val="0"/>
              <w:jc w:val="right"/>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 xml:space="preserve">0.184 </w:t>
            </w:r>
          </w:p>
        </w:tc>
      </w:tr>
      <w:tr w14:paraId="7CF8A4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B90A7C1">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9EAADEC">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98D7E0D">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1C23AAD">
            <w:pPr>
              <w:snapToGrid w:val="0"/>
              <w:jc w:val="center"/>
              <w:rPr>
                <w:rFonts w:hint="default" w:ascii="Segoe UI" w:hAnsi="Segoe UI" w:eastAsia="Segoe UI" w:cs="Segoe UI"/>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7FA52B71">
            <w:pPr>
              <w:keepNext w:val="0"/>
              <w:keepLines w:val="0"/>
              <w:widowControl/>
              <w:suppressLineNumbers w:val="0"/>
              <w:snapToGrid w:val="0"/>
              <w:jc w:val="left"/>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7.2.7</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4DA26147">
            <w:pPr>
              <w:keepNext w:val="0"/>
              <w:keepLines w:val="0"/>
              <w:widowControl/>
              <w:suppressLineNumbers w:val="0"/>
              <w:snapToGrid w:val="0"/>
              <w:jc w:val="right"/>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 xml:space="preserve">0.084 </w:t>
            </w:r>
          </w:p>
        </w:tc>
      </w:tr>
      <w:tr w14:paraId="4080F3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DF1E8D8">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D1EFE0F">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F6B4CCF">
            <w:pPr>
              <w:snapToGrid w:val="0"/>
              <w:jc w:val="center"/>
              <w:rPr>
                <w:rFonts w:hint="default" w:ascii="Segoe UI" w:hAnsi="Segoe UI" w:eastAsia="Segoe UI" w:cs="Segoe UI"/>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4E6CE57">
            <w:pPr>
              <w:snapToGrid w:val="0"/>
              <w:jc w:val="center"/>
              <w:rPr>
                <w:rFonts w:hint="default" w:ascii="Segoe UI" w:hAnsi="Segoe UI" w:eastAsia="Segoe UI" w:cs="Segoe UI"/>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1ABE20A4">
            <w:pPr>
              <w:keepNext w:val="0"/>
              <w:keepLines w:val="0"/>
              <w:widowControl/>
              <w:suppressLineNumbers w:val="0"/>
              <w:snapToGrid w:val="0"/>
              <w:jc w:val="left"/>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7.2.8</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218D12F8">
            <w:pPr>
              <w:keepNext w:val="0"/>
              <w:keepLines w:val="0"/>
              <w:widowControl/>
              <w:suppressLineNumbers w:val="0"/>
              <w:snapToGrid w:val="0"/>
              <w:jc w:val="right"/>
              <w:textAlignment w:val="center"/>
              <w:rPr>
                <w:rFonts w:hint="default" w:ascii="Segoe UI" w:hAnsi="Segoe UI" w:eastAsia="Segoe UI" w:cs="Segoe UI"/>
                <w:i w:val="0"/>
                <w:iCs w:val="0"/>
                <w:color w:val="000000"/>
                <w:sz w:val="24"/>
                <w:szCs w:val="24"/>
                <w:u w:val="none"/>
              </w:rPr>
            </w:pPr>
            <w:r>
              <w:rPr>
                <w:rFonts w:hint="default" w:ascii="Segoe UI" w:hAnsi="Segoe UI" w:eastAsia="Segoe UI" w:cs="Segoe UI"/>
                <w:i w:val="0"/>
                <w:iCs w:val="0"/>
                <w:color w:val="000000"/>
                <w:kern w:val="0"/>
                <w:sz w:val="24"/>
                <w:szCs w:val="24"/>
                <w:u w:val="none"/>
                <w:lang w:val="en-US" w:eastAsia="zh-CN" w:bidi="ar"/>
              </w:rPr>
              <w:t xml:space="preserve">0.084 </w:t>
            </w:r>
          </w:p>
        </w:tc>
      </w:tr>
    </w:tbl>
    <w:p w14:paraId="15AE86FC">
      <w:pPr>
        <w:numPr>
          <w:ilvl w:val="0"/>
          <w:numId w:val="0"/>
        </w:numPr>
        <w:spacing w:after="0" w:afterLines="-2147483648" w:line="360" w:lineRule="auto"/>
        <w:ind w:firstLine="480" w:firstLineChars="200"/>
        <w:jc w:val="left"/>
        <w:outlineLvl w:val="9"/>
        <w:rPr>
          <w:rFonts w:hint="eastAsia"/>
          <w:color w:val="auto"/>
          <w:sz w:val="24"/>
          <w:lang w:val="en-US" w:eastAsia="zh-CN"/>
        </w:rPr>
      </w:pPr>
    </w:p>
    <w:p w14:paraId="7735415A">
      <w:pPr>
        <w:pStyle w:val="36"/>
        <w:adjustRightInd w:val="0"/>
        <w:snapToGrid w:val="0"/>
        <w:spacing w:after="0" w:afterLines="-2147483648" w:line="240" w:lineRule="auto"/>
        <w:ind w:firstLineChars="200"/>
        <w:jc w:val="both"/>
        <w:outlineLvl w:val="9"/>
        <w:rPr>
          <w:rFonts w:hint="eastAsia"/>
          <w:color w:val="auto"/>
          <w:sz w:val="24"/>
          <w:lang w:val="en-US" w:eastAsia="zh-CN"/>
        </w:rPr>
      </w:pPr>
      <w:r>
        <w:rPr>
          <w:rFonts w:hint="eastAsia" w:ascii="宋体" w:hAnsi="宋体" w:eastAsia="宋体" w:cs="宋体"/>
          <w:b w:val="0"/>
          <w:bCs w:val="0"/>
          <w:color w:val="auto"/>
          <w:spacing w:val="4"/>
          <w:sz w:val="24"/>
          <w:szCs w:val="24"/>
          <w:lang w:val="en-US" w:eastAsia="zh-CN"/>
        </w:rPr>
        <w:t>E.0.5各项可持续发展关注</w:t>
      </w:r>
      <w:r>
        <w:rPr>
          <w:rFonts w:ascii="宋体" w:hAnsi="宋体" w:eastAsia="宋体" w:cs="宋体"/>
          <w:b w:val="0"/>
          <w:bCs w:val="0"/>
          <w:color w:val="auto"/>
          <w:spacing w:val="4"/>
          <w:sz w:val="24"/>
          <w:szCs w:val="24"/>
        </w:rPr>
        <w:t>议题</w:t>
      </w:r>
      <w:r>
        <w:rPr>
          <w:rFonts w:hint="eastAsia" w:ascii="宋体" w:hAnsi="宋体" w:eastAsia="宋体" w:cs="宋体"/>
          <w:b w:val="0"/>
          <w:bCs w:val="0"/>
          <w:color w:val="auto"/>
          <w:spacing w:val="4"/>
          <w:sz w:val="24"/>
          <w:szCs w:val="24"/>
          <w:lang w:val="en-US" w:eastAsia="zh-CN"/>
        </w:rPr>
        <w:t>与标准条款应符合表</w:t>
      </w:r>
      <w:r>
        <w:rPr>
          <w:rFonts w:hint="eastAsia" w:ascii="宋体" w:hAnsi="宋体" w:cs="宋体"/>
          <w:color w:val="auto"/>
          <w:sz w:val="24"/>
          <w:szCs w:val="24"/>
          <w:lang w:val="en-US" w:eastAsia="zh-CN"/>
        </w:rPr>
        <w:t>E.0.5的规则</w:t>
      </w:r>
      <w:r>
        <w:rPr>
          <w:rFonts w:hint="eastAsia" w:ascii="宋体" w:hAnsi="宋体" w:eastAsia="宋体" w:cs="宋体"/>
          <w:b w:val="0"/>
          <w:bCs w:val="0"/>
          <w:color w:val="auto"/>
          <w:spacing w:val="4"/>
          <w:sz w:val="24"/>
          <w:szCs w:val="24"/>
          <w:lang w:val="en-US" w:eastAsia="zh-CN"/>
        </w:rPr>
        <w:t>进行筛选和使用。</w:t>
      </w:r>
    </w:p>
    <w:p w14:paraId="7B5ACCA1">
      <w:pPr>
        <w:spacing w:line="360" w:lineRule="auto"/>
        <w:jc w:val="center"/>
        <w:outlineLvl w:val="0"/>
        <w:rPr>
          <w:rFonts w:hint="eastAsia" w:ascii="宋体" w:hAnsi="宋体" w:eastAsia="宋体" w:cs="宋体"/>
          <w:b/>
          <w:bCs/>
          <w:color w:val="auto"/>
          <w:sz w:val="30"/>
          <w:szCs w:val="30"/>
          <w:highlight w:val="none"/>
        </w:rPr>
      </w:pPr>
      <w:bookmarkStart w:id="649" w:name="_Toc11110"/>
      <w:bookmarkStart w:id="650" w:name="_Toc10651"/>
    </w:p>
    <w:p w14:paraId="36270FCA">
      <w:pPr>
        <w:numPr>
          <w:ilvl w:val="0"/>
          <w:numId w:val="0"/>
        </w:numPr>
        <w:spacing w:line="360" w:lineRule="auto"/>
        <w:ind w:firstLine="1680" w:firstLineChars="700"/>
        <w:rPr>
          <w:rFonts w:hint="eastAsia" w:ascii="Calibri" w:hAnsi="Calibri" w:eastAsia="宋体" w:cs="黑体"/>
          <w:b w:val="0"/>
          <w:bCs w:val="0"/>
          <w:color w:val="auto"/>
          <w:spacing w:val="0"/>
          <w:sz w:val="24"/>
          <w:szCs w:val="24"/>
          <w:highlight w:val="none"/>
          <w:lang w:val="en-US" w:eastAsia="zh-CN"/>
        </w:rPr>
      </w:pPr>
      <w:bookmarkStart w:id="651" w:name="_Toc10255"/>
      <w:bookmarkStart w:id="652" w:name="_Toc22215"/>
      <w:r>
        <w:rPr>
          <w:rFonts w:hint="eastAsia" w:ascii="Calibri" w:hAnsi="Calibri" w:cs="黑体"/>
          <w:b w:val="0"/>
          <w:bCs w:val="0"/>
          <w:color w:val="auto"/>
          <w:sz w:val="24"/>
          <w:szCs w:val="24"/>
          <w:highlight w:val="none"/>
          <w:lang w:val="en-US" w:eastAsia="zh-CN"/>
        </w:rPr>
        <w:t>表</w:t>
      </w:r>
      <w:r>
        <w:rPr>
          <w:rFonts w:hint="eastAsia" w:ascii="宋体" w:hAnsi="宋体" w:cs="宋体"/>
          <w:color w:val="auto"/>
          <w:sz w:val="24"/>
          <w:szCs w:val="24"/>
          <w:lang w:val="en-US" w:eastAsia="zh-CN"/>
        </w:rPr>
        <w:t>E.0.5</w:t>
      </w:r>
      <w:r>
        <w:rPr>
          <w:rFonts w:hint="eastAsia" w:ascii="Calibri" w:hAnsi="Calibri" w:cs="黑体"/>
          <w:b w:val="0"/>
          <w:bCs w:val="0"/>
          <w:color w:val="auto"/>
          <w:sz w:val="24"/>
          <w:szCs w:val="24"/>
          <w:highlight w:val="none"/>
          <w:lang w:val="en-US" w:eastAsia="zh-CN"/>
        </w:rPr>
        <w:t xml:space="preserve"> </w:t>
      </w:r>
      <w:bookmarkEnd w:id="649"/>
      <w:bookmarkEnd w:id="650"/>
      <w:bookmarkEnd w:id="651"/>
      <w:bookmarkEnd w:id="652"/>
      <w:r>
        <w:rPr>
          <w:rFonts w:hint="eastAsia" w:ascii="Calibri" w:hAnsi="Calibri" w:eastAsia="宋体" w:cs="黑体"/>
          <w:b w:val="0"/>
          <w:bCs w:val="0"/>
          <w:color w:val="auto"/>
          <w:spacing w:val="0"/>
          <w:sz w:val="24"/>
          <w:szCs w:val="24"/>
          <w:highlight w:val="none"/>
          <w:lang w:val="en-US" w:eastAsia="zh-CN"/>
        </w:rPr>
        <w:t>各项可持续发展关注</w:t>
      </w:r>
      <w:r>
        <w:rPr>
          <w:rFonts w:hint="eastAsia" w:ascii="Calibri" w:hAnsi="Calibri" w:eastAsia="宋体" w:cs="黑体"/>
          <w:b w:val="0"/>
          <w:bCs w:val="0"/>
          <w:color w:val="auto"/>
          <w:spacing w:val="0"/>
          <w:sz w:val="24"/>
          <w:szCs w:val="24"/>
          <w:highlight w:val="none"/>
        </w:rPr>
        <w:t>议题</w:t>
      </w:r>
      <w:r>
        <w:rPr>
          <w:rFonts w:hint="eastAsia" w:ascii="Calibri" w:hAnsi="Calibri" w:eastAsia="宋体" w:cs="黑体"/>
          <w:b w:val="0"/>
          <w:bCs w:val="0"/>
          <w:color w:val="auto"/>
          <w:spacing w:val="0"/>
          <w:sz w:val="24"/>
          <w:szCs w:val="24"/>
          <w:highlight w:val="none"/>
          <w:lang w:val="en-US" w:eastAsia="zh-CN"/>
        </w:rPr>
        <w:t>与标准条款对照表</w:t>
      </w:r>
    </w:p>
    <w:p w14:paraId="7ED3A4A9">
      <w:pPr>
        <w:pStyle w:val="36"/>
        <w:keepNext w:val="0"/>
        <w:keepLines w:val="0"/>
        <w:pageBreakBefore w:val="0"/>
        <w:widowControl w:val="0"/>
        <w:kinsoku/>
        <w:wordWrap/>
        <w:overflowPunct/>
        <w:topLinePunct w:val="0"/>
        <w:autoSpaceDE/>
        <w:autoSpaceDN/>
        <w:bidi w:val="0"/>
        <w:adjustRightInd w:val="0"/>
        <w:snapToGrid w:val="0"/>
        <w:spacing w:line="240" w:lineRule="auto"/>
        <w:ind w:left="0"/>
        <w:textAlignment w:val="auto"/>
        <w:outlineLvl w:val="1"/>
        <w:rPr>
          <w:rFonts w:hint="default" w:ascii="宋体" w:hAnsi="宋体" w:eastAsia="宋体" w:cs="宋体"/>
          <w:b/>
          <w:bCs/>
          <w:color w:val="auto"/>
          <w:spacing w:val="4"/>
          <w:sz w:val="21"/>
          <w:szCs w:val="21"/>
          <w:lang w:val="en-US" w:eastAsia="zh-CN"/>
        </w:rPr>
      </w:pPr>
    </w:p>
    <w:tbl>
      <w:tblPr>
        <w:tblStyle w:val="14"/>
        <w:tblW w:w="8700" w:type="dxa"/>
        <w:tblInd w:w="9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118"/>
        <w:gridCol w:w="4412"/>
        <w:gridCol w:w="2177"/>
      </w:tblGrid>
      <w:tr w14:paraId="5E02C6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118" w:type="dxa"/>
            <w:tcBorders>
              <w:top w:val="single" w:color="000000" w:sz="4" w:space="0"/>
              <w:left w:val="single" w:color="000000" w:sz="4" w:space="0"/>
              <w:bottom w:val="single" w:color="000000" w:sz="4" w:space="0"/>
              <w:right w:val="single" w:color="000000" w:sz="4" w:space="0"/>
            </w:tcBorders>
            <w:shd w:val="clear" w:color="auto" w:fill="FF8080"/>
            <w:noWrap/>
            <w:vAlign w:val="center"/>
          </w:tcPr>
          <w:p w14:paraId="5BA23737">
            <w:pPr>
              <w:keepNext w:val="0"/>
              <w:keepLines w:val="0"/>
              <w:widowControl/>
              <w:suppressLineNumbers w:val="0"/>
              <w:jc w:val="center"/>
              <w:textAlignment w:val="center"/>
              <w:rPr>
                <w:rFonts w:hint="default" w:ascii="宋体" w:hAnsi="宋体" w:eastAsia="宋体" w:cs="宋体"/>
                <w:b/>
                <w:bCs/>
                <w:i w:val="0"/>
                <w:iCs w:val="0"/>
                <w:color w:val="auto"/>
                <w:sz w:val="24"/>
                <w:szCs w:val="24"/>
                <w:u w:val="none"/>
                <w:lang w:val="en-US" w:eastAsia="zh-CN"/>
              </w:rPr>
            </w:pPr>
            <w:r>
              <w:rPr>
                <w:rFonts w:hint="eastAsia" w:ascii="宋体" w:hAnsi="宋体" w:eastAsia="宋体" w:cs="宋体"/>
                <w:b/>
                <w:bCs/>
                <w:i w:val="0"/>
                <w:iCs w:val="0"/>
                <w:color w:val="auto"/>
                <w:sz w:val="24"/>
                <w:szCs w:val="24"/>
                <w:u w:val="none"/>
                <w:lang w:val="en-US" w:eastAsia="zh-CN"/>
              </w:rPr>
              <w:t>准则</w:t>
            </w:r>
          </w:p>
        </w:tc>
        <w:tc>
          <w:tcPr>
            <w:tcW w:w="4412" w:type="dxa"/>
            <w:tcBorders>
              <w:top w:val="single" w:color="000000" w:sz="4" w:space="0"/>
              <w:left w:val="single" w:color="000000" w:sz="4" w:space="0"/>
              <w:bottom w:val="single" w:color="000000" w:sz="4" w:space="0"/>
              <w:right w:val="single" w:color="000000" w:sz="4" w:space="0"/>
            </w:tcBorders>
            <w:shd w:val="clear" w:color="auto" w:fill="FF8080"/>
            <w:noWrap/>
            <w:vAlign w:val="center"/>
          </w:tcPr>
          <w:p w14:paraId="17ECCCC6">
            <w:pPr>
              <w:keepNext w:val="0"/>
              <w:keepLines w:val="0"/>
              <w:widowControl/>
              <w:suppressLineNumbers w:val="0"/>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关注议题</w:t>
            </w:r>
          </w:p>
        </w:tc>
        <w:tc>
          <w:tcPr>
            <w:tcW w:w="2177" w:type="dxa"/>
            <w:tcBorders>
              <w:top w:val="single" w:color="000000" w:sz="4" w:space="0"/>
              <w:left w:val="single" w:color="000000" w:sz="4" w:space="0"/>
              <w:bottom w:val="single" w:color="000000" w:sz="4" w:space="0"/>
              <w:right w:val="single" w:color="000000" w:sz="4" w:space="0"/>
            </w:tcBorders>
            <w:shd w:val="clear" w:color="auto" w:fill="FF8080"/>
            <w:noWrap/>
            <w:vAlign w:val="center"/>
          </w:tcPr>
          <w:p w14:paraId="7A852238">
            <w:pPr>
              <w:keepNext w:val="0"/>
              <w:keepLines w:val="0"/>
              <w:widowControl/>
              <w:suppressLineNumbers w:val="0"/>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标准条款</w:t>
            </w:r>
          </w:p>
        </w:tc>
      </w:tr>
      <w:tr w14:paraId="089948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1E728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环境可持续</w:t>
            </w:r>
          </w:p>
        </w:tc>
        <w:tc>
          <w:tcPr>
            <w:tcW w:w="44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46BCC4">
            <w:pPr>
              <w:keepNext w:val="0"/>
              <w:keepLines w:val="0"/>
              <w:widowControl/>
              <w:suppressLineNumbers w:val="0"/>
              <w:jc w:val="both"/>
              <w:textAlignment w:val="center"/>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污废水污染控制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7BCEE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4.2.1</w:t>
            </w:r>
          </w:p>
        </w:tc>
      </w:tr>
      <w:tr w14:paraId="3C78B3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C0F585">
            <w:pPr>
              <w:jc w:val="center"/>
              <w:rPr>
                <w:rFonts w:hint="eastAsia" w:ascii="宋体" w:hAnsi="宋体" w:eastAsia="宋体" w:cs="宋体"/>
                <w:i w:val="0"/>
                <w:iCs w:val="0"/>
                <w:color w:val="auto"/>
                <w:sz w:val="24"/>
                <w:szCs w:val="24"/>
                <w:u w:val="none"/>
              </w:rPr>
            </w:pPr>
          </w:p>
        </w:tc>
        <w:tc>
          <w:tcPr>
            <w:tcW w:w="44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1B24A7">
            <w:pPr>
              <w:keepNext w:val="0"/>
              <w:keepLines w:val="0"/>
              <w:widowControl/>
              <w:suppressLineNumbers w:val="0"/>
              <w:jc w:val="both"/>
              <w:textAlignment w:val="center"/>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废气污染控制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F12FF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4.2.2</w:t>
            </w:r>
          </w:p>
        </w:tc>
      </w:tr>
      <w:tr w14:paraId="403AE0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FF0664">
            <w:pPr>
              <w:jc w:val="center"/>
              <w:rPr>
                <w:rFonts w:hint="eastAsia" w:ascii="宋体" w:hAnsi="宋体" w:eastAsia="宋体" w:cs="宋体"/>
                <w:i w:val="0"/>
                <w:iCs w:val="0"/>
                <w:color w:val="auto"/>
                <w:sz w:val="24"/>
                <w:szCs w:val="24"/>
                <w:u w:val="none"/>
              </w:rPr>
            </w:pPr>
          </w:p>
        </w:tc>
        <w:tc>
          <w:tcPr>
            <w:tcW w:w="44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F06543">
            <w:pPr>
              <w:keepNext w:val="0"/>
              <w:keepLines w:val="0"/>
              <w:widowControl/>
              <w:suppressLineNumbers w:val="0"/>
              <w:jc w:val="both"/>
              <w:textAlignment w:val="center"/>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粉尘污染控制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58A08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4.2.3</w:t>
            </w:r>
          </w:p>
        </w:tc>
      </w:tr>
      <w:tr w14:paraId="25DAFF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980D35">
            <w:pPr>
              <w:jc w:val="center"/>
              <w:rPr>
                <w:rFonts w:hint="eastAsia" w:ascii="宋体" w:hAnsi="宋体" w:eastAsia="宋体" w:cs="宋体"/>
                <w:i w:val="0"/>
                <w:iCs w:val="0"/>
                <w:color w:val="auto"/>
                <w:sz w:val="24"/>
                <w:szCs w:val="24"/>
                <w:u w:val="none"/>
              </w:rPr>
            </w:pPr>
          </w:p>
        </w:tc>
        <w:tc>
          <w:tcPr>
            <w:tcW w:w="44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E87FAB">
            <w:pPr>
              <w:keepNext w:val="0"/>
              <w:keepLines w:val="0"/>
              <w:widowControl/>
              <w:suppressLineNumbers w:val="0"/>
              <w:jc w:val="both"/>
              <w:textAlignment w:val="center"/>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噪声污染控制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584BC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4.2.4</w:t>
            </w:r>
          </w:p>
        </w:tc>
      </w:tr>
      <w:tr w14:paraId="524AFF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F081B9">
            <w:pPr>
              <w:jc w:val="center"/>
              <w:rPr>
                <w:rFonts w:hint="eastAsia" w:ascii="宋体" w:hAnsi="宋体" w:eastAsia="宋体" w:cs="宋体"/>
                <w:i w:val="0"/>
                <w:iCs w:val="0"/>
                <w:color w:val="auto"/>
                <w:sz w:val="24"/>
                <w:szCs w:val="24"/>
                <w:u w:val="none"/>
              </w:rPr>
            </w:pPr>
          </w:p>
        </w:tc>
        <w:tc>
          <w:tcPr>
            <w:tcW w:w="44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587391">
            <w:pPr>
              <w:keepNext w:val="0"/>
              <w:keepLines w:val="0"/>
              <w:widowControl/>
              <w:suppressLineNumbers w:val="0"/>
              <w:jc w:val="both"/>
              <w:textAlignment w:val="center"/>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光污染控制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839BE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4.2.5</w:t>
            </w:r>
          </w:p>
        </w:tc>
      </w:tr>
      <w:tr w14:paraId="5D5C9F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7D64AA">
            <w:pPr>
              <w:jc w:val="center"/>
              <w:rPr>
                <w:rFonts w:hint="eastAsia" w:ascii="宋体" w:hAnsi="宋体" w:eastAsia="宋体" w:cs="宋体"/>
                <w:i w:val="0"/>
                <w:iCs w:val="0"/>
                <w:color w:val="auto"/>
                <w:sz w:val="24"/>
                <w:szCs w:val="24"/>
                <w:u w:val="none"/>
              </w:rPr>
            </w:pPr>
          </w:p>
        </w:tc>
        <w:tc>
          <w:tcPr>
            <w:tcW w:w="44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D049C9">
            <w:pPr>
              <w:keepNext w:val="0"/>
              <w:keepLines w:val="0"/>
              <w:widowControl/>
              <w:suppressLineNumbers w:val="0"/>
              <w:jc w:val="both"/>
              <w:textAlignment w:val="center"/>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固体废物源头减量资源化利用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B9F30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4.2.6</w:t>
            </w:r>
          </w:p>
        </w:tc>
      </w:tr>
      <w:tr w14:paraId="063874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17E906">
            <w:pPr>
              <w:jc w:val="center"/>
              <w:rPr>
                <w:rFonts w:hint="eastAsia" w:ascii="宋体" w:hAnsi="宋体" w:eastAsia="宋体" w:cs="宋体"/>
                <w:i w:val="0"/>
                <w:iCs w:val="0"/>
                <w:color w:val="auto"/>
                <w:sz w:val="24"/>
                <w:szCs w:val="24"/>
                <w:u w:val="none"/>
              </w:rPr>
            </w:pPr>
          </w:p>
        </w:tc>
        <w:tc>
          <w:tcPr>
            <w:tcW w:w="44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3A5710">
            <w:pPr>
              <w:keepNext w:val="0"/>
              <w:keepLines w:val="0"/>
              <w:widowControl/>
              <w:suppressLineNumbers w:val="0"/>
              <w:jc w:val="both"/>
              <w:textAlignment w:val="center"/>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土壤污染控制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7540E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4.2.7</w:t>
            </w:r>
          </w:p>
        </w:tc>
      </w:tr>
      <w:tr w14:paraId="3F771F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EDB03F">
            <w:pPr>
              <w:jc w:val="center"/>
              <w:rPr>
                <w:rFonts w:hint="eastAsia" w:ascii="宋体" w:hAnsi="宋体" w:eastAsia="宋体" w:cs="宋体"/>
                <w:i w:val="0"/>
                <w:iCs w:val="0"/>
                <w:color w:val="auto"/>
                <w:sz w:val="24"/>
                <w:szCs w:val="24"/>
                <w:u w:val="none"/>
              </w:rPr>
            </w:pPr>
          </w:p>
        </w:tc>
        <w:tc>
          <w:tcPr>
            <w:tcW w:w="0" w:type="auto"/>
            <w:tcBorders>
              <w:top w:val="nil"/>
              <w:left w:val="nil"/>
              <w:bottom w:val="nil"/>
              <w:right w:val="nil"/>
            </w:tcBorders>
            <w:shd w:val="clear" w:color="auto" w:fill="auto"/>
            <w:noWrap/>
            <w:vAlign w:val="center"/>
          </w:tcPr>
          <w:p w14:paraId="616F3AF6">
            <w:pPr>
              <w:keepNext w:val="0"/>
              <w:keepLines w:val="0"/>
              <w:widowControl/>
              <w:suppressLineNumbers w:val="0"/>
              <w:jc w:val="left"/>
              <w:textAlignment w:val="center"/>
              <w:rPr>
                <w:rFonts w:hint="eastAsia" w:ascii="宋体" w:hAnsi="宋体" w:eastAsia="宋体" w:cs="宋体"/>
                <w:b w:val="0"/>
                <w:bCs w:val="0"/>
                <w:i w:val="0"/>
                <w:iCs w:val="0"/>
                <w:color w:val="auto"/>
                <w:kern w:val="0"/>
                <w:sz w:val="24"/>
                <w:szCs w:val="24"/>
                <w:u w:val="none"/>
                <w:lang w:val="en-US" w:eastAsia="zh-CN" w:bidi="ar"/>
              </w:rPr>
            </w:pPr>
            <w:r>
              <w:rPr>
                <w:rFonts w:hint="eastAsia" w:ascii="宋体" w:hAnsi="宋体" w:eastAsia="宋体" w:cs="宋体"/>
                <w:b w:val="0"/>
                <w:bCs w:val="0"/>
                <w:i w:val="0"/>
                <w:iCs w:val="0"/>
                <w:color w:val="auto"/>
                <w:kern w:val="0"/>
                <w:sz w:val="24"/>
                <w:szCs w:val="24"/>
                <w:u w:val="none"/>
                <w:lang w:val="en-US" w:eastAsia="zh-CN" w:bidi="ar"/>
              </w:rPr>
              <w:t>危险化学品管理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8721B9">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4.2.8</w:t>
            </w:r>
          </w:p>
        </w:tc>
      </w:tr>
      <w:tr w14:paraId="3E8EE01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27F1EE">
            <w:pPr>
              <w:jc w:val="center"/>
              <w:rPr>
                <w:rFonts w:hint="eastAsia" w:ascii="宋体" w:hAnsi="宋体" w:eastAsia="宋体" w:cs="宋体"/>
                <w:i w:val="0"/>
                <w:iCs w:val="0"/>
                <w:color w:val="auto"/>
                <w:sz w:val="24"/>
                <w:szCs w:val="24"/>
                <w:u w:val="none"/>
              </w:rPr>
            </w:pPr>
          </w:p>
        </w:tc>
        <w:tc>
          <w:tcPr>
            <w:tcW w:w="0" w:type="auto"/>
            <w:tcBorders>
              <w:top w:val="nil"/>
              <w:left w:val="nil"/>
              <w:bottom w:val="nil"/>
              <w:right w:val="nil"/>
            </w:tcBorders>
            <w:shd w:val="clear" w:color="auto" w:fill="auto"/>
            <w:noWrap/>
            <w:vAlign w:val="center"/>
          </w:tcPr>
          <w:p w14:paraId="054E2C75">
            <w:pPr>
              <w:keepNext w:val="0"/>
              <w:keepLines w:val="0"/>
              <w:widowControl/>
              <w:suppressLineNumbers w:val="0"/>
              <w:jc w:val="left"/>
              <w:textAlignment w:val="center"/>
              <w:rPr>
                <w:rFonts w:hint="eastAsia" w:ascii="宋体" w:hAnsi="宋体" w:eastAsia="宋体" w:cs="宋体"/>
                <w:b w:val="0"/>
                <w:bCs w:val="0"/>
                <w:i w:val="0"/>
                <w:iCs w:val="0"/>
                <w:color w:val="auto"/>
                <w:kern w:val="0"/>
                <w:sz w:val="24"/>
                <w:szCs w:val="24"/>
                <w:u w:val="none"/>
                <w:lang w:val="en-US" w:eastAsia="zh-CN" w:bidi="ar"/>
              </w:rPr>
            </w:pPr>
            <w:r>
              <w:rPr>
                <w:rFonts w:hint="eastAsia" w:ascii="宋体" w:hAnsi="宋体" w:eastAsia="宋体" w:cs="宋体"/>
                <w:b w:val="0"/>
                <w:bCs w:val="0"/>
                <w:i w:val="0"/>
                <w:iCs w:val="0"/>
                <w:color w:val="auto"/>
                <w:kern w:val="0"/>
                <w:sz w:val="24"/>
                <w:szCs w:val="24"/>
                <w:u w:val="none"/>
                <w:lang w:val="en-US" w:eastAsia="zh-CN" w:bidi="ar"/>
              </w:rPr>
              <w:t>温室气体排放监测、统计与管理。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C6F17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4.2.9</w:t>
            </w:r>
          </w:p>
        </w:tc>
      </w:tr>
      <w:tr w14:paraId="1A7806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2AC4D7">
            <w:pPr>
              <w:jc w:val="center"/>
              <w:rPr>
                <w:rFonts w:hint="eastAsia" w:ascii="宋体" w:hAnsi="宋体" w:eastAsia="宋体" w:cs="宋体"/>
                <w:i w:val="0"/>
                <w:iCs w:val="0"/>
                <w:color w:val="auto"/>
                <w:sz w:val="24"/>
                <w:szCs w:val="24"/>
                <w:u w:val="none"/>
              </w:rPr>
            </w:pPr>
          </w:p>
        </w:tc>
        <w:tc>
          <w:tcPr>
            <w:tcW w:w="44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9DE737">
            <w:pPr>
              <w:keepNext w:val="0"/>
              <w:keepLines w:val="0"/>
              <w:widowControl/>
              <w:suppressLineNumbers w:val="0"/>
              <w:jc w:val="left"/>
              <w:textAlignment w:val="center"/>
              <w:rPr>
                <w:rFonts w:hint="eastAsia" w:ascii="宋体" w:hAnsi="宋体" w:eastAsia="宋体" w:cs="宋体"/>
                <w:b w:val="0"/>
                <w:bCs w:val="0"/>
                <w:i w:val="0"/>
                <w:iCs w:val="0"/>
                <w:color w:val="auto"/>
                <w:kern w:val="0"/>
                <w:sz w:val="24"/>
                <w:szCs w:val="24"/>
                <w:u w:val="none"/>
                <w:lang w:val="en-US" w:eastAsia="zh-CN" w:bidi="ar"/>
              </w:rPr>
            </w:pPr>
            <w:r>
              <w:rPr>
                <w:rFonts w:hint="eastAsia" w:ascii="宋体" w:hAnsi="宋体" w:eastAsia="宋体" w:cs="宋体"/>
                <w:b w:val="0"/>
                <w:bCs w:val="0"/>
                <w:i w:val="0"/>
                <w:iCs w:val="0"/>
                <w:color w:val="auto"/>
                <w:kern w:val="0"/>
                <w:sz w:val="24"/>
                <w:szCs w:val="24"/>
                <w:u w:val="none"/>
                <w:lang w:val="en-US" w:eastAsia="zh-CN" w:bidi="ar"/>
              </w:rPr>
              <w:t>温室气体减排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2D9DA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4.2.10</w:t>
            </w:r>
          </w:p>
        </w:tc>
      </w:tr>
      <w:tr w14:paraId="08701F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4853DF">
            <w:pPr>
              <w:jc w:val="center"/>
              <w:rPr>
                <w:rFonts w:hint="eastAsia" w:ascii="宋体" w:hAnsi="宋体" w:eastAsia="宋体" w:cs="宋体"/>
                <w:i w:val="0"/>
                <w:iCs w:val="0"/>
                <w:color w:val="auto"/>
                <w:sz w:val="24"/>
                <w:szCs w:val="24"/>
                <w:u w:val="none"/>
              </w:rPr>
            </w:pPr>
          </w:p>
        </w:tc>
        <w:tc>
          <w:tcPr>
            <w:tcW w:w="44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093EE8">
            <w:pPr>
              <w:keepNext w:val="0"/>
              <w:keepLines w:val="0"/>
              <w:widowControl/>
              <w:suppressLineNumbers w:val="0"/>
              <w:jc w:val="left"/>
              <w:textAlignment w:val="center"/>
              <w:rPr>
                <w:rFonts w:hint="eastAsia" w:ascii="宋体" w:hAnsi="宋体" w:eastAsia="宋体" w:cs="宋体"/>
                <w:b w:val="0"/>
                <w:bCs w:val="0"/>
                <w:i w:val="0"/>
                <w:iCs w:val="0"/>
                <w:color w:val="auto"/>
                <w:kern w:val="0"/>
                <w:sz w:val="24"/>
                <w:szCs w:val="24"/>
                <w:u w:val="none"/>
                <w:lang w:val="en-US" w:eastAsia="zh-CN" w:bidi="ar"/>
              </w:rPr>
            </w:pPr>
            <w:r>
              <w:rPr>
                <w:rFonts w:hint="eastAsia" w:ascii="宋体" w:hAnsi="宋体" w:eastAsia="宋体" w:cs="宋体"/>
                <w:b w:val="0"/>
                <w:bCs w:val="0"/>
                <w:i w:val="0"/>
                <w:iCs w:val="0"/>
                <w:color w:val="auto"/>
                <w:kern w:val="0"/>
                <w:sz w:val="24"/>
                <w:szCs w:val="24"/>
                <w:u w:val="none"/>
                <w:lang w:val="en-US" w:eastAsia="zh-CN" w:bidi="ar"/>
              </w:rPr>
              <w:t>生物多样性保护</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AC20D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4.2.11</w:t>
            </w:r>
          </w:p>
        </w:tc>
      </w:tr>
      <w:tr w14:paraId="142AED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6"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9E412D">
            <w:pPr>
              <w:jc w:val="center"/>
              <w:rPr>
                <w:rFonts w:hint="eastAsia" w:ascii="宋体" w:hAnsi="宋体" w:eastAsia="宋体" w:cs="宋体"/>
                <w:i w:val="0"/>
                <w:iCs w:val="0"/>
                <w:color w:val="auto"/>
                <w:sz w:val="24"/>
                <w:szCs w:val="24"/>
                <w:u w:val="none"/>
              </w:rPr>
            </w:pPr>
          </w:p>
        </w:tc>
        <w:tc>
          <w:tcPr>
            <w:tcW w:w="44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521929">
            <w:pPr>
              <w:keepNext w:val="0"/>
              <w:keepLines w:val="0"/>
              <w:widowControl/>
              <w:suppressLineNumbers w:val="0"/>
              <w:jc w:val="both"/>
              <w:textAlignment w:val="center"/>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生态系统保护</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305AD8">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4.2.12</w:t>
            </w:r>
          </w:p>
        </w:tc>
      </w:tr>
      <w:tr w14:paraId="48C6BA9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7C0D49">
            <w:pPr>
              <w:jc w:val="center"/>
              <w:rPr>
                <w:rFonts w:hint="eastAsia" w:ascii="宋体" w:hAnsi="宋体" w:eastAsia="宋体" w:cs="宋体"/>
                <w:i w:val="0"/>
                <w:iCs w:val="0"/>
                <w:color w:val="auto"/>
                <w:sz w:val="24"/>
                <w:szCs w:val="24"/>
                <w:u w:val="none"/>
              </w:rPr>
            </w:pPr>
          </w:p>
        </w:tc>
        <w:tc>
          <w:tcPr>
            <w:tcW w:w="44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81CB31">
            <w:pPr>
              <w:keepNext w:val="0"/>
              <w:keepLines w:val="0"/>
              <w:widowControl/>
              <w:suppressLineNumbers w:val="0"/>
              <w:jc w:val="both"/>
              <w:textAlignment w:val="center"/>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生态补偿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77E60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4.2.13</w:t>
            </w:r>
          </w:p>
        </w:tc>
      </w:tr>
      <w:tr w14:paraId="351536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0ABE0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资源可持续</w:t>
            </w:r>
          </w:p>
        </w:tc>
        <w:tc>
          <w:tcPr>
            <w:tcW w:w="44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08D591">
            <w:pPr>
              <w:keepNext w:val="0"/>
              <w:keepLines w:val="0"/>
              <w:widowControl/>
              <w:suppressLineNumbers w:val="0"/>
              <w:jc w:val="both"/>
              <w:textAlignment w:val="center"/>
              <w:rPr>
                <w:rFonts w:hint="eastAsia" w:ascii="宋体" w:hAnsi="宋体" w:eastAsia="宋体" w:cs="宋体"/>
                <w:b w:val="0"/>
                <w:bCs w:val="0"/>
                <w:i w:val="0"/>
                <w:iCs w:val="0"/>
                <w:color w:val="auto"/>
                <w:kern w:val="0"/>
                <w:sz w:val="24"/>
                <w:szCs w:val="24"/>
                <w:u w:val="none"/>
                <w:lang w:val="en-US" w:eastAsia="zh-CN" w:bidi="ar"/>
              </w:rPr>
            </w:pPr>
            <w:r>
              <w:rPr>
                <w:rFonts w:hint="eastAsia" w:ascii="宋体" w:hAnsi="宋体" w:eastAsia="宋体" w:cs="宋体"/>
                <w:b w:val="0"/>
                <w:bCs w:val="0"/>
                <w:i w:val="0"/>
                <w:iCs w:val="0"/>
                <w:color w:val="auto"/>
                <w:kern w:val="0"/>
                <w:sz w:val="24"/>
                <w:szCs w:val="24"/>
                <w:u w:val="none"/>
                <w:lang w:val="en-US" w:eastAsia="zh-CN" w:bidi="ar"/>
              </w:rPr>
              <w:t>能源降耗增效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EB65A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5.2.1</w:t>
            </w:r>
          </w:p>
        </w:tc>
      </w:tr>
      <w:tr w14:paraId="77CD0D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738AAA">
            <w:pPr>
              <w:jc w:val="center"/>
              <w:rPr>
                <w:rFonts w:hint="eastAsia" w:ascii="宋体" w:hAnsi="宋体" w:eastAsia="宋体" w:cs="宋体"/>
                <w:i w:val="0"/>
                <w:iCs w:val="0"/>
                <w:color w:val="auto"/>
                <w:sz w:val="24"/>
                <w:szCs w:val="24"/>
                <w:u w:val="none"/>
              </w:rPr>
            </w:pPr>
          </w:p>
        </w:tc>
        <w:tc>
          <w:tcPr>
            <w:tcW w:w="44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DA2998">
            <w:pPr>
              <w:keepNext w:val="0"/>
              <w:keepLines w:val="0"/>
              <w:widowControl/>
              <w:suppressLineNumbers w:val="0"/>
              <w:jc w:val="both"/>
              <w:textAlignment w:val="center"/>
              <w:rPr>
                <w:rFonts w:hint="eastAsia" w:ascii="宋体" w:hAnsi="宋体" w:eastAsia="宋体" w:cs="宋体"/>
                <w:b w:val="0"/>
                <w:bCs w:val="0"/>
                <w:i w:val="0"/>
                <w:iCs w:val="0"/>
                <w:color w:val="auto"/>
                <w:kern w:val="0"/>
                <w:sz w:val="24"/>
                <w:szCs w:val="24"/>
                <w:u w:val="none"/>
                <w:lang w:val="en-US" w:eastAsia="zh-CN" w:bidi="ar"/>
              </w:rPr>
            </w:pPr>
            <w:r>
              <w:rPr>
                <w:rFonts w:hint="eastAsia" w:ascii="宋体" w:hAnsi="宋体" w:eastAsia="宋体" w:cs="宋体"/>
                <w:b w:val="0"/>
                <w:bCs w:val="0"/>
                <w:i w:val="0"/>
                <w:iCs w:val="0"/>
                <w:color w:val="auto"/>
                <w:kern w:val="0"/>
                <w:sz w:val="24"/>
                <w:szCs w:val="24"/>
                <w:u w:val="none"/>
                <w:lang w:val="en-US" w:eastAsia="zh-CN" w:bidi="ar"/>
              </w:rPr>
              <w:t>可再生能源综合利用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CB1AC9">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5.2.2</w:t>
            </w:r>
          </w:p>
        </w:tc>
      </w:tr>
      <w:tr w14:paraId="27B593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0808C2">
            <w:pPr>
              <w:jc w:val="center"/>
              <w:rPr>
                <w:rFonts w:hint="eastAsia" w:ascii="宋体" w:hAnsi="宋体" w:eastAsia="宋体" w:cs="宋体"/>
                <w:i w:val="0"/>
                <w:iCs w:val="0"/>
                <w:color w:val="auto"/>
                <w:sz w:val="24"/>
                <w:szCs w:val="24"/>
                <w:u w:val="none"/>
              </w:rPr>
            </w:pPr>
          </w:p>
        </w:tc>
        <w:tc>
          <w:tcPr>
            <w:tcW w:w="44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A946B8">
            <w:pPr>
              <w:keepNext w:val="0"/>
              <w:keepLines w:val="0"/>
              <w:widowControl/>
              <w:suppressLineNumbers w:val="0"/>
              <w:jc w:val="both"/>
              <w:textAlignment w:val="center"/>
              <w:rPr>
                <w:rFonts w:hint="eastAsia" w:ascii="宋体" w:hAnsi="宋体" w:eastAsia="宋体" w:cs="宋体"/>
                <w:b w:val="0"/>
                <w:bCs w:val="0"/>
                <w:i w:val="0"/>
                <w:iCs w:val="0"/>
                <w:color w:val="auto"/>
                <w:kern w:val="0"/>
                <w:sz w:val="24"/>
                <w:szCs w:val="24"/>
                <w:u w:val="none"/>
                <w:lang w:val="en-US" w:eastAsia="zh-CN" w:bidi="ar"/>
              </w:rPr>
            </w:pPr>
            <w:r>
              <w:rPr>
                <w:rFonts w:hint="eastAsia" w:ascii="宋体" w:hAnsi="宋体" w:eastAsia="宋体" w:cs="宋体"/>
                <w:b w:val="0"/>
                <w:bCs w:val="0"/>
                <w:i w:val="0"/>
                <w:iCs w:val="0"/>
                <w:color w:val="auto"/>
                <w:kern w:val="0"/>
                <w:sz w:val="24"/>
                <w:szCs w:val="24"/>
                <w:u w:val="none"/>
                <w:lang w:val="en-US" w:eastAsia="zh-CN" w:bidi="ar"/>
              </w:rPr>
              <w:t>能耗能效计量监测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D68DA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5.2.3</w:t>
            </w:r>
          </w:p>
        </w:tc>
      </w:tr>
      <w:tr w14:paraId="50D41D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B8FC38">
            <w:pPr>
              <w:jc w:val="center"/>
              <w:rPr>
                <w:rFonts w:hint="eastAsia" w:ascii="宋体" w:hAnsi="宋体" w:eastAsia="宋体" w:cs="宋体"/>
                <w:i w:val="0"/>
                <w:iCs w:val="0"/>
                <w:color w:val="auto"/>
                <w:sz w:val="24"/>
                <w:szCs w:val="24"/>
                <w:u w:val="none"/>
              </w:rPr>
            </w:pPr>
          </w:p>
        </w:tc>
        <w:tc>
          <w:tcPr>
            <w:tcW w:w="44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B7F554">
            <w:pPr>
              <w:keepNext w:val="0"/>
              <w:keepLines w:val="0"/>
              <w:widowControl/>
              <w:suppressLineNumbers w:val="0"/>
              <w:jc w:val="both"/>
              <w:textAlignment w:val="center"/>
              <w:rPr>
                <w:rFonts w:hint="eastAsia" w:ascii="宋体" w:hAnsi="宋体" w:eastAsia="宋体" w:cs="宋体"/>
                <w:b w:val="0"/>
                <w:bCs w:val="0"/>
                <w:i w:val="0"/>
                <w:iCs w:val="0"/>
                <w:color w:val="auto"/>
                <w:kern w:val="0"/>
                <w:sz w:val="24"/>
                <w:szCs w:val="24"/>
                <w:u w:val="none"/>
                <w:lang w:val="en-US" w:eastAsia="zh-CN" w:bidi="ar"/>
              </w:rPr>
            </w:pPr>
            <w:r>
              <w:rPr>
                <w:rFonts w:hint="eastAsia" w:ascii="宋体" w:hAnsi="宋体" w:eastAsia="宋体" w:cs="宋体"/>
                <w:b w:val="0"/>
                <w:bCs w:val="0"/>
                <w:i w:val="0"/>
                <w:iCs w:val="0"/>
                <w:color w:val="auto"/>
                <w:kern w:val="0"/>
                <w:sz w:val="24"/>
                <w:szCs w:val="24"/>
                <w:u w:val="none"/>
                <w:lang w:val="en-US" w:eastAsia="zh-CN" w:bidi="ar"/>
              </w:rPr>
              <w:t>减少水资源消耗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EE996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5.2.4</w:t>
            </w:r>
          </w:p>
        </w:tc>
      </w:tr>
      <w:tr w14:paraId="11B813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1910D8">
            <w:pPr>
              <w:jc w:val="center"/>
              <w:rPr>
                <w:rFonts w:hint="eastAsia" w:ascii="宋体" w:hAnsi="宋体" w:eastAsia="宋体" w:cs="宋体"/>
                <w:i w:val="0"/>
                <w:iCs w:val="0"/>
                <w:color w:val="auto"/>
                <w:sz w:val="24"/>
                <w:szCs w:val="24"/>
                <w:u w:val="none"/>
              </w:rPr>
            </w:pPr>
          </w:p>
        </w:tc>
        <w:tc>
          <w:tcPr>
            <w:tcW w:w="44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4A1182">
            <w:pPr>
              <w:keepNext w:val="0"/>
              <w:keepLines w:val="0"/>
              <w:widowControl/>
              <w:suppressLineNumbers w:val="0"/>
              <w:jc w:val="both"/>
              <w:textAlignment w:val="center"/>
              <w:rPr>
                <w:rFonts w:hint="eastAsia" w:ascii="宋体" w:hAnsi="宋体" w:eastAsia="宋体" w:cs="宋体"/>
                <w:b w:val="0"/>
                <w:bCs w:val="0"/>
                <w:i w:val="0"/>
                <w:iCs w:val="0"/>
                <w:color w:val="auto"/>
                <w:kern w:val="0"/>
                <w:sz w:val="24"/>
                <w:szCs w:val="24"/>
                <w:u w:val="none"/>
                <w:lang w:val="en-US" w:eastAsia="zh-CN" w:bidi="ar"/>
              </w:rPr>
            </w:pPr>
            <w:r>
              <w:rPr>
                <w:rFonts w:hint="eastAsia" w:ascii="宋体" w:hAnsi="宋体" w:eastAsia="宋体" w:cs="宋体"/>
                <w:b w:val="0"/>
                <w:bCs w:val="0"/>
                <w:i w:val="0"/>
                <w:iCs w:val="0"/>
                <w:color w:val="auto"/>
                <w:kern w:val="0"/>
                <w:sz w:val="24"/>
                <w:szCs w:val="24"/>
                <w:u w:val="none"/>
                <w:lang w:val="en-US" w:eastAsia="zh-CN" w:bidi="ar"/>
              </w:rPr>
              <w:t>非传统水合理利用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F1F4F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5.2.5</w:t>
            </w:r>
          </w:p>
        </w:tc>
      </w:tr>
      <w:tr w14:paraId="559055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8415A5">
            <w:pPr>
              <w:jc w:val="center"/>
              <w:rPr>
                <w:rFonts w:hint="eastAsia" w:ascii="宋体" w:hAnsi="宋体" w:eastAsia="宋体" w:cs="宋体"/>
                <w:i w:val="0"/>
                <w:iCs w:val="0"/>
                <w:color w:val="auto"/>
                <w:sz w:val="24"/>
                <w:szCs w:val="24"/>
                <w:u w:val="none"/>
              </w:rPr>
            </w:pPr>
          </w:p>
        </w:tc>
        <w:tc>
          <w:tcPr>
            <w:tcW w:w="44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43CABA">
            <w:pPr>
              <w:keepNext w:val="0"/>
              <w:keepLines w:val="0"/>
              <w:widowControl/>
              <w:suppressLineNumbers w:val="0"/>
              <w:jc w:val="both"/>
              <w:textAlignment w:val="center"/>
              <w:rPr>
                <w:rFonts w:hint="eastAsia" w:ascii="宋体" w:hAnsi="宋体" w:eastAsia="宋体" w:cs="宋体"/>
                <w:b w:val="0"/>
                <w:bCs w:val="0"/>
                <w:i w:val="0"/>
                <w:iCs w:val="0"/>
                <w:color w:val="auto"/>
                <w:kern w:val="0"/>
                <w:sz w:val="24"/>
                <w:szCs w:val="24"/>
                <w:u w:val="none"/>
                <w:lang w:val="en-US" w:eastAsia="zh-CN" w:bidi="ar"/>
              </w:rPr>
            </w:pPr>
            <w:r>
              <w:rPr>
                <w:rFonts w:hint="eastAsia" w:ascii="宋体" w:hAnsi="宋体" w:eastAsia="宋体" w:cs="宋体"/>
                <w:b w:val="0"/>
                <w:bCs w:val="0"/>
                <w:i w:val="0"/>
                <w:iCs w:val="0"/>
                <w:color w:val="auto"/>
                <w:kern w:val="0"/>
                <w:sz w:val="24"/>
                <w:szCs w:val="24"/>
                <w:u w:val="none"/>
                <w:lang w:val="en-US" w:eastAsia="zh-CN" w:bidi="ar"/>
              </w:rPr>
              <w:t>减少材料量消耗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AB4FA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5.2.6</w:t>
            </w:r>
          </w:p>
        </w:tc>
      </w:tr>
      <w:tr w14:paraId="746987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8903A0">
            <w:pPr>
              <w:jc w:val="center"/>
              <w:rPr>
                <w:rFonts w:hint="eastAsia" w:ascii="宋体" w:hAnsi="宋体" w:eastAsia="宋体" w:cs="宋体"/>
                <w:i w:val="0"/>
                <w:iCs w:val="0"/>
                <w:color w:val="auto"/>
                <w:sz w:val="24"/>
                <w:szCs w:val="24"/>
                <w:u w:val="none"/>
              </w:rPr>
            </w:pPr>
          </w:p>
        </w:tc>
        <w:tc>
          <w:tcPr>
            <w:tcW w:w="44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CB378F">
            <w:pPr>
              <w:keepNext w:val="0"/>
              <w:keepLines w:val="0"/>
              <w:widowControl/>
              <w:suppressLineNumbers w:val="0"/>
              <w:jc w:val="both"/>
              <w:textAlignment w:val="center"/>
              <w:rPr>
                <w:rFonts w:hint="eastAsia" w:ascii="宋体" w:hAnsi="宋体" w:eastAsia="宋体" w:cs="宋体"/>
                <w:b w:val="0"/>
                <w:bCs w:val="0"/>
                <w:i w:val="0"/>
                <w:iCs w:val="0"/>
                <w:color w:val="auto"/>
                <w:kern w:val="0"/>
                <w:sz w:val="24"/>
                <w:szCs w:val="24"/>
                <w:u w:val="none"/>
                <w:lang w:val="en-US" w:eastAsia="zh-CN" w:bidi="ar"/>
              </w:rPr>
            </w:pPr>
            <w:r>
              <w:rPr>
                <w:rFonts w:hint="eastAsia" w:ascii="宋体" w:hAnsi="宋体" w:eastAsia="宋体" w:cs="宋体"/>
                <w:b w:val="0"/>
                <w:bCs w:val="0"/>
                <w:i w:val="0"/>
                <w:iCs w:val="0"/>
                <w:color w:val="auto"/>
                <w:kern w:val="0"/>
                <w:sz w:val="24"/>
                <w:szCs w:val="24"/>
                <w:u w:val="none"/>
                <w:lang w:val="en-US" w:eastAsia="zh-CN" w:bidi="ar"/>
              </w:rPr>
              <w:t>智能建造方式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92212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5.2.7</w:t>
            </w:r>
          </w:p>
        </w:tc>
      </w:tr>
      <w:tr w14:paraId="2B8F64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EA3E85">
            <w:pPr>
              <w:jc w:val="center"/>
              <w:rPr>
                <w:rFonts w:hint="eastAsia" w:ascii="宋体" w:hAnsi="宋体" w:eastAsia="宋体" w:cs="宋体"/>
                <w:i w:val="0"/>
                <w:iCs w:val="0"/>
                <w:color w:val="auto"/>
                <w:sz w:val="24"/>
                <w:szCs w:val="24"/>
                <w:u w:val="none"/>
              </w:rPr>
            </w:pPr>
          </w:p>
        </w:tc>
        <w:tc>
          <w:tcPr>
            <w:tcW w:w="44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8E420F">
            <w:pPr>
              <w:keepNext w:val="0"/>
              <w:keepLines w:val="0"/>
              <w:widowControl/>
              <w:suppressLineNumbers w:val="0"/>
              <w:jc w:val="both"/>
              <w:textAlignment w:val="center"/>
              <w:rPr>
                <w:rFonts w:hint="eastAsia" w:ascii="宋体" w:hAnsi="宋体" w:eastAsia="宋体" w:cs="宋体"/>
                <w:b w:val="0"/>
                <w:bCs w:val="0"/>
                <w:i w:val="0"/>
                <w:iCs w:val="0"/>
                <w:color w:val="auto"/>
                <w:kern w:val="0"/>
                <w:sz w:val="24"/>
                <w:szCs w:val="24"/>
                <w:u w:val="none"/>
                <w:lang w:val="en-US" w:eastAsia="zh-CN" w:bidi="ar"/>
              </w:rPr>
            </w:pPr>
            <w:r>
              <w:rPr>
                <w:rFonts w:hint="eastAsia" w:ascii="宋体" w:hAnsi="宋体" w:eastAsia="宋体" w:cs="宋体"/>
                <w:b w:val="0"/>
                <w:bCs w:val="0"/>
                <w:i w:val="0"/>
                <w:iCs w:val="0"/>
                <w:color w:val="auto"/>
                <w:kern w:val="0"/>
                <w:sz w:val="24"/>
                <w:szCs w:val="24"/>
                <w:u w:val="none"/>
                <w:lang w:val="en-US" w:eastAsia="zh-CN" w:bidi="ar"/>
              </w:rPr>
              <w:t>固体废物回收利用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4E8D39">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5.2.8</w:t>
            </w:r>
          </w:p>
        </w:tc>
      </w:tr>
      <w:tr w14:paraId="3FEB33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E5124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社会可持续</w:t>
            </w:r>
          </w:p>
        </w:tc>
        <w:tc>
          <w:tcPr>
            <w:tcW w:w="44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B08F17">
            <w:pPr>
              <w:keepNext w:val="0"/>
              <w:keepLines w:val="0"/>
              <w:widowControl/>
              <w:suppressLineNumbers w:val="0"/>
              <w:jc w:val="both"/>
              <w:textAlignment w:val="center"/>
              <w:rPr>
                <w:rFonts w:hint="eastAsia" w:ascii="宋体" w:hAnsi="宋体" w:eastAsia="宋体" w:cs="宋体"/>
                <w:b w:val="0"/>
                <w:bCs w:val="0"/>
                <w:i w:val="0"/>
                <w:iCs w:val="0"/>
                <w:color w:val="auto"/>
                <w:kern w:val="0"/>
                <w:sz w:val="24"/>
                <w:szCs w:val="24"/>
                <w:u w:val="none"/>
                <w:lang w:val="en-US" w:eastAsia="zh-CN" w:bidi="ar"/>
              </w:rPr>
            </w:pPr>
            <w:r>
              <w:rPr>
                <w:rFonts w:hint="eastAsia" w:ascii="宋体" w:hAnsi="宋体" w:eastAsia="宋体" w:cs="宋体"/>
                <w:b w:val="0"/>
                <w:bCs w:val="0"/>
                <w:i w:val="0"/>
                <w:iCs w:val="0"/>
                <w:color w:val="auto"/>
                <w:kern w:val="0"/>
                <w:sz w:val="24"/>
                <w:szCs w:val="24"/>
                <w:u w:val="none"/>
                <w:lang w:val="en-US" w:eastAsia="zh-CN" w:bidi="ar"/>
              </w:rPr>
              <w:t>保护员工权益</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4BDA7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6.2.1</w:t>
            </w:r>
          </w:p>
        </w:tc>
      </w:tr>
      <w:tr w14:paraId="157A3C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459CF2">
            <w:pPr>
              <w:jc w:val="center"/>
              <w:rPr>
                <w:rFonts w:hint="eastAsia" w:ascii="宋体" w:hAnsi="宋体" w:eastAsia="宋体" w:cs="宋体"/>
                <w:i w:val="0"/>
                <w:iCs w:val="0"/>
                <w:color w:val="auto"/>
                <w:sz w:val="24"/>
                <w:szCs w:val="24"/>
                <w:u w:val="none"/>
              </w:rPr>
            </w:pPr>
          </w:p>
        </w:tc>
        <w:tc>
          <w:tcPr>
            <w:tcW w:w="44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D9822B">
            <w:pPr>
              <w:keepNext w:val="0"/>
              <w:keepLines w:val="0"/>
              <w:widowControl/>
              <w:suppressLineNumbers w:val="0"/>
              <w:jc w:val="both"/>
              <w:textAlignment w:val="center"/>
              <w:rPr>
                <w:rFonts w:hint="eastAsia" w:ascii="宋体" w:hAnsi="宋体" w:eastAsia="宋体" w:cs="宋体"/>
                <w:b w:val="0"/>
                <w:bCs w:val="0"/>
                <w:i w:val="0"/>
                <w:iCs w:val="0"/>
                <w:color w:val="auto"/>
                <w:kern w:val="0"/>
                <w:sz w:val="24"/>
                <w:szCs w:val="24"/>
                <w:u w:val="none"/>
                <w:lang w:val="en-US" w:eastAsia="zh-CN" w:bidi="ar"/>
              </w:rPr>
            </w:pPr>
            <w:r>
              <w:rPr>
                <w:rFonts w:hint="eastAsia" w:ascii="宋体" w:hAnsi="宋体" w:eastAsia="宋体" w:cs="宋体"/>
                <w:b w:val="0"/>
                <w:bCs w:val="0"/>
                <w:i w:val="0"/>
                <w:iCs w:val="0"/>
                <w:color w:val="auto"/>
                <w:kern w:val="0"/>
                <w:sz w:val="24"/>
                <w:szCs w:val="24"/>
                <w:u w:val="none"/>
                <w:lang w:val="en-US" w:eastAsia="zh-CN" w:bidi="ar"/>
              </w:rPr>
              <w:t>促进员工职业发展</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B275E8">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6.2.2</w:t>
            </w:r>
          </w:p>
        </w:tc>
      </w:tr>
      <w:tr w14:paraId="10E0CC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4CCB24">
            <w:pPr>
              <w:jc w:val="center"/>
              <w:rPr>
                <w:rFonts w:hint="eastAsia" w:ascii="宋体" w:hAnsi="宋体" w:eastAsia="宋体" w:cs="宋体"/>
                <w:i w:val="0"/>
                <w:iCs w:val="0"/>
                <w:color w:val="auto"/>
                <w:sz w:val="24"/>
                <w:szCs w:val="24"/>
                <w:u w:val="none"/>
              </w:rPr>
            </w:pPr>
          </w:p>
        </w:tc>
        <w:tc>
          <w:tcPr>
            <w:tcW w:w="44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6656EB">
            <w:pPr>
              <w:keepNext w:val="0"/>
              <w:keepLines w:val="0"/>
              <w:widowControl/>
              <w:suppressLineNumbers w:val="0"/>
              <w:jc w:val="both"/>
              <w:textAlignment w:val="center"/>
              <w:rPr>
                <w:rFonts w:hint="eastAsia" w:ascii="宋体" w:hAnsi="宋体" w:eastAsia="宋体" w:cs="宋体"/>
                <w:b w:val="0"/>
                <w:bCs w:val="0"/>
                <w:i w:val="0"/>
                <w:iCs w:val="0"/>
                <w:color w:val="auto"/>
                <w:kern w:val="0"/>
                <w:sz w:val="24"/>
                <w:szCs w:val="24"/>
                <w:u w:val="none"/>
                <w:lang w:val="en-US" w:eastAsia="zh-CN" w:bidi="ar"/>
              </w:rPr>
            </w:pPr>
            <w:r>
              <w:rPr>
                <w:rFonts w:hint="eastAsia" w:ascii="宋体" w:hAnsi="宋体" w:eastAsia="宋体" w:cs="宋体"/>
                <w:b w:val="0"/>
                <w:bCs w:val="0"/>
                <w:i w:val="0"/>
                <w:iCs w:val="0"/>
                <w:color w:val="auto"/>
                <w:kern w:val="0"/>
                <w:sz w:val="24"/>
                <w:szCs w:val="24"/>
                <w:u w:val="none"/>
                <w:lang w:val="en-US" w:eastAsia="zh-CN" w:bidi="ar"/>
              </w:rPr>
              <w:t>项目生产安全管理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A29A48">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6.2.3</w:t>
            </w:r>
          </w:p>
        </w:tc>
      </w:tr>
      <w:tr w14:paraId="692F7C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167288">
            <w:pPr>
              <w:jc w:val="center"/>
              <w:rPr>
                <w:rFonts w:hint="eastAsia" w:ascii="宋体" w:hAnsi="宋体" w:eastAsia="宋体" w:cs="宋体"/>
                <w:i w:val="0"/>
                <w:iCs w:val="0"/>
                <w:color w:val="auto"/>
                <w:sz w:val="24"/>
                <w:szCs w:val="24"/>
                <w:u w:val="none"/>
              </w:rPr>
            </w:pPr>
          </w:p>
        </w:tc>
        <w:tc>
          <w:tcPr>
            <w:tcW w:w="44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E091BD">
            <w:pPr>
              <w:keepNext w:val="0"/>
              <w:keepLines w:val="0"/>
              <w:widowControl/>
              <w:suppressLineNumbers w:val="0"/>
              <w:jc w:val="both"/>
              <w:textAlignment w:val="center"/>
              <w:rPr>
                <w:rFonts w:hint="eastAsia" w:ascii="宋体" w:hAnsi="宋体" w:eastAsia="宋体" w:cs="宋体"/>
                <w:b w:val="0"/>
                <w:bCs w:val="0"/>
                <w:i w:val="0"/>
                <w:iCs w:val="0"/>
                <w:color w:val="auto"/>
                <w:kern w:val="0"/>
                <w:sz w:val="24"/>
                <w:szCs w:val="24"/>
                <w:u w:val="none"/>
                <w:lang w:val="en-US" w:eastAsia="zh-CN" w:bidi="ar"/>
              </w:rPr>
            </w:pPr>
            <w:r>
              <w:rPr>
                <w:rFonts w:hint="eastAsia" w:ascii="宋体" w:hAnsi="宋体" w:eastAsia="宋体" w:cs="宋体"/>
                <w:b w:val="0"/>
                <w:bCs w:val="0"/>
                <w:i w:val="0"/>
                <w:iCs w:val="0"/>
                <w:color w:val="auto"/>
                <w:kern w:val="0"/>
                <w:sz w:val="24"/>
                <w:szCs w:val="24"/>
                <w:u w:val="none"/>
                <w:lang w:val="en-US" w:eastAsia="zh-CN" w:bidi="ar"/>
              </w:rPr>
              <w:t>安全培训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D7307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6.2.4</w:t>
            </w:r>
          </w:p>
        </w:tc>
      </w:tr>
      <w:tr w14:paraId="7170D7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DD73D9">
            <w:pPr>
              <w:jc w:val="center"/>
              <w:rPr>
                <w:rFonts w:hint="eastAsia" w:ascii="宋体" w:hAnsi="宋体" w:eastAsia="宋体" w:cs="宋体"/>
                <w:i w:val="0"/>
                <w:iCs w:val="0"/>
                <w:color w:val="auto"/>
                <w:sz w:val="24"/>
                <w:szCs w:val="24"/>
                <w:u w:val="none"/>
              </w:rPr>
            </w:pPr>
          </w:p>
        </w:tc>
        <w:tc>
          <w:tcPr>
            <w:tcW w:w="44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0F6C94">
            <w:pPr>
              <w:keepNext w:val="0"/>
              <w:keepLines w:val="0"/>
              <w:widowControl/>
              <w:suppressLineNumbers w:val="0"/>
              <w:jc w:val="both"/>
              <w:textAlignment w:val="center"/>
              <w:rPr>
                <w:rFonts w:hint="eastAsia" w:ascii="宋体" w:hAnsi="宋体" w:eastAsia="宋体" w:cs="宋体"/>
                <w:b w:val="0"/>
                <w:bCs w:val="0"/>
                <w:i w:val="0"/>
                <w:iCs w:val="0"/>
                <w:color w:val="auto"/>
                <w:kern w:val="0"/>
                <w:sz w:val="24"/>
                <w:szCs w:val="24"/>
                <w:u w:val="none"/>
                <w:lang w:val="en-US" w:eastAsia="zh-CN" w:bidi="ar"/>
              </w:rPr>
            </w:pPr>
            <w:r>
              <w:rPr>
                <w:rFonts w:hint="eastAsia" w:ascii="宋体" w:hAnsi="宋体" w:eastAsia="宋体" w:cs="宋体"/>
                <w:b w:val="0"/>
                <w:bCs w:val="0"/>
                <w:i w:val="0"/>
                <w:iCs w:val="0"/>
                <w:color w:val="auto"/>
                <w:kern w:val="0"/>
                <w:sz w:val="24"/>
                <w:szCs w:val="24"/>
                <w:u w:val="none"/>
                <w:lang w:val="en-US" w:eastAsia="zh-CN" w:bidi="ar"/>
              </w:rPr>
              <w:t>员工身心健康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C998D3">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6.2.5</w:t>
            </w:r>
          </w:p>
        </w:tc>
      </w:tr>
      <w:tr w14:paraId="6AC373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965E0F">
            <w:pPr>
              <w:jc w:val="center"/>
              <w:rPr>
                <w:rFonts w:hint="eastAsia" w:ascii="宋体" w:hAnsi="宋体" w:eastAsia="宋体" w:cs="宋体"/>
                <w:i w:val="0"/>
                <w:iCs w:val="0"/>
                <w:color w:val="auto"/>
                <w:sz w:val="24"/>
                <w:szCs w:val="24"/>
                <w:u w:val="none"/>
              </w:rPr>
            </w:pPr>
          </w:p>
        </w:tc>
        <w:tc>
          <w:tcPr>
            <w:tcW w:w="44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2436E7">
            <w:pPr>
              <w:keepNext w:val="0"/>
              <w:keepLines w:val="0"/>
              <w:widowControl/>
              <w:suppressLineNumbers w:val="0"/>
              <w:jc w:val="both"/>
              <w:textAlignment w:val="center"/>
              <w:rPr>
                <w:rFonts w:hint="eastAsia" w:ascii="宋体" w:hAnsi="宋体" w:eastAsia="宋体" w:cs="宋体"/>
                <w:b w:val="0"/>
                <w:bCs w:val="0"/>
                <w:i w:val="0"/>
                <w:iCs w:val="0"/>
                <w:color w:val="auto"/>
                <w:kern w:val="0"/>
                <w:sz w:val="24"/>
                <w:szCs w:val="24"/>
                <w:u w:val="none"/>
                <w:lang w:val="en-US" w:eastAsia="zh-CN" w:bidi="ar"/>
              </w:rPr>
            </w:pPr>
            <w:r>
              <w:rPr>
                <w:rFonts w:hint="eastAsia" w:ascii="宋体" w:hAnsi="宋体" w:eastAsia="宋体" w:cs="宋体"/>
                <w:b w:val="0"/>
                <w:bCs w:val="0"/>
                <w:i w:val="0"/>
                <w:iCs w:val="0"/>
                <w:color w:val="auto"/>
                <w:kern w:val="0"/>
                <w:sz w:val="24"/>
                <w:szCs w:val="24"/>
                <w:u w:val="none"/>
                <w:lang w:val="en-US" w:eastAsia="zh-CN" w:bidi="ar"/>
              </w:rPr>
              <w:t>质量管理标准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2A6E1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6.2.6</w:t>
            </w:r>
          </w:p>
        </w:tc>
      </w:tr>
      <w:tr w14:paraId="1E7AFD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01D010">
            <w:pPr>
              <w:jc w:val="center"/>
              <w:rPr>
                <w:rFonts w:hint="eastAsia" w:ascii="宋体" w:hAnsi="宋体" w:eastAsia="宋体" w:cs="宋体"/>
                <w:i w:val="0"/>
                <w:iCs w:val="0"/>
                <w:color w:val="auto"/>
                <w:sz w:val="24"/>
                <w:szCs w:val="24"/>
                <w:u w:val="none"/>
              </w:rPr>
            </w:pPr>
          </w:p>
        </w:tc>
        <w:tc>
          <w:tcPr>
            <w:tcW w:w="44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94B2FE">
            <w:pPr>
              <w:keepNext w:val="0"/>
              <w:keepLines w:val="0"/>
              <w:widowControl/>
              <w:suppressLineNumbers w:val="0"/>
              <w:jc w:val="both"/>
              <w:textAlignment w:val="center"/>
              <w:rPr>
                <w:rFonts w:hint="eastAsia" w:ascii="宋体" w:hAnsi="宋体" w:eastAsia="宋体" w:cs="宋体"/>
                <w:b w:val="0"/>
                <w:bCs w:val="0"/>
                <w:i w:val="0"/>
                <w:iCs w:val="0"/>
                <w:color w:val="auto"/>
                <w:kern w:val="0"/>
                <w:sz w:val="24"/>
                <w:szCs w:val="24"/>
                <w:u w:val="none"/>
                <w:lang w:val="en-US" w:eastAsia="zh-CN" w:bidi="ar"/>
              </w:rPr>
            </w:pPr>
            <w:r>
              <w:rPr>
                <w:rFonts w:hint="eastAsia" w:ascii="宋体" w:hAnsi="宋体" w:eastAsia="宋体" w:cs="宋体"/>
                <w:b w:val="0"/>
                <w:bCs w:val="0"/>
                <w:i w:val="0"/>
                <w:iCs w:val="0"/>
                <w:color w:val="auto"/>
                <w:kern w:val="0"/>
                <w:sz w:val="24"/>
                <w:szCs w:val="24"/>
                <w:u w:val="none"/>
                <w:lang w:val="en-US" w:eastAsia="zh-CN" w:bidi="ar"/>
              </w:rPr>
              <w:t>施工质量动态监管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669A38">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6.2.7</w:t>
            </w:r>
          </w:p>
        </w:tc>
      </w:tr>
      <w:tr w14:paraId="001179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849E0A">
            <w:pPr>
              <w:jc w:val="center"/>
              <w:rPr>
                <w:rFonts w:hint="eastAsia" w:ascii="宋体" w:hAnsi="宋体" w:eastAsia="宋体" w:cs="宋体"/>
                <w:i w:val="0"/>
                <w:iCs w:val="0"/>
                <w:color w:val="auto"/>
                <w:sz w:val="24"/>
                <w:szCs w:val="24"/>
                <w:u w:val="none"/>
              </w:rPr>
            </w:pPr>
          </w:p>
        </w:tc>
        <w:tc>
          <w:tcPr>
            <w:tcW w:w="44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4F53A1">
            <w:pPr>
              <w:keepNext w:val="0"/>
              <w:keepLines w:val="0"/>
              <w:widowControl/>
              <w:suppressLineNumbers w:val="0"/>
              <w:jc w:val="both"/>
              <w:textAlignment w:val="center"/>
              <w:rPr>
                <w:rFonts w:hint="eastAsia" w:ascii="宋体" w:hAnsi="宋体" w:eastAsia="宋体" w:cs="宋体"/>
                <w:b w:val="0"/>
                <w:bCs w:val="0"/>
                <w:i w:val="0"/>
                <w:iCs w:val="0"/>
                <w:color w:val="auto"/>
                <w:kern w:val="0"/>
                <w:sz w:val="24"/>
                <w:szCs w:val="24"/>
                <w:u w:val="none"/>
                <w:lang w:val="en-US" w:eastAsia="zh-CN" w:bidi="ar"/>
              </w:rPr>
            </w:pPr>
            <w:r>
              <w:rPr>
                <w:rFonts w:hint="eastAsia" w:ascii="宋体" w:hAnsi="宋体" w:eastAsia="宋体" w:cs="宋体"/>
                <w:b w:val="0"/>
                <w:bCs w:val="0"/>
                <w:i w:val="0"/>
                <w:iCs w:val="0"/>
                <w:color w:val="auto"/>
                <w:kern w:val="0"/>
                <w:sz w:val="24"/>
                <w:szCs w:val="24"/>
                <w:u w:val="none"/>
                <w:lang w:val="en-US" w:eastAsia="zh-CN" w:bidi="ar"/>
              </w:rPr>
              <w:t>质量问题处理与改进</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34035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6.2.8</w:t>
            </w:r>
          </w:p>
        </w:tc>
      </w:tr>
      <w:tr w14:paraId="27877E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1CDE26">
            <w:pPr>
              <w:jc w:val="center"/>
              <w:rPr>
                <w:rFonts w:hint="eastAsia" w:ascii="宋体" w:hAnsi="宋体" w:eastAsia="宋体" w:cs="宋体"/>
                <w:i w:val="0"/>
                <w:iCs w:val="0"/>
                <w:color w:val="auto"/>
                <w:sz w:val="24"/>
                <w:szCs w:val="24"/>
                <w:u w:val="none"/>
              </w:rPr>
            </w:pPr>
          </w:p>
        </w:tc>
        <w:tc>
          <w:tcPr>
            <w:tcW w:w="44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A9B11E">
            <w:pPr>
              <w:keepNext w:val="0"/>
              <w:keepLines w:val="0"/>
              <w:widowControl/>
              <w:suppressLineNumbers w:val="0"/>
              <w:jc w:val="both"/>
              <w:textAlignment w:val="center"/>
              <w:rPr>
                <w:rFonts w:hint="eastAsia" w:ascii="宋体" w:hAnsi="宋体" w:eastAsia="宋体" w:cs="宋体"/>
                <w:b w:val="0"/>
                <w:bCs w:val="0"/>
                <w:i w:val="0"/>
                <w:iCs w:val="0"/>
                <w:color w:val="auto"/>
                <w:kern w:val="0"/>
                <w:sz w:val="24"/>
                <w:szCs w:val="24"/>
                <w:u w:val="none"/>
                <w:lang w:val="en-US" w:eastAsia="zh-CN" w:bidi="ar"/>
              </w:rPr>
            </w:pPr>
            <w:r>
              <w:rPr>
                <w:rFonts w:hint="eastAsia" w:ascii="宋体" w:hAnsi="宋体" w:eastAsia="宋体" w:cs="宋体"/>
                <w:b w:val="0"/>
                <w:bCs w:val="0"/>
                <w:i w:val="0"/>
                <w:iCs w:val="0"/>
                <w:color w:val="auto"/>
                <w:kern w:val="0"/>
                <w:sz w:val="24"/>
                <w:szCs w:val="24"/>
                <w:u w:val="none"/>
                <w:lang w:val="en-US" w:eastAsia="zh-CN" w:bidi="ar"/>
              </w:rPr>
              <w:t>供应链管理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AECDB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6.2.9</w:t>
            </w:r>
          </w:p>
        </w:tc>
      </w:tr>
      <w:tr w14:paraId="05B90D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DE7748">
            <w:pPr>
              <w:jc w:val="center"/>
              <w:rPr>
                <w:rFonts w:hint="eastAsia" w:ascii="宋体" w:hAnsi="宋体" w:eastAsia="宋体" w:cs="宋体"/>
                <w:i w:val="0"/>
                <w:iCs w:val="0"/>
                <w:color w:val="auto"/>
                <w:sz w:val="24"/>
                <w:szCs w:val="24"/>
                <w:u w:val="none"/>
              </w:rPr>
            </w:pPr>
          </w:p>
        </w:tc>
        <w:tc>
          <w:tcPr>
            <w:tcW w:w="44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109DEC">
            <w:pPr>
              <w:keepNext w:val="0"/>
              <w:keepLines w:val="0"/>
              <w:widowControl/>
              <w:suppressLineNumbers w:val="0"/>
              <w:jc w:val="both"/>
              <w:textAlignment w:val="center"/>
              <w:rPr>
                <w:rFonts w:hint="eastAsia" w:ascii="宋体" w:hAnsi="宋体" w:eastAsia="宋体" w:cs="宋体"/>
                <w:b w:val="0"/>
                <w:bCs w:val="0"/>
                <w:i w:val="0"/>
                <w:iCs w:val="0"/>
                <w:color w:val="auto"/>
                <w:kern w:val="0"/>
                <w:sz w:val="24"/>
                <w:szCs w:val="24"/>
                <w:u w:val="none"/>
                <w:lang w:val="en-US" w:eastAsia="zh-CN" w:bidi="ar"/>
              </w:rPr>
            </w:pPr>
            <w:r>
              <w:rPr>
                <w:rFonts w:hint="eastAsia" w:ascii="宋体" w:hAnsi="宋体" w:eastAsia="宋体" w:cs="宋体"/>
                <w:b w:val="0"/>
                <w:bCs w:val="0"/>
                <w:i w:val="0"/>
                <w:iCs w:val="0"/>
                <w:color w:val="auto"/>
                <w:kern w:val="0"/>
                <w:sz w:val="24"/>
                <w:szCs w:val="24"/>
                <w:u w:val="none"/>
                <w:lang w:val="en-US" w:eastAsia="zh-CN" w:bidi="ar"/>
              </w:rPr>
              <w:t>当地居民参与</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00BA3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6.2.10</w:t>
            </w:r>
          </w:p>
        </w:tc>
      </w:tr>
      <w:tr w14:paraId="4F12CB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371F88">
            <w:pPr>
              <w:jc w:val="center"/>
              <w:rPr>
                <w:rFonts w:hint="eastAsia" w:ascii="宋体" w:hAnsi="宋体" w:eastAsia="宋体" w:cs="宋体"/>
                <w:i w:val="0"/>
                <w:iCs w:val="0"/>
                <w:color w:val="auto"/>
                <w:sz w:val="24"/>
                <w:szCs w:val="24"/>
                <w:u w:val="none"/>
              </w:rPr>
            </w:pPr>
          </w:p>
        </w:tc>
        <w:tc>
          <w:tcPr>
            <w:tcW w:w="44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E7CDAD">
            <w:pPr>
              <w:keepNext w:val="0"/>
              <w:keepLines w:val="0"/>
              <w:widowControl/>
              <w:suppressLineNumbers w:val="0"/>
              <w:jc w:val="both"/>
              <w:textAlignment w:val="center"/>
              <w:rPr>
                <w:rFonts w:hint="eastAsia" w:ascii="宋体" w:hAnsi="宋体" w:eastAsia="宋体" w:cs="宋体"/>
                <w:b w:val="0"/>
                <w:bCs w:val="0"/>
                <w:i w:val="0"/>
                <w:iCs w:val="0"/>
                <w:color w:val="auto"/>
                <w:kern w:val="0"/>
                <w:sz w:val="24"/>
                <w:szCs w:val="24"/>
                <w:u w:val="none"/>
                <w:lang w:val="en-US" w:eastAsia="zh-CN" w:bidi="ar"/>
              </w:rPr>
            </w:pPr>
            <w:r>
              <w:rPr>
                <w:rFonts w:hint="eastAsia" w:ascii="宋体" w:hAnsi="宋体" w:eastAsia="宋体" w:cs="宋体"/>
                <w:b w:val="0"/>
                <w:bCs w:val="0"/>
                <w:i w:val="0"/>
                <w:iCs w:val="0"/>
                <w:color w:val="auto"/>
                <w:kern w:val="0"/>
                <w:sz w:val="24"/>
                <w:szCs w:val="24"/>
                <w:u w:val="none"/>
                <w:lang w:val="en-US" w:eastAsia="zh-CN" w:bidi="ar"/>
              </w:rPr>
              <w:t>社区共建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46ED8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6.2.11</w:t>
            </w:r>
          </w:p>
        </w:tc>
      </w:tr>
      <w:tr w14:paraId="681910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7050A7">
            <w:pPr>
              <w:jc w:val="center"/>
              <w:rPr>
                <w:rFonts w:hint="eastAsia" w:ascii="宋体" w:hAnsi="宋体" w:eastAsia="宋体" w:cs="宋体"/>
                <w:i w:val="0"/>
                <w:iCs w:val="0"/>
                <w:color w:val="auto"/>
                <w:sz w:val="24"/>
                <w:szCs w:val="24"/>
                <w:u w:val="none"/>
              </w:rPr>
            </w:pPr>
          </w:p>
        </w:tc>
        <w:tc>
          <w:tcPr>
            <w:tcW w:w="44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EA3D7B">
            <w:pPr>
              <w:keepNext w:val="0"/>
              <w:keepLines w:val="0"/>
              <w:widowControl/>
              <w:suppressLineNumbers w:val="0"/>
              <w:jc w:val="both"/>
              <w:textAlignment w:val="center"/>
              <w:rPr>
                <w:rFonts w:hint="eastAsia" w:ascii="宋体" w:hAnsi="宋体" w:eastAsia="宋体" w:cs="宋体"/>
                <w:b w:val="0"/>
                <w:bCs w:val="0"/>
                <w:i w:val="0"/>
                <w:iCs w:val="0"/>
                <w:color w:val="auto"/>
                <w:kern w:val="0"/>
                <w:sz w:val="24"/>
                <w:szCs w:val="24"/>
                <w:u w:val="none"/>
                <w:lang w:val="en-US" w:eastAsia="zh-CN" w:bidi="ar"/>
              </w:rPr>
            </w:pPr>
            <w:r>
              <w:rPr>
                <w:rFonts w:hint="eastAsia" w:ascii="宋体" w:hAnsi="宋体" w:eastAsia="宋体" w:cs="宋体"/>
                <w:b w:val="0"/>
                <w:bCs w:val="0"/>
                <w:i w:val="0"/>
                <w:iCs w:val="0"/>
                <w:color w:val="auto"/>
                <w:kern w:val="0"/>
                <w:sz w:val="24"/>
                <w:szCs w:val="24"/>
                <w:u w:val="none"/>
                <w:lang w:val="en-US" w:eastAsia="zh-CN" w:bidi="ar"/>
              </w:rPr>
              <w:t>项目战略定位与实施</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62529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6.2.12</w:t>
            </w:r>
          </w:p>
        </w:tc>
      </w:tr>
      <w:tr w14:paraId="027B1E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CD68B7">
            <w:pPr>
              <w:jc w:val="center"/>
              <w:rPr>
                <w:rFonts w:hint="eastAsia" w:ascii="宋体" w:hAnsi="宋体" w:eastAsia="宋体" w:cs="宋体"/>
                <w:i w:val="0"/>
                <w:iCs w:val="0"/>
                <w:color w:val="auto"/>
                <w:sz w:val="24"/>
                <w:szCs w:val="24"/>
                <w:u w:val="none"/>
              </w:rPr>
            </w:pPr>
          </w:p>
        </w:tc>
        <w:tc>
          <w:tcPr>
            <w:tcW w:w="44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1FF801">
            <w:pPr>
              <w:keepNext w:val="0"/>
              <w:keepLines w:val="0"/>
              <w:widowControl/>
              <w:suppressLineNumbers w:val="0"/>
              <w:jc w:val="both"/>
              <w:textAlignment w:val="center"/>
              <w:rPr>
                <w:rFonts w:hint="eastAsia" w:ascii="宋体" w:hAnsi="宋体" w:eastAsia="宋体" w:cs="宋体"/>
                <w:b w:val="0"/>
                <w:bCs w:val="0"/>
                <w:i w:val="0"/>
                <w:iCs w:val="0"/>
                <w:color w:val="auto"/>
                <w:kern w:val="0"/>
                <w:sz w:val="24"/>
                <w:szCs w:val="24"/>
                <w:u w:val="none"/>
                <w:lang w:val="en-US" w:eastAsia="zh-CN" w:bidi="ar"/>
              </w:rPr>
            </w:pPr>
            <w:r>
              <w:rPr>
                <w:rFonts w:hint="eastAsia" w:ascii="宋体" w:hAnsi="宋体" w:eastAsia="宋体" w:cs="宋体"/>
                <w:b w:val="0"/>
                <w:bCs w:val="0"/>
                <w:i w:val="0"/>
                <w:iCs w:val="0"/>
                <w:color w:val="auto"/>
                <w:kern w:val="0"/>
                <w:sz w:val="24"/>
                <w:szCs w:val="24"/>
                <w:u w:val="none"/>
                <w:lang w:val="en-US" w:eastAsia="zh-CN" w:bidi="ar"/>
              </w:rPr>
              <w:t>保质量安全降低建造成本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27137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6.2.13</w:t>
            </w:r>
          </w:p>
        </w:tc>
      </w:tr>
      <w:tr w14:paraId="49E85D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A5A991">
            <w:pPr>
              <w:jc w:val="center"/>
              <w:rPr>
                <w:rFonts w:hint="eastAsia" w:ascii="宋体" w:hAnsi="宋体" w:eastAsia="宋体" w:cs="宋体"/>
                <w:i w:val="0"/>
                <w:iCs w:val="0"/>
                <w:color w:val="auto"/>
                <w:sz w:val="24"/>
                <w:szCs w:val="24"/>
                <w:u w:val="none"/>
              </w:rPr>
            </w:pPr>
          </w:p>
        </w:tc>
        <w:tc>
          <w:tcPr>
            <w:tcW w:w="44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0B3334">
            <w:pPr>
              <w:keepNext w:val="0"/>
              <w:keepLines w:val="0"/>
              <w:widowControl/>
              <w:suppressLineNumbers w:val="0"/>
              <w:jc w:val="both"/>
              <w:textAlignment w:val="center"/>
              <w:rPr>
                <w:rFonts w:hint="eastAsia" w:ascii="宋体" w:hAnsi="宋体" w:eastAsia="宋体" w:cs="宋体"/>
                <w:b w:val="0"/>
                <w:bCs w:val="0"/>
                <w:i w:val="0"/>
                <w:iCs w:val="0"/>
                <w:color w:val="auto"/>
                <w:kern w:val="0"/>
                <w:sz w:val="24"/>
                <w:szCs w:val="24"/>
                <w:u w:val="none"/>
                <w:lang w:val="en-US" w:eastAsia="zh-CN" w:bidi="ar"/>
              </w:rPr>
            </w:pPr>
            <w:r>
              <w:rPr>
                <w:rFonts w:hint="eastAsia" w:ascii="宋体" w:hAnsi="宋体" w:eastAsia="宋体" w:cs="宋体"/>
                <w:b w:val="0"/>
                <w:bCs w:val="0"/>
                <w:i w:val="0"/>
                <w:iCs w:val="0"/>
                <w:color w:val="auto"/>
                <w:kern w:val="0"/>
                <w:sz w:val="24"/>
                <w:szCs w:val="24"/>
                <w:u w:val="none"/>
                <w:lang w:val="en-US" w:eastAsia="zh-CN" w:bidi="ar"/>
              </w:rPr>
              <w:t>经济效益达合理预期</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20C249">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6.2.14</w:t>
            </w:r>
          </w:p>
        </w:tc>
      </w:tr>
      <w:tr w14:paraId="4C49209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8D3D28">
            <w:pPr>
              <w:jc w:val="center"/>
              <w:rPr>
                <w:rFonts w:hint="eastAsia" w:ascii="宋体" w:hAnsi="宋体" w:eastAsia="宋体" w:cs="宋体"/>
                <w:i w:val="0"/>
                <w:iCs w:val="0"/>
                <w:color w:val="auto"/>
                <w:sz w:val="24"/>
                <w:szCs w:val="24"/>
                <w:u w:val="none"/>
              </w:rPr>
            </w:pPr>
          </w:p>
        </w:tc>
        <w:tc>
          <w:tcPr>
            <w:tcW w:w="44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46A785">
            <w:pPr>
              <w:keepNext w:val="0"/>
              <w:keepLines w:val="0"/>
              <w:widowControl/>
              <w:suppressLineNumbers w:val="0"/>
              <w:jc w:val="both"/>
              <w:textAlignment w:val="center"/>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促进经济带动产业发展</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8F2253">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6.2.15</w:t>
            </w:r>
          </w:p>
        </w:tc>
      </w:tr>
      <w:tr w14:paraId="1993E8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414859">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治理可持续</w:t>
            </w:r>
          </w:p>
        </w:tc>
        <w:tc>
          <w:tcPr>
            <w:tcW w:w="44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955C4E">
            <w:pPr>
              <w:keepNext w:val="0"/>
              <w:keepLines w:val="0"/>
              <w:widowControl/>
              <w:suppressLineNumbers w:val="0"/>
              <w:jc w:val="both"/>
              <w:textAlignment w:val="center"/>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治理体系与制度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20CD48">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7.2.1</w:t>
            </w:r>
          </w:p>
        </w:tc>
      </w:tr>
      <w:tr w14:paraId="2AD870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5F014E">
            <w:pPr>
              <w:jc w:val="center"/>
              <w:rPr>
                <w:rFonts w:hint="eastAsia" w:ascii="宋体" w:hAnsi="宋体" w:eastAsia="宋体" w:cs="宋体"/>
                <w:i w:val="0"/>
                <w:iCs w:val="0"/>
                <w:color w:val="auto"/>
                <w:sz w:val="24"/>
                <w:szCs w:val="24"/>
                <w:u w:val="none"/>
              </w:rPr>
            </w:pPr>
          </w:p>
        </w:tc>
        <w:tc>
          <w:tcPr>
            <w:tcW w:w="44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5CCB67">
            <w:pPr>
              <w:keepNext w:val="0"/>
              <w:keepLines w:val="0"/>
              <w:widowControl/>
              <w:suppressLineNumbers w:val="0"/>
              <w:jc w:val="both"/>
              <w:textAlignment w:val="center"/>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项目可持续考核体系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9D844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7.2.2</w:t>
            </w:r>
          </w:p>
        </w:tc>
      </w:tr>
      <w:tr w14:paraId="7D39FFC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E2BFF1">
            <w:pPr>
              <w:jc w:val="center"/>
              <w:rPr>
                <w:rFonts w:hint="eastAsia" w:ascii="宋体" w:hAnsi="宋体" w:eastAsia="宋体" w:cs="宋体"/>
                <w:i w:val="0"/>
                <w:iCs w:val="0"/>
                <w:color w:val="auto"/>
                <w:sz w:val="24"/>
                <w:szCs w:val="24"/>
                <w:u w:val="none"/>
              </w:rPr>
            </w:pPr>
          </w:p>
        </w:tc>
        <w:tc>
          <w:tcPr>
            <w:tcW w:w="44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E31E31">
            <w:pPr>
              <w:keepNext w:val="0"/>
              <w:keepLines w:val="0"/>
              <w:widowControl/>
              <w:suppressLineNumbers w:val="0"/>
              <w:jc w:val="both"/>
              <w:textAlignment w:val="center"/>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应急管理与保障机制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5F03C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7.2.3</w:t>
            </w:r>
          </w:p>
        </w:tc>
      </w:tr>
      <w:tr w14:paraId="4DD834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0C5EBA">
            <w:pPr>
              <w:jc w:val="center"/>
              <w:rPr>
                <w:rFonts w:hint="eastAsia" w:ascii="宋体" w:hAnsi="宋体" w:eastAsia="宋体" w:cs="宋体"/>
                <w:i w:val="0"/>
                <w:iCs w:val="0"/>
                <w:color w:val="auto"/>
                <w:sz w:val="24"/>
                <w:szCs w:val="24"/>
                <w:u w:val="none"/>
              </w:rPr>
            </w:pPr>
          </w:p>
        </w:tc>
        <w:tc>
          <w:tcPr>
            <w:tcW w:w="44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1E9CEA">
            <w:pPr>
              <w:keepNext w:val="0"/>
              <w:keepLines w:val="0"/>
              <w:widowControl/>
              <w:suppressLineNumbers w:val="0"/>
              <w:jc w:val="both"/>
              <w:textAlignment w:val="center"/>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应急装备与措施</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066BA9">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7.2.4</w:t>
            </w:r>
          </w:p>
        </w:tc>
      </w:tr>
      <w:tr w14:paraId="6B0EF8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983C15">
            <w:pPr>
              <w:jc w:val="center"/>
              <w:rPr>
                <w:rFonts w:hint="eastAsia" w:ascii="宋体" w:hAnsi="宋体" w:eastAsia="宋体" w:cs="宋体"/>
                <w:i w:val="0"/>
                <w:iCs w:val="0"/>
                <w:color w:val="auto"/>
                <w:sz w:val="24"/>
                <w:szCs w:val="24"/>
                <w:u w:val="none"/>
              </w:rPr>
            </w:pPr>
          </w:p>
        </w:tc>
        <w:tc>
          <w:tcPr>
            <w:tcW w:w="44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8CF070">
            <w:pPr>
              <w:keepNext w:val="0"/>
              <w:keepLines w:val="0"/>
              <w:widowControl/>
              <w:suppressLineNumbers w:val="0"/>
              <w:jc w:val="both"/>
              <w:textAlignment w:val="center"/>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地下管网应急处置与修复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26D4E8">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7.2.5</w:t>
            </w:r>
          </w:p>
        </w:tc>
      </w:tr>
      <w:tr w14:paraId="418869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03B4FB">
            <w:pPr>
              <w:jc w:val="center"/>
              <w:rPr>
                <w:rFonts w:hint="eastAsia" w:ascii="宋体" w:hAnsi="宋体" w:eastAsia="宋体" w:cs="宋体"/>
                <w:i w:val="0"/>
                <w:iCs w:val="0"/>
                <w:color w:val="auto"/>
                <w:sz w:val="24"/>
                <w:szCs w:val="24"/>
                <w:u w:val="none"/>
              </w:rPr>
            </w:pPr>
          </w:p>
        </w:tc>
        <w:tc>
          <w:tcPr>
            <w:tcW w:w="44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F24342">
            <w:pPr>
              <w:keepNext w:val="0"/>
              <w:keepLines w:val="0"/>
              <w:widowControl/>
              <w:suppressLineNumbers w:val="0"/>
              <w:jc w:val="both"/>
              <w:textAlignment w:val="center"/>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新技术应用与创新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A857F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7.2.6</w:t>
            </w:r>
          </w:p>
        </w:tc>
      </w:tr>
      <w:tr w14:paraId="536381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628E3C">
            <w:pPr>
              <w:jc w:val="center"/>
              <w:rPr>
                <w:rFonts w:hint="eastAsia" w:ascii="宋体" w:hAnsi="宋体" w:eastAsia="宋体" w:cs="宋体"/>
                <w:i w:val="0"/>
                <w:iCs w:val="0"/>
                <w:color w:val="auto"/>
                <w:sz w:val="24"/>
                <w:szCs w:val="24"/>
                <w:u w:val="none"/>
              </w:rPr>
            </w:pPr>
          </w:p>
        </w:tc>
        <w:tc>
          <w:tcPr>
            <w:tcW w:w="44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95DCDD">
            <w:pPr>
              <w:keepNext w:val="0"/>
              <w:keepLines w:val="0"/>
              <w:widowControl/>
              <w:suppressLineNumbers w:val="0"/>
              <w:jc w:val="both"/>
              <w:textAlignment w:val="center"/>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数字化、信息化技术、智能化技术应用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82251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7.2.7</w:t>
            </w:r>
          </w:p>
        </w:tc>
      </w:tr>
      <w:tr w14:paraId="07AF39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B7E065">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67F526">
            <w:pPr>
              <w:keepNext w:val="0"/>
              <w:keepLines w:val="0"/>
              <w:widowControl/>
              <w:suppressLineNumbers w:val="0"/>
              <w:jc w:val="both"/>
              <w:textAlignment w:val="center"/>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信息披露与备案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EE420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7.2.8</w:t>
            </w:r>
          </w:p>
        </w:tc>
      </w:tr>
    </w:tbl>
    <w:p w14:paraId="5C5B6A0E">
      <w:pPr>
        <w:rPr>
          <w:rFonts w:hint="default"/>
          <w:color w:val="auto"/>
          <w:lang w:val="en-US" w:eastAsia="zh-CN"/>
        </w:rPr>
      </w:pPr>
    </w:p>
    <w:p w14:paraId="5750799B">
      <w:pPr>
        <w:numPr>
          <w:ilvl w:val="0"/>
          <w:numId w:val="0"/>
        </w:numPr>
        <w:spacing w:after="0" w:afterLines="-2147483648" w:line="360" w:lineRule="auto"/>
        <w:ind w:firstLine="480" w:firstLineChars="200"/>
        <w:jc w:val="left"/>
        <w:outlineLvl w:val="9"/>
        <w:rPr>
          <w:rFonts w:hint="default"/>
          <w:color w:val="auto"/>
          <w:sz w:val="24"/>
          <w:lang w:val="en-US" w:eastAsia="zh-CN"/>
        </w:rPr>
        <w:sectPr>
          <w:pgSz w:w="11906" w:h="16838"/>
          <w:pgMar w:top="1440" w:right="1800" w:bottom="1440" w:left="1800" w:header="851" w:footer="992" w:gutter="0"/>
          <w:pgNumType w:fmt="decimal"/>
          <w:cols w:space="720" w:num="1"/>
          <w:docGrid w:type="lines" w:linePitch="312" w:charSpace="0"/>
        </w:sectPr>
      </w:pPr>
    </w:p>
    <w:p w14:paraId="6D77D43A">
      <w:pPr>
        <w:jc w:val="center"/>
        <w:outlineLvl w:val="0"/>
        <w:rPr>
          <w:rFonts w:ascii="宋体" w:hAnsi="宋体" w:eastAsia="宋体" w:cs="宋体"/>
          <w:b/>
          <w:bCs/>
          <w:color w:val="auto"/>
          <w:sz w:val="30"/>
          <w:szCs w:val="30"/>
        </w:rPr>
      </w:pPr>
      <w:bookmarkStart w:id="653" w:name="_Toc26707"/>
      <w:bookmarkStart w:id="654" w:name="_Toc22102"/>
      <w:bookmarkStart w:id="655" w:name="_Toc22605"/>
      <w:bookmarkStart w:id="656" w:name="_Toc14267"/>
      <w:bookmarkStart w:id="657" w:name="_Toc29339"/>
      <w:bookmarkStart w:id="658" w:name="_Toc27107"/>
      <w:bookmarkStart w:id="659" w:name="_Toc17853"/>
      <w:r>
        <w:rPr>
          <w:rFonts w:hint="eastAsia" w:ascii="宋体" w:hAnsi="宋体" w:eastAsia="宋体" w:cs="宋体"/>
          <w:b/>
          <w:bCs/>
          <w:color w:val="auto"/>
          <w:sz w:val="30"/>
          <w:szCs w:val="30"/>
        </w:rPr>
        <w:t>用词说明</w:t>
      </w:r>
      <w:bookmarkEnd w:id="653"/>
      <w:bookmarkEnd w:id="654"/>
      <w:bookmarkEnd w:id="655"/>
      <w:bookmarkEnd w:id="656"/>
      <w:bookmarkEnd w:id="657"/>
      <w:bookmarkEnd w:id="658"/>
      <w:bookmarkEnd w:id="659"/>
    </w:p>
    <w:p w14:paraId="1B217AF1">
      <w:pPr>
        <w:pStyle w:val="5"/>
        <w:jc w:val="center"/>
        <w:rPr>
          <w:rFonts w:ascii="宋体" w:hAnsi="宋体" w:eastAsia="宋体" w:cs="宋体"/>
          <w:color w:val="auto"/>
        </w:rPr>
      </w:pPr>
    </w:p>
    <w:p w14:paraId="693FFC83">
      <w:pPr>
        <w:spacing w:line="360" w:lineRule="auto"/>
        <w:ind w:firstLine="560" w:firstLineChars="200"/>
        <w:jc w:val="left"/>
        <w:rPr>
          <w:rFonts w:ascii="宋体" w:hAnsi="宋体" w:eastAsia="宋体" w:cs="宋体"/>
          <w:color w:val="auto"/>
          <w:sz w:val="28"/>
          <w:szCs w:val="28"/>
        </w:rPr>
      </w:pPr>
      <w:r>
        <w:rPr>
          <w:rFonts w:hint="eastAsia" w:ascii="宋体" w:hAnsi="宋体" w:eastAsia="宋体" w:cs="宋体"/>
          <w:color w:val="auto"/>
          <w:sz w:val="28"/>
          <w:szCs w:val="28"/>
        </w:rPr>
        <w:t>为便于在执行本标准条文时区别对待，对要求严格程度不同的用词说明如下：</w:t>
      </w:r>
    </w:p>
    <w:p w14:paraId="7BCD93B7">
      <w:pPr>
        <w:spacing w:line="360" w:lineRule="auto"/>
        <w:ind w:firstLine="560" w:firstLineChars="200"/>
        <w:jc w:val="left"/>
        <w:rPr>
          <w:rFonts w:ascii="宋体" w:hAnsi="宋体" w:eastAsia="宋体" w:cs="宋体"/>
          <w:color w:val="auto"/>
          <w:sz w:val="28"/>
          <w:szCs w:val="28"/>
        </w:rPr>
      </w:pPr>
      <w:r>
        <w:rPr>
          <w:rFonts w:hint="eastAsia" w:ascii="宋体" w:hAnsi="宋体" w:cs="宋体"/>
          <w:color w:val="auto"/>
          <w:sz w:val="28"/>
          <w:szCs w:val="28"/>
          <w:lang w:val="en-US" w:eastAsia="zh-CN"/>
        </w:rPr>
        <w:t xml:space="preserve">1 </w:t>
      </w:r>
      <w:r>
        <w:rPr>
          <w:rFonts w:hint="eastAsia" w:ascii="宋体" w:hAnsi="宋体" w:eastAsia="宋体" w:cs="宋体"/>
          <w:color w:val="auto"/>
          <w:sz w:val="28"/>
          <w:szCs w:val="28"/>
        </w:rPr>
        <w:t>表示很严格，非这样做不可的：</w:t>
      </w:r>
    </w:p>
    <w:p w14:paraId="40F9EE8A">
      <w:pPr>
        <w:spacing w:line="360" w:lineRule="auto"/>
        <w:ind w:firstLine="840" w:firstLineChars="300"/>
        <w:jc w:val="left"/>
        <w:rPr>
          <w:rFonts w:ascii="宋体" w:hAnsi="宋体" w:eastAsia="宋体" w:cs="宋体"/>
          <w:color w:val="auto"/>
          <w:sz w:val="28"/>
          <w:szCs w:val="28"/>
        </w:rPr>
      </w:pPr>
      <w:r>
        <w:rPr>
          <w:rFonts w:hint="eastAsia" w:ascii="宋体" w:hAnsi="宋体" w:eastAsia="宋体" w:cs="宋体"/>
          <w:color w:val="auto"/>
          <w:sz w:val="28"/>
          <w:szCs w:val="28"/>
        </w:rPr>
        <w:t>正面词采用“必须”，反面词采用“严禁”；</w:t>
      </w:r>
    </w:p>
    <w:p w14:paraId="7EDD333B">
      <w:pPr>
        <w:spacing w:line="360" w:lineRule="auto"/>
        <w:ind w:firstLine="560" w:firstLineChars="200"/>
        <w:jc w:val="left"/>
        <w:rPr>
          <w:rFonts w:ascii="宋体" w:hAnsi="宋体" w:eastAsia="宋体" w:cs="宋体"/>
          <w:color w:val="auto"/>
          <w:sz w:val="28"/>
          <w:szCs w:val="28"/>
        </w:rPr>
      </w:pPr>
      <w:r>
        <w:rPr>
          <w:rFonts w:hint="eastAsia" w:ascii="宋体" w:hAnsi="宋体" w:cs="宋体"/>
          <w:color w:val="auto"/>
          <w:sz w:val="28"/>
          <w:szCs w:val="28"/>
          <w:lang w:val="en-US" w:eastAsia="zh-CN"/>
        </w:rPr>
        <w:t xml:space="preserve">2 </w:t>
      </w:r>
      <w:r>
        <w:rPr>
          <w:rFonts w:hint="eastAsia" w:ascii="宋体" w:hAnsi="宋体" w:eastAsia="宋体" w:cs="宋体"/>
          <w:color w:val="auto"/>
          <w:sz w:val="28"/>
          <w:szCs w:val="28"/>
        </w:rPr>
        <w:t>表示严格，在正常情况下均应这样做的：</w:t>
      </w:r>
    </w:p>
    <w:p w14:paraId="65273339">
      <w:pPr>
        <w:spacing w:line="360" w:lineRule="auto"/>
        <w:ind w:firstLine="840" w:firstLineChars="300"/>
        <w:jc w:val="left"/>
        <w:rPr>
          <w:rFonts w:ascii="宋体" w:hAnsi="宋体" w:eastAsia="宋体" w:cs="宋体"/>
          <w:color w:val="auto"/>
          <w:sz w:val="28"/>
          <w:szCs w:val="28"/>
        </w:rPr>
      </w:pPr>
      <w:r>
        <w:rPr>
          <w:rFonts w:hint="eastAsia" w:ascii="宋体" w:hAnsi="宋体" w:eastAsia="宋体" w:cs="宋体"/>
          <w:color w:val="auto"/>
          <w:sz w:val="28"/>
          <w:szCs w:val="28"/>
        </w:rPr>
        <w:t>正面词采用“应”，反面词采用“不应”或者“不得”；</w:t>
      </w:r>
    </w:p>
    <w:p w14:paraId="35D52733">
      <w:pPr>
        <w:spacing w:line="360" w:lineRule="auto"/>
        <w:ind w:firstLine="560" w:firstLineChars="200"/>
        <w:jc w:val="left"/>
        <w:rPr>
          <w:rFonts w:ascii="宋体" w:hAnsi="宋体" w:eastAsia="宋体" w:cs="宋体"/>
          <w:color w:val="auto"/>
          <w:sz w:val="28"/>
          <w:szCs w:val="28"/>
        </w:rPr>
      </w:pPr>
      <w:r>
        <w:rPr>
          <w:rFonts w:hint="eastAsia" w:ascii="宋体" w:hAnsi="宋体" w:cs="宋体"/>
          <w:color w:val="auto"/>
          <w:sz w:val="28"/>
          <w:szCs w:val="28"/>
          <w:lang w:val="en-US" w:eastAsia="zh-CN"/>
        </w:rPr>
        <w:t xml:space="preserve">3 </w:t>
      </w:r>
      <w:r>
        <w:rPr>
          <w:rFonts w:hint="eastAsia" w:ascii="宋体" w:hAnsi="宋体" w:eastAsia="宋体" w:cs="宋体"/>
          <w:color w:val="auto"/>
          <w:sz w:val="28"/>
          <w:szCs w:val="28"/>
        </w:rPr>
        <w:t>表示允许稍有选择，在条件许可时首先应这样做的：</w:t>
      </w:r>
    </w:p>
    <w:p w14:paraId="791C3A48">
      <w:pPr>
        <w:spacing w:line="360" w:lineRule="auto"/>
        <w:ind w:firstLine="840" w:firstLineChars="300"/>
        <w:jc w:val="left"/>
        <w:rPr>
          <w:rFonts w:ascii="宋体" w:hAnsi="宋体" w:eastAsia="宋体" w:cs="宋体"/>
          <w:color w:val="auto"/>
          <w:sz w:val="28"/>
          <w:szCs w:val="28"/>
        </w:rPr>
      </w:pPr>
      <w:r>
        <w:rPr>
          <w:rFonts w:hint="eastAsia" w:ascii="宋体" w:hAnsi="宋体" w:eastAsia="宋体" w:cs="宋体"/>
          <w:color w:val="auto"/>
          <w:sz w:val="28"/>
          <w:szCs w:val="28"/>
        </w:rPr>
        <w:t>正面词采用“宜”，反面词采用“不宜”；</w:t>
      </w:r>
    </w:p>
    <w:p w14:paraId="155E7B91">
      <w:pPr>
        <w:spacing w:line="360" w:lineRule="auto"/>
        <w:ind w:firstLine="560" w:firstLineChars="200"/>
        <w:jc w:val="left"/>
        <w:rPr>
          <w:rFonts w:hint="eastAsia" w:ascii="宋体" w:hAnsi="宋体" w:eastAsia="宋体" w:cs="宋体"/>
          <w:color w:val="auto"/>
          <w:sz w:val="28"/>
          <w:szCs w:val="28"/>
        </w:rPr>
        <w:sectPr>
          <w:pgSz w:w="11906" w:h="16838"/>
          <w:pgMar w:top="1440" w:right="1800" w:bottom="1440" w:left="1800" w:header="851" w:footer="992" w:gutter="0"/>
          <w:pgNumType w:fmt="decimal"/>
          <w:cols w:space="720" w:num="1"/>
          <w:docGrid w:type="lines" w:linePitch="312" w:charSpace="0"/>
        </w:sectPr>
      </w:pPr>
      <w:r>
        <w:rPr>
          <w:rFonts w:hint="eastAsia" w:ascii="宋体" w:hAnsi="宋体" w:cs="宋体"/>
          <w:color w:val="auto"/>
          <w:sz w:val="28"/>
          <w:szCs w:val="28"/>
          <w:lang w:val="en-US" w:eastAsia="zh-CN"/>
        </w:rPr>
        <w:t xml:space="preserve">4 </w:t>
      </w:r>
      <w:r>
        <w:rPr>
          <w:rFonts w:hint="eastAsia" w:ascii="宋体" w:hAnsi="宋体" w:eastAsia="宋体" w:cs="宋体"/>
          <w:color w:val="auto"/>
          <w:sz w:val="28"/>
          <w:szCs w:val="28"/>
        </w:rPr>
        <w:t>表示有选择，在一定条件下可以这样做的，采用“可”。</w:t>
      </w:r>
    </w:p>
    <w:p w14:paraId="62003958">
      <w:pPr>
        <w:jc w:val="center"/>
        <w:outlineLvl w:val="0"/>
        <w:rPr>
          <w:rFonts w:ascii="宋体" w:hAnsi="宋体" w:eastAsia="宋体" w:cs="宋体"/>
          <w:b/>
          <w:bCs/>
          <w:color w:val="auto"/>
          <w:sz w:val="30"/>
          <w:szCs w:val="30"/>
          <w:highlight w:val="none"/>
        </w:rPr>
      </w:pPr>
      <w:bookmarkStart w:id="660" w:name="_Toc14126"/>
      <w:bookmarkStart w:id="661" w:name="_Toc31309"/>
      <w:bookmarkStart w:id="662" w:name="_Toc7986"/>
      <w:bookmarkStart w:id="663" w:name="_Toc20595"/>
      <w:bookmarkStart w:id="664" w:name="_Toc28746"/>
      <w:bookmarkStart w:id="665" w:name="_Toc11483"/>
      <w:bookmarkStart w:id="666" w:name="_Toc27545"/>
      <w:r>
        <w:rPr>
          <w:rFonts w:hint="eastAsia" w:ascii="宋体" w:hAnsi="宋体" w:eastAsia="宋体" w:cs="宋体"/>
          <w:b/>
          <w:bCs/>
          <w:color w:val="auto"/>
          <w:sz w:val="30"/>
          <w:szCs w:val="30"/>
          <w:highlight w:val="none"/>
        </w:rPr>
        <w:t>引用标准名录</w:t>
      </w:r>
      <w:bookmarkEnd w:id="660"/>
      <w:bookmarkEnd w:id="661"/>
      <w:bookmarkEnd w:id="662"/>
      <w:bookmarkEnd w:id="663"/>
      <w:bookmarkEnd w:id="664"/>
      <w:bookmarkEnd w:id="665"/>
      <w:bookmarkEnd w:id="666"/>
    </w:p>
    <w:p w14:paraId="73714F41">
      <w:pPr>
        <w:pStyle w:val="5"/>
        <w:rPr>
          <w:color w:val="auto"/>
        </w:rPr>
      </w:pPr>
    </w:p>
    <w:p w14:paraId="65B3C4E9">
      <w:pPr>
        <w:pStyle w:val="5"/>
        <w:spacing w:line="360" w:lineRule="auto"/>
        <w:ind w:firstLine="560" w:firstLineChars="200"/>
        <w:rPr>
          <w:rFonts w:hint="eastAsia" w:ascii="Segoe UI" w:hAnsi="Segoe UI" w:eastAsia="宋体" w:cs="Segoe UI"/>
          <w:color w:val="auto"/>
          <w:sz w:val="28"/>
          <w:szCs w:val="28"/>
          <w:shd w:val="clear" w:color="auto" w:fill="FDFDFE"/>
        </w:rPr>
      </w:pPr>
      <w:r>
        <w:rPr>
          <w:rFonts w:hint="eastAsia" w:ascii="Segoe UI" w:hAnsi="Segoe UI" w:eastAsia="宋体" w:cs="Segoe UI"/>
          <w:color w:val="auto"/>
          <w:sz w:val="28"/>
          <w:szCs w:val="28"/>
          <w:shd w:val="clear" w:color="auto" w:fill="FDFDFE"/>
        </w:rPr>
        <w:t>本</w:t>
      </w:r>
      <w:r>
        <w:rPr>
          <w:rFonts w:hint="eastAsia" w:ascii="Segoe UI" w:hAnsi="Segoe UI" w:cs="Segoe UI"/>
          <w:color w:val="auto"/>
          <w:sz w:val="28"/>
          <w:szCs w:val="28"/>
          <w:shd w:val="clear" w:color="auto" w:fill="FDFDFE"/>
          <w:lang w:val="en-US" w:eastAsia="zh-CN"/>
        </w:rPr>
        <w:t>标准</w:t>
      </w:r>
      <w:r>
        <w:rPr>
          <w:rFonts w:hint="eastAsia" w:ascii="Segoe UI" w:hAnsi="Segoe UI" w:eastAsia="宋体" w:cs="Segoe UI"/>
          <w:color w:val="auto"/>
          <w:sz w:val="28"/>
          <w:szCs w:val="28"/>
          <w:shd w:val="clear" w:color="auto" w:fill="FDFDFE"/>
        </w:rPr>
        <w:t>引用下列标准。其中，注日期的，仅对该日期对应的版本适用本</w:t>
      </w:r>
      <w:r>
        <w:rPr>
          <w:rFonts w:hint="eastAsia" w:ascii="Segoe UI" w:hAnsi="Segoe UI" w:cs="Segoe UI"/>
          <w:color w:val="auto"/>
          <w:sz w:val="28"/>
          <w:szCs w:val="28"/>
          <w:shd w:val="clear" w:color="auto" w:fill="FDFDFE"/>
          <w:lang w:val="en-US" w:eastAsia="zh-CN"/>
        </w:rPr>
        <w:t>标准</w:t>
      </w:r>
      <w:r>
        <w:rPr>
          <w:rFonts w:hint="eastAsia" w:ascii="Segoe UI" w:hAnsi="Segoe UI" w:cs="Segoe UI"/>
          <w:color w:val="auto"/>
          <w:sz w:val="28"/>
          <w:szCs w:val="28"/>
          <w:shd w:val="clear" w:color="auto" w:fill="FDFDFE"/>
          <w:lang w:eastAsia="zh-CN"/>
        </w:rPr>
        <w:t>；</w:t>
      </w:r>
      <w:r>
        <w:rPr>
          <w:rFonts w:hint="eastAsia" w:ascii="Segoe UI" w:hAnsi="Segoe UI" w:eastAsia="宋体" w:cs="Segoe UI"/>
          <w:color w:val="auto"/>
          <w:sz w:val="28"/>
          <w:szCs w:val="28"/>
          <w:shd w:val="clear" w:color="auto" w:fill="FDFDFE"/>
        </w:rPr>
        <w:t>不注日期的，其最新版适用于本</w:t>
      </w:r>
      <w:r>
        <w:rPr>
          <w:rFonts w:hint="eastAsia" w:ascii="Segoe UI" w:hAnsi="Segoe UI" w:cs="Segoe UI"/>
          <w:color w:val="auto"/>
          <w:sz w:val="28"/>
          <w:szCs w:val="28"/>
          <w:shd w:val="clear" w:color="auto" w:fill="FDFDFE"/>
          <w:lang w:val="en-US" w:eastAsia="zh-CN"/>
        </w:rPr>
        <w:t>标准</w:t>
      </w:r>
      <w:r>
        <w:rPr>
          <w:rFonts w:hint="eastAsia" w:ascii="Segoe UI" w:hAnsi="Segoe UI" w:eastAsia="宋体" w:cs="Segoe UI"/>
          <w:color w:val="auto"/>
          <w:sz w:val="28"/>
          <w:szCs w:val="28"/>
          <w:shd w:val="clear" w:color="auto" w:fill="FDFDFE"/>
        </w:rPr>
        <w:t>。</w:t>
      </w:r>
    </w:p>
    <w:p w14:paraId="28F0FA4D">
      <w:pPr>
        <w:pStyle w:val="5"/>
        <w:spacing w:line="360" w:lineRule="auto"/>
        <w:ind w:firstLine="560" w:firstLineChars="200"/>
        <w:rPr>
          <w:rFonts w:hint="eastAsia" w:ascii="Segoe UI" w:hAnsi="Segoe UI" w:eastAsia="宋体" w:cs="Segoe UI"/>
          <w:color w:val="auto"/>
          <w:sz w:val="28"/>
          <w:szCs w:val="28"/>
          <w:shd w:val="clear" w:color="auto" w:fill="FDFDFE"/>
        </w:rPr>
      </w:pPr>
      <w:r>
        <w:rPr>
          <w:rFonts w:hint="eastAsia" w:ascii="Segoe UI" w:hAnsi="Segoe UI" w:eastAsia="宋体" w:cs="Segoe UI"/>
          <w:color w:val="auto"/>
          <w:sz w:val="28"/>
          <w:szCs w:val="28"/>
          <w:shd w:val="clear" w:color="auto" w:fill="FDFDFE"/>
        </w:rPr>
        <w:t>《声环境质量标准》G</w:t>
      </w:r>
      <w:r>
        <w:rPr>
          <w:rFonts w:hint="eastAsia" w:ascii="Segoe UI" w:hAnsi="Segoe UI" w:cs="Segoe UI"/>
          <w:color w:val="auto"/>
          <w:sz w:val="28"/>
          <w:szCs w:val="28"/>
          <w:shd w:val="clear" w:color="auto" w:fill="FDFDFE"/>
          <w:lang w:eastAsia="zh-CN"/>
        </w:rPr>
        <w:t>B</w:t>
      </w:r>
      <w:r>
        <w:rPr>
          <w:rFonts w:hint="eastAsia" w:ascii="Segoe UI" w:hAnsi="Segoe UI" w:cs="Segoe UI"/>
          <w:color w:val="auto"/>
          <w:sz w:val="28"/>
          <w:szCs w:val="28"/>
          <w:shd w:val="clear" w:color="auto" w:fill="FDFDFE"/>
          <w:lang w:val="en-US" w:eastAsia="zh-CN"/>
        </w:rPr>
        <w:t xml:space="preserve"> </w:t>
      </w:r>
      <w:r>
        <w:rPr>
          <w:rFonts w:hint="eastAsia" w:ascii="Segoe UI" w:hAnsi="Segoe UI" w:cs="Segoe UI"/>
          <w:color w:val="auto"/>
          <w:sz w:val="28"/>
          <w:szCs w:val="28"/>
          <w:shd w:val="clear" w:color="auto" w:fill="FDFDFE"/>
          <w:lang w:eastAsia="zh-CN"/>
        </w:rPr>
        <w:t>3</w:t>
      </w:r>
      <w:r>
        <w:rPr>
          <w:rFonts w:hint="eastAsia" w:ascii="Segoe UI" w:hAnsi="Segoe UI" w:eastAsia="宋体" w:cs="Segoe UI"/>
          <w:color w:val="auto"/>
          <w:sz w:val="28"/>
          <w:szCs w:val="28"/>
          <w:shd w:val="clear" w:color="auto" w:fill="FDFDFE"/>
        </w:rPr>
        <w:t>096</w:t>
      </w:r>
    </w:p>
    <w:p w14:paraId="0EF260D2">
      <w:pPr>
        <w:pStyle w:val="5"/>
        <w:spacing w:line="360" w:lineRule="auto"/>
        <w:ind w:firstLine="560" w:firstLineChars="200"/>
        <w:rPr>
          <w:rFonts w:hint="eastAsia" w:ascii="Segoe UI" w:hAnsi="Segoe UI" w:eastAsia="宋体" w:cs="Segoe UI"/>
          <w:color w:val="auto"/>
          <w:sz w:val="28"/>
          <w:szCs w:val="28"/>
          <w:shd w:val="clear" w:color="auto" w:fill="FDFDFE"/>
        </w:rPr>
      </w:pPr>
      <w:r>
        <w:rPr>
          <w:rFonts w:hint="eastAsia" w:ascii="Segoe UI" w:hAnsi="Segoe UI" w:eastAsia="宋体" w:cs="Segoe UI"/>
          <w:color w:val="auto"/>
          <w:sz w:val="28"/>
          <w:szCs w:val="28"/>
          <w:shd w:val="clear" w:color="auto" w:fill="FDFDFE"/>
        </w:rPr>
        <w:t>《地表水环境质量标准》G</w:t>
      </w:r>
      <w:r>
        <w:rPr>
          <w:rFonts w:hint="eastAsia" w:ascii="Segoe UI" w:hAnsi="Segoe UI" w:cs="Segoe UI"/>
          <w:color w:val="auto"/>
          <w:sz w:val="28"/>
          <w:szCs w:val="28"/>
          <w:shd w:val="clear" w:color="auto" w:fill="FDFDFE"/>
          <w:lang w:eastAsia="zh-CN"/>
        </w:rPr>
        <w:t>B</w:t>
      </w:r>
      <w:r>
        <w:rPr>
          <w:rFonts w:hint="eastAsia" w:ascii="Segoe UI" w:hAnsi="Segoe UI" w:cs="Segoe UI"/>
          <w:color w:val="auto"/>
          <w:sz w:val="28"/>
          <w:szCs w:val="28"/>
          <w:shd w:val="clear" w:color="auto" w:fill="FDFDFE"/>
          <w:lang w:val="en-US" w:eastAsia="zh-CN"/>
        </w:rPr>
        <w:t xml:space="preserve"> </w:t>
      </w:r>
      <w:r>
        <w:rPr>
          <w:rFonts w:hint="eastAsia" w:ascii="Segoe UI" w:hAnsi="Segoe UI" w:cs="Segoe UI"/>
          <w:color w:val="auto"/>
          <w:sz w:val="28"/>
          <w:szCs w:val="28"/>
          <w:shd w:val="clear" w:color="auto" w:fill="FDFDFE"/>
          <w:lang w:eastAsia="zh-CN"/>
        </w:rPr>
        <w:t>3</w:t>
      </w:r>
      <w:r>
        <w:rPr>
          <w:rFonts w:hint="eastAsia" w:ascii="Segoe UI" w:hAnsi="Segoe UI" w:eastAsia="宋体" w:cs="Segoe UI"/>
          <w:color w:val="auto"/>
          <w:sz w:val="28"/>
          <w:szCs w:val="28"/>
          <w:shd w:val="clear" w:color="auto" w:fill="FDFDFE"/>
        </w:rPr>
        <w:t>838</w:t>
      </w:r>
    </w:p>
    <w:p w14:paraId="7045C8CA">
      <w:pPr>
        <w:pStyle w:val="5"/>
        <w:spacing w:line="360" w:lineRule="auto"/>
        <w:ind w:firstLine="560" w:firstLineChars="200"/>
        <w:rPr>
          <w:rFonts w:hint="eastAsia" w:ascii="Segoe UI" w:hAnsi="Segoe UI" w:eastAsia="宋体" w:cs="Segoe UI"/>
          <w:color w:val="auto"/>
          <w:sz w:val="28"/>
          <w:szCs w:val="28"/>
          <w:shd w:val="clear" w:color="auto" w:fill="FDFDFE"/>
        </w:rPr>
      </w:pPr>
      <w:r>
        <w:rPr>
          <w:rFonts w:hint="eastAsia" w:ascii="Segoe UI" w:hAnsi="Segoe UI" w:eastAsia="宋体" w:cs="Segoe UI"/>
          <w:color w:val="auto"/>
          <w:sz w:val="28"/>
          <w:szCs w:val="28"/>
          <w:shd w:val="clear" w:color="auto" w:fill="FDFDFE"/>
        </w:rPr>
        <w:t>《污水综合排放标准》G</w:t>
      </w:r>
      <w:r>
        <w:rPr>
          <w:rFonts w:hint="eastAsia" w:ascii="Segoe UI" w:hAnsi="Segoe UI" w:cs="Segoe UI"/>
          <w:color w:val="auto"/>
          <w:sz w:val="28"/>
          <w:szCs w:val="28"/>
          <w:shd w:val="clear" w:color="auto" w:fill="FDFDFE"/>
          <w:lang w:eastAsia="zh-CN"/>
        </w:rPr>
        <w:t>B</w:t>
      </w:r>
      <w:r>
        <w:rPr>
          <w:rFonts w:hint="eastAsia" w:ascii="Segoe UI" w:hAnsi="Segoe UI" w:cs="Segoe UI"/>
          <w:color w:val="auto"/>
          <w:sz w:val="28"/>
          <w:szCs w:val="28"/>
          <w:shd w:val="clear" w:color="auto" w:fill="FDFDFE"/>
          <w:lang w:val="en-US" w:eastAsia="zh-CN"/>
        </w:rPr>
        <w:t xml:space="preserve"> </w:t>
      </w:r>
      <w:r>
        <w:rPr>
          <w:rFonts w:hint="eastAsia" w:ascii="Segoe UI" w:hAnsi="Segoe UI" w:cs="Segoe UI"/>
          <w:color w:val="auto"/>
          <w:sz w:val="28"/>
          <w:szCs w:val="28"/>
          <w:shd w:val="clear" w:color="auto" w:fill="FDFDFE"/>
          <w:lang w:eastAsia="zh-CN"/>
        </w:rPr>
        <w:t>8</w:t>
      </w:r>
      <w:r>
        <w:rPr>
          <w:rFonts w:hint="eastAsia" w:ascii="Segoe UI" w:hAnsi="Segoe UI" w:eastAsia="宋体" w:cs="Segoe UI"/>
          <w:color w:val="auto"/>
          <w:sz w:val="28"/>
          <w:szCs w:val="28"/>
          <w:shd w:val="clear" w:color="auto" w:fill="FDFDFE"/>
        </w:rPr>
        <w:t>978</w:t>
      </w:r>
    </w:p>
    <w:p w14:paraId="52879791">
      <w:pPr>
        <w:pStyle w:val="5"/>
        <w:spacing w:line="360" w:lineRule="auto"/>
        <w:ind w:firstLine="560" w:firstLineChars="200"/>
        <w:rPr>
          <w:rFonts w:hint="eastAsia" w:ascii="Segoe UI" w:hAnsi="Segoe UI" w:eastAsia="宋体" w:cs="Segoe UI"/>
          <w:color w:val="auto"/>
          <w:sz w:val="28"/>
          <w:szCs w:val="28"/>
          <w:shd w:val="clear" w:color="auto" w:fill="FDFDFE"/>
        </w:rPr>
      </w:pPr>
      <w:r>
        <w:rPr>
          <w:rFonts w:hint="eastAsia" w:ascii="Segoe UI" w:hAnsi="Segoe UI" w:eastAsia="宋体" w:cs="Segoe UI"/>
          <w:color w:val="auto"/>
          <w:sz w:val="28"/>
          <w:szCs w:val="28"/>
          <w:shd w:val="clear" w:color="auto" w:fill="FDFDFE"/>
        </w:rPr>
        <w:t>《工业企业厂界环境噪声排放标准》GB</w:t>
      </w:r>
      <w:r>
        <w:rPr>
          <w:rFonts w:hint="eastAsia" w:ascii="Segoe UI" w:hAnsi="Segoe UI" w:cs="Segoe UI"/>
          <w:color w:val="auto"/>
          <w:sz w:val="28"/>
          <w:szCs w:val="28"/>
          <w:shd w:val="clear" w:color="auto" w:fill="FDFDFE"/>
          <w:lang w:val="en-US" w:eastAsia="zh-CN"/>
        </w:rPr>
        <w:t xml:space="preserve"> </w:t>
      </w:r>
      <w:r>
        <w:rPr>
          <w:rFonts w:hint="eastAsia" w:ascii="Segoe UI" w:hAnsi="Segoe UI" w:eastAsia="宋体" w:cs="Segoe UI"/>
          <w:color w:val="auto"/>
          <w:sz w:val="28"/>
          <w:szCs w:val="28"/>
          <w:shd w:val="clear" w:color="auto" w:fill="FDFDFE"/>
        </w:rPr>
        <w:t>12348</w:t>
      </w:r>
    </w:p>
    <w:p w14:paraId="228436DC">
      <w:pPr>
        <w:pStyle w:val="5"/>
        <w:spacing w:line="360" w:lineRule="auto"/>
        <w:ind w:firstLine="560" w:firstLineChars="200"/>
        <w:rPr>
          <w:rFonts w:hint="eastAsia" w:ascii="Segoe UI" w:hAnsi="Segoe UI" w:eastAsia="宋体" w:cs="Segoe UI"/>
          <w:color w:val="auto"/>
          <w:sz w:val="28"/>
          <w:szCs w:val="28"/>
          <w:shd w:val="clear" w:color="auto" w:fill="FDFDFE"/>
        </w:rPr>
      </w:pPr>
      <w:r>
        <w:rPr>
          <w:rFonts w:hint="eastAsia" w:ascii="Segoe UI" w:hAnsi="Segoe UI" w:eastAsia="宋体" w:cs="Segoe UI"/>
          <w:color w:val="auto"/>
          <w:sz w:val="28"/>
          <w:szCs w:val="28"/>
          <w:shd w:val="clear" w:color="auto" w:fill="FDFDFE"/>
        </w:rPr>
        <w:t xml:space="preserve">《空气潜水减压技术要求》GB/T 12521 </w:t>
      </w:r>
    </w:p>
    <w:p w14:paraId="65AE67F0">
      <w:pPr>
        <w:pStyle w:val="5"/>
        <w:spacing w:line="360" w:lineRule="auto"/>
        <w:ind w:firstLine="560" w:firstLineChars="200"/>
        <w:rPr>
          <w:rFonts w:hint="eastAsia" w:ascii="Segoe UI" w:hAnsi="Segoe UI" w:eastAsia="宋体" w:cs="Segoe UI"/>
          <w:color w:val="auto"/>
          <w:sz w:val="28"/>
          <w:szCs w:val="28"/>
          <w:shd w:val="clear" w:color="auto" w:fill="FDFDFE"/>
        </w:rPr>
      </w:pPr>
      <w:r>
        <w:rPr>
          <w:rFonts w:hint="eastAsia" w:ascii="Segoe UI" w:hAnsi="Segoe UI" w:eastAsia="宋体" w:cs="Segoe UI"/>
          <w:color w:val="auto"/>
          <w:sz w:val="28"/>
          <w:szCs w:val="28"/>
          <w:shd w:val="clear" w:color="auto" w:fill="FDFDFE"/>
        </w:rPr>
        <w:t>《锅炉大气污染物排放标准》GB13271</w:t>
      </w:r>
    </w:p>
    <w:p w14:paraId="5657F713">
      <w:pPr>
        <w:pStyle w:val="5"/>
        <w:spacing w:line="360" w:lineRule="auto"/>
        <w:ind w:firstLine="560" w:firstLineChars="200"/>
        <w:rPr>
          <w:rFonts w:hint="eastAsia" w:ascii="Segoe UI" w:hAnsi="Segoe UI" w:eastAsia="宋体" w:cs="Segoe UI"/>
          <w:color w:val="auto"/>
          <w:sz w:val="28"/>
          <w:szCs w:val="28"/>
          <w:shd w:val="clear" w:color="auto" w:fill="FDFDFE"/>
        </w:rPr>
      </w:pPr>
      <w:r>
        <w:rPr>
          <w:rFonts w:hint="eastAsia" w:ascii="Segoe UI" w:hAnsi="Segoe UI" w:eastAsia="宋体" w:cs="Segoe UI"/>
          <w:color w:val="auto"/>
          <w:sz w:val="28"/>
          <w:szCs w:val="28"/>
          <w:shd w:val="clear" w:color="auto" w:fill="FDFDFE"/>
        </w:rPr>
        <w:t>《地下水质量标准》GB/T</w:t>
      </w:r>
      <w:r>
        <w:rPr>
          <w:rFonts w:hint="eastAsia" w:ascii="Segoe UI" w:hAnsi="Segoe UI" w:cs="Segoe UI"/>
          <w:color w:val="auto"/>
          <w:sz w:val="28"/>
          <w:szCs w:val="28"/>
          <w:shd w:val="clear" w:color="auto" w:fill="FDFDFE"/>
          <w:lang w:val="en-US" w:eastAsia="zh-CN"/>
        </w:rPr>
        <w:t xml:space="preserve"> </w:t>
      </w:r>
      <w:r>
        <w:rPr>
          <w:rFonts w:hint="eastAsia" w:ascii="Segoe UI" w:hAnsi="Segoe UI" w:eastAsia="宋体" w:cs="Segoe UI"/>
          <w:color w:val="auto"/>
          <w:sz w:val="28"/>
          <w:szCs w:val="28"/>
          <w:shd w:val="clear" w:color="auto" w:fill="FDFDFE"/>
        </w:rPr>
        <w:t>14848</w:t>
      </w:r>
    </w:p>
    <w:p w14:paraId="237C3BEC">
      <w:pPr>
        <w:pStyle w:val="5"/>
        <w:spacing w:line="360" w:lineRule="auto"/>
        <w:ind w:firstLine="560" w:firstLineChars="200"/>
        <w:rPr>
          <w:rFonts w:hint="eastAsia" w:ascii="Segoe UI" w:hAnsi="Segoe UI" w:eastAsia="宋体" w:cs="Segoe UI"/>
          <w:color w:val="auto"/>
          <w:sz w:val="28"/>
          <w:szCs w:val="28"/>
          <w:shd w:val="clear" w:color="auto" w:fill="FDFDFE"/>
        </w:rPr>
      </w:pPr>
      <w:r>
        <w:rPr>
          <w:rFonts w:hint="eastAsia" w:ascii="Segoe UI" w:hAnsi="Segoe UI" w:eastAsia="宋体" w:cs="Segoe UI"/>
          <w:color w:val="auto"/>
          <w:sz w:val="28"/>
          <w:szCs w:val="28"/>
          <w:shd w:val="clear" w:color="auto" w:fill="FDFDFE"/>
        </w:rPr>
        <w:t>《大气污染物综合排放标准》GB</w:t>
      </w:r>
      <w:r>
        <w:rPr>
          <w:rFonts w:hint="eastAsia" w:ascii="Segoe UI" w:hAnsi="Segoe UI" w:cs="Segoe UI"/>
          <w:color w:val="auto"/>
          <w:sz w:val="28"/>
          <w:szCs w:val="28"/>
          <w:shd w:val="clear" w:color="auto" w:fill="FDFDFE"/>
          <w:lang w:val="en-US" w:eastAsia="zh-CN"/>
        </w:rPr>
        <w:t xml:space="preserve"> </w:t>
      </w:r>
      <w:r>
        <w:rPr>
          <w:rFonts w:hint="eastAsia" w:ascii="Segoe UI" w:hAnsi="Segoe UI" w:eastAsia="宋体" w:cs="Segoe UI"/>
          <w:color w:val="auto"/>
          <w:sz w:val="28"/>
          <w:szCs w:val="28"/>
          <w:shd w:val="clear" w:color="auto" w:fill="FDFDFE"/>
        </w:rPr>
        <w:t>16297</w:t>
      </w:r>
    </w:p>
    <w:p w14:paraId="2A6CA38C">
      <w:pPr>
        <w:pStyle w:val="5"/>
        <w:spacing w:line="360" w:lineRule="auto"/>
        <w:ind w:firstLine="560" w:firstLineChars="200"/>
        <w:rPr>
          <w:rFonts w:hint="eastAsia" w:ascii="Segoe UI" w:hAnsi="Segoe UI" w:eastAsia="宋体" w:cs="Segoe UI"/>
          <w:color w:val="auto"/>
          <w:sz w:val="28"/>
          <w:szCs w:val="28"/>
          <w:shd w:val="clear" w:color="auto" w:fill="FDFDFE"/>
        </w:rPr>
      </w:pPr>
      <w:r>
        <w:rPr>
          <w:rFonts w:hint="eastAsia" w:ascii="Segoe UI" w:hAnsi="Segoe UI" w:eastAsia="宋体" w:cs="Segoe UI"/>
          <w:color w:val="auto"/>
          <w:sz w:val="28"/>
          <w:szCs w:val="28"/>
          <w:shd w:val="clear" w:color="auto" w:fill="FDFDFE"/>
        </w:rPr>
        <w:t>《生活饮用水输配水设备及防护材料的安全性评价标准》GB/T</w:t>
      </w:r>
      <w:r>
        <w:rPr>
          <w:rFonts w:hint="eastAsia" w:ascii="Segoe UI" w:hAnsi="Segoe UI" w:cs="Segoe UI"/>
          <w:color w:val="auto"/>
          <w:sz w:val="28"/>
          <w:szCs w:val="28"/>
          <w:shd w:val="clear" w:color="auto" w:fill="FDFDFE"/>
          <w:lang w:val="en-US" w:eastAsia="zh-CN"/>
        </w:rPr>
        <w:t xml:space="preserve"> </w:t>
      </w:r>
      <w:r>
        <w:rPr>
          <w:rFonts w:hint="eastAsia" w:ascii="Segoe UI" w:hAnsi="Segoe UI" w:eastAsia="宋体" w:cs="Segoe UI"/>
          <w:color w:val="auto"/>
          <w:sz w:val="28"/>
          <w:szCs w:val="28"/>
          <w:shd w:val="clear" w:color="auto" w:fill="FDFDFE"/>
        </w:rPr>
        <w:t>17219</w:t>
      </w:r>
    </w:p>
    <w:p w14:paraId="477B7E31">
      <w:pPr>
        <w:pStyle w:val="5"/>
        <w:spacing w:line="360" w:lineRule="auto"/>
        <w:ind w:firstLine="560" w:firstLineChars="200"/>
        <w:rPr>
          <w:rFonts w:hint="eastAsia" w:ascii="Segoe UI" w:hAnsi="Segoe UI" w:eastAsia="宋体" w:cs="Segoe UI"/>
          <w:color w:val="auto"/>
          <w:sz w:val="28"/>
          <w:szCs w:val="28"/>
          <w:shd w:val="clear" w:color="auto" w:fill="FDFDFE"/>
        </w:rPr>
      </w:pPr>
      <w:r>
        <w:rPr>
          <w:rFonts w:hint="eastAsia" w:ascii="Segoe UI" w:hAnsi="Segoe UI" w:eastAsia="宋体" w:cs="Segoe UI"/>
          <w:color w:val="auto"/>
          <w:sz w:val="28"/>
          <w:szCs w:val="28"/>
          <w:shd w:val="clear" w:color="auto" w:fill="FDFDFE"/>
        </w:rPr>
        <w:t>《室内空气质量标准》GB/T 18883</w:t>
      </w:r>
    </w:p>
    <w:p w14:paraId="6E879C5B">
      <w:pPr>
        <w:pStyle w:val="5"/>
        <w:spacing w:line="360" w:lineRule="auto"/>
        <w:ind w:firstLine="560" w:firstLineChars="200"/>
        <w:rPr>
          <w:rFonts w:hint="eastAsia" w:ascii="Segoe UI" w:hAnsi="Segoe UI" w:eastAsia="宋体" w:cs="Segoe UI"/>
          <w:color w:val="auto"/>
          <w:sz w:val="28"/>
          <w:szCs w:val="28"/>
          <w:shd w:val="clear" w:color="auto" w:fill="FDFDFE"/>
        </w:rPr>
      </w:pPr>
      <w:r>
        <w:rPr>
          <w:rFonts w:hint="eastAsia" w:ascii="Segoe UI" w:hAnsi="Segoe UI" w:eastAsia="宋体" w:cs="Segoe UI"/>
          <w:color w:val="auto"/>
          <w:sz w:val="28"/>
          <w:szCs w:val="28"/>
          <w:shd w:val="clear" w:color="auto" w:fill="FDFDFE"/>
        </w:rPr>
        <w:t>《混凝土和砂浆用再生细骨料》GB/T 25176</w:t>
      </w:r>
    </w:p>
    <w:p w14:paraId="484083EE">
      <w:pPr>
        <w:pStyle w:val="5"/>
        <w:spacing w:line="360" w:lineRule="auto"/>
        <w:ind w:firstLine="560" w:firstLineChars="200"/>
        <w:rPr>
          <w:rFonts w:hint="eastAsia" w:ascii="Segoe UI" w:hAnsi="Segoe UI" w:eastAsia="宋体" w:cs="Segoe UI"/>
          <w:color w:val="auto"/>
          <w:sz w:val="28"/>
          <w:szCs w:val="28"/>
          <w:shd w:val="clear" w:color="auto" w:fill="FDFDFE"/>
        </w:rPr>
      </w:pPr>
      <w:r>
        <w:rPr>
          <w:rFonts w:hint="eastAsia" w:ascii="Segoe UI" w:hAnsi="Segoe UI" w:eastAsia="宋体" w:cs="Segoe UI"/>
          <w:color w:val="auto"/>
          <w:sz w:val="28"/>
          <w:szCs w:val="28"/>
          <w:shd w:val="clear" w:color="auto" w:fill="FDFDFE"/>
        </w:rPr>
        <w:t>《混凝土用再生粗骨料》GB/T 25177</w:t>
      </w:r>
    </w:p>
    <w:p w14:paraId="4FB39678">
      <w:pPr>
        <w:pStyle w:val="5"/>
        <w:spacing w:line="360" w:lineRule="auto"/>
        <w:ind w:firstLine="560" w:firstLineChars="200"/>
        <w:rPr>
          <w:rFonts w:hint="eastAsia" w:ascii="Segoe UI" w:hAnsi="Segoe UI" w:eastAsia="宋体" w:cs="Segoe UI"/>
          <w:color w:val="auto"/>
          <w:sz w:val="28"/>
          <w:szCs w:val="28"/>
          <w:shd w:val="clear" w:color="auto" w:fill="FDFDFE"/>
        </w:rPr>
      </w:pPr>
      <w:r>
        <w:rPr>
          <w:rFonts w:hint="eastAsia" w:ascii="Segoe UI" w:hAnsi="Segoe UI" w:eastAsia="宋体" w:cs="Segoe UI"/>
          <w:color w:val="auto"/>
          <w:sz w:val="28"/>
          <w:szCs w:val="28"/>
          <w:shd w:val="clear" w:color="auto" w:fill="FDFDFE"/>
        </w:rPr>
        <w:t>《土壤环境质量建设用地土壤污染风险管控标准》G</w:t>
      </w:r>
      <w:r>
        <w:rPr>
          <w:rFonts w:hint="eastAsia" w:ascii="Segoe UI" w:hAnsi="Segoe UI" w:cs="Segoe UI"/>
          <w:color w:val="auto"/>
          <w:sz w:val="28"/>
          <w:szCs w:val="28"/>
          <w:shd w:val="clear" w:color="auto" w:fill="FDFDFE"/>
          <w:lang w:eastAsia="zh-CN"/>
        </w:rPr>
        <w:t>B</w:t>
      </w:r>
      <w:r>
        <w:rPr>
          <w:rFonts w:hint="eastAsia" w:ascii="Segoe UI" w:hAnsi="Segoe UI" w:cs="Segoe UI"/>
          <w:color w:val="auto"/>
          <w:sz w:val="28"/>
          <w:szCs w:val="28"/>
          <w:shd w:val="clear" w:color="auto" w:fill="FDFDFE"/>
          <w:lang w:val="en-US" w:eastAsia="zh-CN"/>
        </w:rPr>
        <w:t xml:space="preserve"> </w:t>
      </w:r>
      <w:r>
        <w:rPr>
          <w:rFonts w:hint="eastAsia" w:ascii="Segoe UI" w:hAnsi="Segoe UI" w:cs="Segoe UI"/>
          <w:color w:val="auto"/>
          <w:sz w:val="28"/>
          <w:szCs w:val="28"/>
          <w:shd w:val="clear" w:color="auto" w:fill="FDFDFE"/>
          <w:lang w:eastAsia="zh-CN"/>
        </w:rPr>
        <w:t>3</w:t>
      </w:r>
      <w:r>
        <w:rPr>
          <w:rFonts w:hint="eastAsia" w:ascii="Segoe UI" w:hAnsi="Segoe UI" w:eastAsia="宋体" w:cs="Segoe UI"/>
          <w:color w:val="auto"/>
          <w:sz w:val="28"/>
          <w:szCs w:val="28"/>
          <w:shd w:val="clear" w:color="auto" w:fill="FDFDFE"/>
        </w:rPr>
        <w:t>6600</w:t>
      </w:r>
    </w:p>
    <w:p w14:paraId="0E7CDD58">
      <w:pPr>
        <w:pStyle w:val="5"/>
        <w:spacing w:line="360" w:lineRule="auto"/>
        <w:ind w:firstLine="560" w:firstLineChars="200"/>
        <w:rPr>
          <w:rFonts w:hint="eastAsia" w:ascii="Segoe UI" w:hAnsi="Segoe UI" w:eastAsia="宋体" w:cs="Segoe UI"/>
          <w:color w:val="auto"/>
          <w:sz w:val="28"/>
          <w:szCs w:val="28"/>
          <w:shd w:val="clear" w:color="auto" w:fill="FDFDFE"/>
        </w:rPr>
      </w:pPr>
      <w:r>
        <w:rPr>
          <w:rFonts w:hint="eastAsia" w:ascii="Segoe UI" w:hAnsi="Segoe UI" w:eastAsia="宋体" w:cs="Segoe UI"/>
          <w:color w:val="auto"/>
          <w:sz w:val="28"/>
          <w:szCs w:val="28"/>
          <w:shd w:val="clear" w:color="auto" w:fill="FDFDFE"/>
        </w:rPr>
        <w:t>《民用建筑室内热湿环境评价标准》GB/T 50785</w:t>
      </w:r>
      <w:bookmarkStart w:id="904" w:name="_GoBack"/>
      <w:bookmarkEnd w:id="904"/>
    </w:p>
    <w:p w14:paraId="57251B1C">
      <w:pPr>
        <w:pStyle w:val="5"/>
        <w:spacing w:line="360" w:lineRule="auto"/>
        <w:ind w:firstLine="560" w:firstLineChars="200"/>
        <w:rPr>
          <w:rFonts w:hint="eastAsia" w:ascii="Segoe UI" w:hAnsi="Segoe UI" w:eastAsia="宋体" w:cs="Segoe UI"/>
          <w:color w:val="auto"/>
          <w:sz w:val="28"/>
          <w:szCs w:val="28"/>
          <w:shd w:val="clear" w:color="auto" w:fill="FDFDFE"/>
        </w:rPr>
      </w:pPr>
      <w:r>
        <w:rPr>
          <w:rFonts w:hint="eastAsia" w:ascii="Segoe UI" w:hAnsi="Segoe UI" w:eastAsia="宋体" w:cs="Segoe UI"/>
          <w:color w:val="auto"/>
          <w:sz w:val="28"/>
          <w:szCs w:val="28"/>
          <w:shd w:val="clear" w:color="auto" w:fill="FDFDFE"/>
        </w:rPr>
        <w:t>《城镇供水管网漏损控制机评定标准》CJJ92-2016</w:t>
      </w:r>
    </w:p>
    <w:p w14:paraId="08C5EE5C">
      <w:pPr>
        <w:pStyle w:val="5"/>
        <w:spacing w:line="360" w:lineRule="auto"/>
        <w:ind w:firstLine="560" w:firstLineChars="200"/>
        <w:rPr>
          <w:rFonts w:hint="eastAsia" w:ascii="Segoe UI" w:hAnsi="Segoe UI" w:eastAsia="宋体" w:cs="Segoe UI"/>
          <w:color w:val="auto"/>
          <w:sz w:val="28"/>
          <w:szCs w:val="28"/>
          <w:shd w:val="clear" w:color="auto" w:fill="FDFDFE"/>
        </w:rPr>
      </w:pPr>
      <w:r>
        <w:rPr>
          <w:rFonts w:hint="eastAsia" w:ascii="Segoe UI" w:hAnsi="Segoe UI" w:eastAsia="宋体" w:cs="Segoe UI"/>
          <w:color w:val="auto"/>
          <w:sz w:val="28"/>
          <w:szCs w:val="28"/>
          <w:shd w:val="clear" w:color="auto" w:fill="FDFDFE"/>
        </w:rPr>
        <w:t>《城镇供热系统节能技术规范》CJJ/T185-2012</w:t>
      </w:r>
    </w:p>
    <w:p w14:paraId="4ABEE9DD">
      <w:pPr>
        <w:pStyle w:val="5"/>
        <w:spacing w:line="360" w:lineRule="auto"/>
        <w:ind w:firstLine="560" w:firstLineChars="200"/>
        <w:rPr>
          <w:rFonts w:hint="eastAsia" w:ascii="Segoe UI" w:hAnsi="Segoe UI" w:eastAsia="宋体" w:cs="Segoe UI"/>
          <w:color w:val="auto"/>
          <w:sz w:val="28"/>
          <w:szCs w:val="28"/>
          <w:shd w:val="clear" w:color="auto" w:fill="FDFDFE"/>
        </w:rPr>
      </w:pPr>
      <w:r>
        <w:rPr>
          <w:rFonts w:hint="eastAsia" w:ascii="Segoe UI" w:hAnsi="Segoe UI" w:eastAsia="宋体" w:cs="Segoe UI"/>
          <w:color w:val="auto"/>
          <w:sz w:val="28"/>
          <w:szCs w:val="28"/>
          <w:shd w:val="clear" w:color="auto" w:fill="FDFDFE"/>
        </w:rPr>
        <w:t>《盾构法开仓及气压作业技术规范》CJJ 217</w:t>
      </w:r>
    </w:p>
    <w:p w14:paraId="3480B522">
      <w:pPr>
        <w:pStyle w:val="5"/>
        <w:spacing w:line="360" w:lineRule="auto"/>
        <w:ind w:firstLine="560" w:firstLineChars="200"/>
        <w:rPr>
          <w:rFonts w:hint="eastAsia" w:ascii="Segoe UI" w:hAnsi="Segoe UI" w:eastAsia="宋体" w:cs="Segoe UI"/>
          <w:color w:val="auto"/>
          <w:sz w:val="28"/>
          <w:szCs w:val="28"/>
          <w:shd w:val="clear" w:color="auto" w:fill="FDFDFE"/>
        </w:rPr>
      </w:pPr>
      <w:r>
        <w:rPr>
          <w:rFonts w:hint="eastAsia" w:ascii="Segoe UI" w:hAnsi="Segoe UI" w:eastAsia="宋体" w:cs="Segoe UI"/>
          <w:color w:val="auto"/>
          <w:sz w:val="28"/>
          <w:szCs w:val="28"/>
          <w:shd w:val="clear" w:color="auto" w:fill="FDFDFE"/>
        </w:rPr>
        <w:t>《民用建筑远传抄表系统》JG/T</w:t>
      </w:r>
      <w:r>
        <w:rPr>
          <w:rFonts w:hint="eastAsia" w:ascii="Segoe UI" w:hAnsi="Segoe UI" w:cs="Segoe UI"/>
          <w:color w:val="auto"/>
          <w:sz w:val="28"/>
          <w:szCs w:val="28"/>
          <w:shd w:val="clear" w:color="auto" w:fill="FDFDFE"/>
          <w:lang w:val="en-US" w:eastAsia="zh-CN"/>
        </w:rPr>
        <w:t xml:space="preserve"> </w:t>
      </w:r>
      <w:r>
        <w:rPr>
          <w:rFonts w:hint="eastAsia" w:ascii="Segoe UI" w:hAnsi="Segoe UI" w:eastAsia="宋体" w:cs="Segoe UI"/>
          <w:color w:val="auto"/>
          <w:sz w:val="28"/>
          <w:szCs w:val="28"/>
          <w:shd w:val="clear" w:color="auto" w:fill="FDFDFE"/>
        </w:rPr>
        <w:t>162-2017</w:t>
      </w:r>
    </w:p>
    <w:p w14:paraId="04306A62">
      <w:pPr>
        <w:pStyle w:val="5"/>
        <w:spacing w:line="360" w:lineRule="auto"/>
        <w:ind w:firstLine="560" w:firstLineChars="200"/>
        <w:rPr>
          <w:rFonts w:hint="eastAsia" w:ascii="Segoe UI" w:hAnsi="Segoe UI" w:eastAsia="宋体" w:cs="Segoe UI"/>
          <w:color w:val="auto"/>
          <w:sz w:val="28"/>
          <w:szCs w:val="28"/>
          <w:shd w:val="clear" w:color="auto" w:fill="FDFDFE"/>
        </w:rPr>
      </w:pPr>
      <w:r>
        <w:rPr>
          <w:rFonts w:hint="eastAsia" w:ascii="Segoe UI" w:hAnsi="Segoe UI" w:eastAsia="宋体" w:cs="Segoe UI"/>
          <w:color w:val="auto"/>
          <w:sz w:val="28"/>
          <w:szCs w:val="28"/>
          <w:shd w:val="clear" w:color="auto" w:fill="FDFDFE"/>
        </w:rPr>
        <w:t>《城市夜景照明设计规范》JGJ/T 163</w:t>
      </w:r>
    </w:p>
    <w:p w14:paraId="21825DF4">
      <w:pPr>
        <w:pStyle w:val="5"/>
        <w:spacing w:line="360" w:lineRule="auto"/>
        <w:ind w:firstLine="560" w:firstLineChars="200"/>
        <w:rPr>
          <w:rFonts w:hint="default" w:ascii="Segoe UI" w:hAnsi="Segoe UI" w:eastAsia="宋体" w:cs="Segoe UI"/>
          <w:color w:val="auto"/>
          <w:sz w:val="28"/>
          <w:szCs w:val="28"/>
          <w:shd w:val="clear" w:color="auto" w:fill="FDFDFE"/>
          <w:lang w:val="en-US" w:eastAsia="zh-CN"/>
        </w:rPr>
      </w:pPr>
      <w:r>
        <w:rPr>
          <w:rFonts w:hint="eastAsia" w:ascii="Segoe UI" w:hAnsi="Segoe UI" w:eastAsia="宋体" w:cs="Segoe UI"/>
          <w:color w:val="auto"/>
          <w:sz w:val="28"/>
          <w:szCs w:val="28"/>
          <w:shd w:val="clear" w:color="auto" w:fill="FDFDFE"/>
        </w:rPr>
        <w:t>《IPCC国家温室气体清单指南》</w:t>
      </w:r>
      <w:r>
        <w:rPr>
          <w:rFonts w:hint="eastAsia" w:ascii="Segoe UI" w:hAnsi="Segoe UI" w:cs="Segoe UI"/>
          <w:color w:val="auto"/>
          <w:sz w:val="28"/>
          <w:szCs w:val="28"/>
          <w:shd w:val="clear" w:color="auto" w:fill="FDFDFE"/>
          <w:lang w:val="en-US" w:eastAsia="zh-CN"/>
        </w:rPr>
        <w:t>2006</w:t>
      </w:r>
    </w:p>
    <w:p w14:paraId="5D81404D">
      <w:pPr>
        <w:pStyle w:val="5"/>
        <w:spacing w:line="360" w:lineRule="auto"/>
        <w:ind w:firstLine="560" w:firstLineChars="200"/>
        <w:rPr>
          <w:rFonts w:hint="eastAsia" w:ascii="Segoe UI" w:hAnsi="Segoe UI" w:eastAsia="宋体" w:cs="Segoe UI"/>
          <w:color w:val="auto"/>
          <w:sz w:val="28"/>
          <w:szCs w:val="28"/>
          <w:shd w:val="clear" w:color="auto" w:fill="FDFDFE"/>
        </w:rPr>
      </w:pPr>
    </w:p>
    <w:p w14:paraId="137ED14E">
      <w:pPr>
        <w:pStyle w:val="5"/>
        <w:spacing w:line="360" w:lineRule="auto"/>
        <w:ind w:firstLine="560" w:firstLineChars="200"/>
        <w:rPr>
          <w:rFonts w:hint="eastAsia" w:ascii="Segoe UI" w:hAnsi="Segoe UI" w:eastAsia="宋体" w:cs="Segoe UI"/>
          <w:color w:val="auto"/>
          <w:sz w:val="28"/>
          <w:szCs w:val="28"/>
          <w:shd w:val="clear" w:color="auto" w:fill="FDFDFE"/>
        </w:rPr>
      </w:pPr>
    </w:p>
    <w:p w14:paraId="54E9FBFA">
      <w:pPr>
        <w:pStyle w:val="5"/>
        <w:numPr>
          <w:ilvl w:val="0"/>
          <w:numId w:val="0"/>
        </w:numPr>
        <w:spacing w:line="360" w:lineRule="auto"/>
        <w:jc w:val="left"/>
        <w:rPr>
          <w:rFonts w:hint="eastAsia" w:ascii="Segoe UI" w:hAnsi="Segoe UI" w:eastAsia="宋体" w:cs="Segoe UI"/>
          <w:color w:val="auto"/>
          <w:sz w:val="28"/>
          <w:szCs w:val="28"/>
          <w:highlight w:val="none"/>
          <w:shd w:val="clear" w:color="auto" w:fill="FDFDFE"/>
        </w:rPr>
      </w:pPr>
    </w:p>
    <w:p w14:paraId="68CB53FE">
      <w:pPr>
        <w:pStyle w:val="5"/>
        <w:numPr>
          <w:ilvl w:val="0"/>
          <w:numId w:val="0"/>
        </w:numPr>
        <w:spacing w:line="360" w:lineRule="auto"/>
        <w:jc w:val="left"/>
        <w:rPr>
          <w:rFonts w:hint="eastAsia" w:ascii="Segoe UI" w:hAnsi="Segoe UI" w:eastAsia="宋体" w:cs="Segoe UI"/>
          <w:color w:val="auto"/>
          <w:sz w:val="28"/>
          <w:szCs w:val="28"/>
          <w:highlight w:val="none"/>
          <w:shd w:val="clear" w:color="auto" w:fill="FDFDFE"/>
        </w:rPr>
        <w:sectPr>
          <w:footerReference r:id="rId8" w:type="default"/>
          <w:pgSz w:w="11906" w:h="16838"/>
          <w:pgMar w:top="1440" w:right="1800" w:bottom="1440" w:left="1800" w:header="851" w:footer="992" w:gutter="0"/>
          <w:pgNumType w:fmt="decimal"/>
          <w:cols w:space="720" w:num="1"/>
          <w:docGrid w:type="lines" w:linePitch="312" w:charSpace="0"/>
        </w:sectPr>
      </w:pPr>
    </w:p>
    <w:p w14:paraId="48B8F04D">
      <w:pPr>
        <w:snapToGrid w:val="0"/>
        <w:spacing w:line="360" w:lineRule="auto"/>
        <w:rPr>
          <w:rFonts w:ascii="宋体" w:hAnsi="宋体" w:eastAsia="宋体" w:cs="宋体"/>
          <w:color w:val="000000" w:themeColor="text1"/>
          <w:sz w:val="24"/>
          <w14:textFill>
            <w14:solidFill>
              <w14:schemeClr w14:val="tx1"/>
            </w14:solidFill>
          </w14:textFill>
        </w:rPr>
      </w:pPr>
    </w:p>
    <w:p w14:paraId="2F897539">
      <w:pPr>
        <w:snapToGrid w:val="0"/>
        <w:spacing w:line="360" w:lineRule="auto"/>
        <w:rPr>
          <w:rFonts w:ascii="宋体" w:hAnsi="宋体" w:eastAsia="宋体" w:cs="宋体"/>
          <w:color w:val="000000" w:themeColor="text1"/>
          <w:sz w:val="24"/>
          <w14:textFill>
            <w14:solidFill>
              <w14:schemeClr w14:val="tx1"/>
            </w14:solidFill>
          </w14:textFill>
        </w:rPr>
      </w:pPr>
    </w:p>
    <w:p w14:paraId="626AB7DC">
      <w:pPr>
        <w:widowControl/>
        <w:spacing w:line="360" w:lineRule="auto"/>
        <w:jc w:val="center"/>
        <w:rPr>
          <w:color w:val="000000" w:themeColor="text1"/>
          <w:sz w:val="36"/>
          <w:szCs w:val="36"/>
          <w14:textFill>
            <w14:solidFill>
              <w14:schemeClr w14:val="tx1"/>
            </w14:solidFill>
          </w14:textFill>
        </w:rPr>
      </w:pPr>
      <w:r>
        <w:rPr>
          <w:rFonts w:ascii="黑体" w:hAnsi="宋体" w:eastAsia="黑体" w:cs="黑体"/>
          <w:color w:val="000000" w:themeColor="text1"/>
          <w:kern w:val="0"/>
          <w:sz w:val="36"/>
          <w:szCs w:val="36"/>
          <w:lang w:bidi="ar"/>
          <w14:textFill>
            <w14:solidFill>
              <w14:schemeClr w14:val="tx1"/>
            </w14:solidFill>
          </w14:textFill>
        </w:rPr>
        <w:t>中国工程建设标准化协会标准</w:t>
      </w:r>
    </w:p>
    <w:p w14:paraId="24781EC3">
      <w:pPr>
        <w:spacing w:line="360" w:lineRule="auto"/>
        <w:rPr>
          <w:rFonts w:ascii="Times New Roman" w:hAnsi="Times New Roman" w:eastAsia="宋体"/>
          <w:color w:val="000000" w:themeColor="text1"/>
          <w:sz w:val="24"/>
          <w14:textFill>
            <w14:solidFill>
              <w14:schemeClr w14:val="tx1"/>
            </w14:solidFill>
          </w14:textFill>
        </w:rPr>
      </w:pPr>
    </w:p>
    <w:p w14:paraId="04614A01">
      <w:pPr>
        <w:spacing w:line="360" w:lineRule="auto"/>
        <w:rPr>
          <w:rFonts w:ascii="Times New Roman" w:hAnsi="Times New Roman" w:eastAsia="宋体"/>
          <w:color w:val="000000" w:themeColor="text1"/>
          <w:sz w:val="24"/>
          <w14:textFill>
            <w14:solidFill>
              <w14:schemeClr w14:val="tx1"/>
            </w14:solidFill>
          </w14:textFill>
        </w:rPr>
      </w:pPr>
    </w:p>
    <w:p w14:paraId="03D0A115">
      <w:pPr>
        <w:widowControl/>
        <w:spacing w:line="360" w:lineRule="auto"/>
        <w:jc w:val="center"/>
        <w:rPr>
          <w:rFonts w:ascii="黑体" w:hAnsi="宋体" w:eastAsia="黑体" w:cs="黑体"/>
          <w:color w:val="000000" w:themeColor="text1"/>
          <w:kern w:val="0"/>
          <w:sz w:val="52"/>
          <w:szCs w:val="52"/>
          <w:lang w:bidi="ar"/>
          <w14:textFill>
            <w14:solidFill>
              <w14:schemeClr w14:val="tx1"/>
            </w14:solidFill>
          </w14:textFill>
        </w:rPr>
      </w:pPr>
      <w:r>
        <w:rPr>
          <w:rFonts w:hint="eastAsia" w:ascii="黑体" w:hAnsi="宋体" w:eastAsia="黑体" w:cs="黑体"/>
          <w:color w:val="000000" w:themeColor="text1"/>
          <w:kern w:val="0"/>
          <w:sz w:val="52"/>
          <w:szCs w:val="52"/>
          <w:lang w:eastAsia="zh-CN" w:bidi="ar"/>
          <w14:textFill>
            <w14:solidFill>
              <w14:schemeClr w14:val="tx1"/>
            </w14:solidFill>
          </w14:textFill>
        </w:rPr>
        <w:t>城市新型基础设施</w:t>
      </w:r>
      <w:r>
        <w:rPr>
          <w:rFonts w:hint="eastAsia" w:ascii="黑体" w:hAnsi="宋体" w:eastAsia="黑体" w:cs="黑体"/>
          <w:color w:val="000000" w:themeColor="text1"/>
          <w:kern w:val="0"/>
          <w:sz w:val="52"/>
          <w:szCs w:val="52"/>
          <w:lang w:bidi="ar"/>
          <w14:textFill>
            <w14:solidFill>
              <w14:schemeClr w14:val="tx1"/>
            </w14:solidFill>
          </w14:textFill>
        </w:rPr>
        <w:t>可持续性</w:t>
      </w:r>
    </w:p>
    <w:p w14:paraId="1DD5AC81">
      <w:pPr>
        <w:widowControl/>
        <w:spacing w:line="360" w:lineRule="auto"/>
        <w:jc w:val="center"/>
        <w:rPr>
          <w:rFonts w:ascii="黑体" w:hAnsi="宋体" w:eastAsia="黑体" w:cs="黑体"/>
          <w:color w:val="000000" w:themeColor="text1"/>
          <w:kern w:val="0"/>
          <w:sz w:val="52"/>
          <w:szCs w:val="52"/>
          <w:lang w:bidi="ar"/>
          <w14:textFill>
            <w14:solidFill>
              <w14:schemeClr w14:val="tx1"/>
            </w14:solidFill>
          </w14:textFill>
        </w:rPr>
      </w:pPr>
      <w:r>
        <w:rPr>
          <w:rFonts w:hint="eastAsia" w:ascii="黑体" w:hAnsi="宋体" w:eastAsia="黑体" w:cs="黑体"/>
          <w:color w:val="000000" w:themeColor="text1"/>
          <w:kern w:val="0"/>
          <w:sz w:val="52"/>
          <w:szCs w:val="52"/>
          <w:lang w:bidi="ar"/>
          <w14:textFill>
            <w14:solidFill>
              <w14:schemeClr w14:val="tx1"/>
            </w14:solidFill>
          </w14:textFill>
        </w:rPr>
        <w:t>评价标准</w:t>
      </w:r>
    </w:p>
    <w:p w14:paraId="2E388677">
      <w:pPr>
        <w:snapToGrid w:val="0"/>
        <w:spacing w:line="360" w:lineRule="auto"/>
        <w:rPr>
          <w:rFonts w:ascii="宋体" w:hAnsi="宋体" w:eastAsia="宋体" w:cs="宋体"/>
          <w:color w:val="000000" w:themeColor="text1"/>
          <w:sz w:val="24"/>
          <w14:textFill>
            <w14:solidFill>
              <w14:schemeClr w14:val="tx1"/>
            </w14:solidFill>
          </w14:textFill>
        </w:rPr>
      </w:pPr>
    </w:p>
    <w:p w14:paraId="32E6EE90">
      <w:pPr>
        <w:spacing w:line="360" w:lineRule="auto"/>
        <w:jc w:val="center"/>
        <w:rPr>
          <w:rFonts w:hint="eastAsia" w:ascii="黑体" w:hAnsi="黑体" w:eastAsia="黑体" w:cs="黑体"/>
          <w:color w:val="000000" w:themeColor="text1"/>
          <w:sz w:val="36"/>
          <w:szCs w:val="36"/>
          <w:lang w:eastAsia="zh-CN"/>
          <w14:textFill>
            <w14:solidFill>
              <w14:schemeClr w14:val="tx1"/>
            </w14:solidFill>
          </w14:textFill>
        </w:rPr>
      </w:pPr>
      <w:r>
        <w:rPr>
          <w:rFonts w:hint="eastAsia" w:ascii="黑体" w:hAnsi="黑体" w:eastAsia="黑体" w:cs="黑体"/>
          <w:color w:val="000000" w:themeColor="text1"/>
          <w:sz w:val="36"/>
          <w:szCs w:val="36"/>
          <w14:textFill>
            <w14:solidFill>
              <w14:schemeClr w14:val="tx1"/>
            </w14:solidFill>
          </w14:textFill>
        </w:rPr>
        <w:t>T/CECS XXX-202</w:t>
      </w:r>
      <w:r>
        <w:rPr>
          <w:rFonts w:hint="eastAsia" w:ascii="黑体" w:hAnsi="黑体" w:eastAsia="黑体" w:cs="黑体"/>
          <w:color w:val="000000" w:themeColor="text1"/>
          <w:sz w:val="36"/>
          <w:szCs w:val="36"/>
          <w:lang w:val="en-US" w:eastAsia="zh-CN"/>
          <w14:textFill>
            <w14:solidFill>
              <w14:schemeClr w14:val="tx1"/>
            </w14:solidFill>
          </w14:textFill>
        </w:rPr>
        <w:t>5</w:t>
      </w:r>
    </w:p>
    <w:p w14:paraId="6ABD422E">
      <w:pPr>
        <w:spacing w:line="360" w:lineRule="auto"/>
        <w:jc w:val="center"/>
        <w:rPr>
          <w:rFonts w:ascii="黑体" w:hAnsi="黑体" w:eastAsia="黑体" w:cs="黑体"/>
          <w:color w:val="000000" w:themeColor="text1"/>
          <w:sz w:val="36"/>
          <w:szCs w:val="36"/>
          <w14:textFill>
            <w14:solidFill>
              <w14:schemeClr w14:val="tx1"/>
            </w14:solidFill>
          </w14:textFill>
        </w:rPr>
      </w:pPr>
    </w:p>
    <w:p w14:paraId="79A22C2A">
      <w:pPr>
        <w:spacing w:line="360" w:lineRule="auto"/>
        <w:jc w:val="center"/>
        <w:rPr>
          <w:rFonts w:ascii="黑体" w:hAnsi="黑体" w:eastAsia="黑体" w:cs="黑体"/>
          <w:color w:val="000000" w:themeColor="text1"/>
          <w:sz w:val="36"/>
          <w:szCs w:val="36"/>
          <w14:textFill>
            <w14:solidFill>
              <w14:schemeClr w14:val="tx1"/>
            </w14:solidFill>
          </w14:textFill>
        </w:rPr>
      </w:pPr>
    </w:p>
    <w:p w14:paraId="07FC1955">
      <w:pPr>
        <w:spacing w:line="360" w:lineRule="auto"/>
        <w:ind w:firstLine="420"/>
        <w:jc w:val="center"/>
        <w:rPr>
          <w:rFonts w:ascii="黑体" w:hAnsi="黑体" w:eastAsia="黑体" w:cs="黑体"/>
          <w:color w:val="000000" w:themeColor="text1"/>
          <w:sz w:val="36"/>
          <w:szCs w:val="36"/>
          <w14:textFill>
            <w14:solidFill>
              <w14:schemeClr w14:val="tx1"/>
            </w14:solidFill>
          </w14:textFill>
        </w:rPr>
      </w:pPr>
    </w:p>
    <w:p w14:paraId="7484C5E0">
      <w:pPr>
        <w:spacing w:line="360" w:lineRule="auto"/>
        <w:jc w:val="center"/>
        <w:outlineLvl w:val="0"/>
        <w:rPr>
          <w:rFonts w:ascii="黑体" w:hAnsi="黑体" w:eastAsia="黑体" w:cs="黑体"/>
          <w:color w:val="000000" w:themeColor="text1"/>
          <w:sz w:val="36"/>
          <w:szCs w:val="36"/>
          <w14:textFill>
            <w14:solidFill>
              <w14:schemeClr w14:val="tx1"/>
            </w14:solidFill>
          </w14:textFill>
        </w:rPr>
      </w:pPr>
      <w:bookmarkStart w:id="667" w:name="_Toc6483"/>
      <w:bookmarkStart w:id="668" w:name="_Toc32369"/>
      <w:bookmarkStart w:id="669" w:name="_Toc5696"/>
      <w:bookmarkStart w:id="670" w:name="_Toc3401"/>
      <w:bookmarkStart w:id="671" w:name="_Toc22404"/>
      <w:bookmarkStart w:id="672" w:name="_Toc1028"/>
      <w:bookmarkStart w:id="673" w:name="_Toc18035"/>
      <w:r>
        <w:rPr>
          <w:rFonts w:hint="eastAsia" w:ascii="黑体" w:hAnsi="黑体" w:eastAsia="黑体" w:cs="黑体"/>
          <w:color w:val="000000" w:themeColor="text1"/>
          <w:sz w:val="36"/>
          <w:szCs w:val="36"/>
          <w14:textFill>
            <w14:solidFill>
              <w14:schemeClr w14:val="tx1"/>
            </w14:solidFill>
          </w14:textFill>
        </w:rPr>
        <w:t>条文说明</w:t>
      </w:r>
      <w:bookmarkEnd w:id="667"/>
      <w:bookmarkEnd w:id="668"/>
      <w:bookmarkEnd w:id="669"/>
      <w:bookmarkEnd w:id="670"/>
      <w:bookmarkEnd w:id="671"/>
      <w:bookmarkEnd w:id="672"/>
      <w:bookmarkEnd w:id="673"/>
    </w:p>
    <w:p w14:paraId="0B794549">
      <w:pPr>
        <w:snapToGrid w:val="0"/>
        <w:spacing w:line="360" w:lineRule="auto"/>
        <w:jc w:val="center"/>
        <w:rPr>
          <w:rFonts w:ascii="宋体" w:hAnsi="宋体" w:eastAsia="宋体" w:cs="宋体"/>
          <w:color w:val="000000" w:themeColor="text1"/>
          <w:sz w:val="24"/>
          <w14:textFill>
            <w14:solidFill>
              <w14:schemeClr w14:val="tx1"/>
            </w14:solidFill>
          </w14:textFill>
        </w:rPr>
      </w:pPr>
    </w:p>
    <w:p w14:paraId="6E679551">
      <w:pPr>
        <w:snapToGrid w:val="0"/>
        <w:spacing w:line="360" w:lineRule="auto"/>
        <w:rPr>
          <w:rFonts w:ascii="宋体" w:hAnsi="宋体" w:eastAsia="宋体" w:cs="宋体"/>
          <w:color w:val="000000" w:themeColor="text1"/>
          <w:sz w:val="24"/>
          <w14:textFill>
            <w14:solidFill>
              <w14:schemeClr w14:val="tx1"/>
            </w14:solidFill>
          </w14:textFill>
        </w:rPr>
      </w:pPr>
    </w:p>
    <w:p w14:paraId="5632CB5D">
      <w:pPr>
        <w:snapToGrid w:val="0"/>
        <w:spacing w:line="360" w:lineRule="auto"/>
        <w:rPr>
          <w:rFonts w:ascii="宋体" w:hAnsi="宋体" w:eastAsia="宋体" w:cs="宋体"/>
          <w:color w:val="000000" w:themeColor="text1"/>
          <w:sz w:val="24"/>
          <w14:textFill>
            <w14:solidFill>
              <w14:schemeClr w14:val="tx1"/>
            </w14:solidFill>
          </w14:textFill>
        </w:rPr>
      </w:pPr>
    </w:p>
    <w:p w14:paraId="0DF7A865">
      <w:pPr>
        <w:snapToGrid w:val="0"/>
        <w:spacing w:line="360" w:lineRule="auto"/>
        <w:rPr>
          <w:rFonts w:ascii="宋体" w:hAnsi="宋体" w:eastAsia="宋体" w:cs="宋体"/>
          <w:color w:val="000000" w:themeColor="text1"/>
          <w:sz w:val="24"/>
          <w14:textFill>
            <w14:solidFill>
              <w14:schemeClr w14:val="tx1"/>
            </w14:solidFill>
          </w14:textFill>
        </w:rPr>
      </w:pPr>
    </w:p>
    <w:p w14:paraId="3E930F6A">
      <w:pPr>
        <w:snapToGrid w:val="0"/>
        <w:spacing w:line="360" w:lineRule="auto"/>
        <w:rPr>
          <w:rFonts w:ascii="宋体" w:hAnsi="宋体" w:eastAsia="宋体" w:cs="宋体"/>
          <w:color w:val="000000" w:themeColor="text1"/>
          <w:sz w:val="24"/>
          <w14:textFill>
            <w14:solidFill>
              <w14:schemeClr w14:val="tx1"/>
            </w14:solidFill>
          </w14:textFill>
        </w:rPr>
        <w:sectPr>
          <w:footerReference r:id="rId9" w:type="default"/>
          <w:pgSz w:w="11906" w:h="16838"/>
          <w:pgMar w:top="1440" w:right="1800" w:bottom="1440" w:left="1800" w:header="851" w:footer="992" w:gutter="0"/>
          <w:pgNumType w:fmt="decimal"/>
          <w:cols w:space="425" w:num="1"/>
          <w:docGrid w:type="lines" w:linePitch="312" w:charSpace="0"/>
        </w:sectPr>
      </w:pPr>
    </w:p>
    <w:p w14:paraId="39402394">
      <w:pPr>
        <w:pStyle w:val="10"/>
        <w:tabs>
          <w:tab w:val="right" w:leader="dot" w:pos="8306"/>
        </w:tabs>
        <w:jc w:val="center"/>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 xml:space="preserve">目 </w:t>
      </w:r>
      <w:r>
        <w:rPr>
          <w:rFonts w:hint="eastAsia" w:ascii="宋体" w:hAnsi="宋体" w:cs="宋体"/>
          <w:color w:val="000000" w:themeColor="text1"/>
          <w:sz w:val="24"/>
          <w:lang w:val="en-US" w:eastAsia="zh-CN"/>
          <w14:textFill>
            <w14:solidFill>
              <w14:schemeClr w14:val="tx1"/>
            </w14:solidFill>
          </w14:textFill>
        </w:rPr>
        <w:t>次</w:t>
      </w:r>
    </w:p>
    <w:p w14:paraId="6EA75C9C">
      <w:pPr>
        <w:pStyle w:val="10"/>
        <w:tabs>
          <w:tab w:val="right" w:leader="dot" w:pos="8306"/>
        </w:tabs>
        <w:rPr>
          <w:rFonts w:ascii="宋体" w:hAnsi="宋体" w:eastAsia="宋体" w:cs="宋体"/>
          <w:color w:val="000000" w:themeColor="text1"/>
          <w:sz w:val="24"/>
          <w14:textFill>
            <w14:solidFill>
              <w14:schemeClr w14:val="tx1"/>
            </w14:solidFill>
          </w14:textFill>
        </w:rPr>
      </w:pPr>
    </w:p>
    <w:sdt>
      <w:sdtPr>
        <w:rPr>
          <w:rFonts w:ascii="宋体" w:hAnsi="宋体" w:eastAsia="宋体" w:cs="黑体"/>
          <w:kern w:val="2"/>
          <w:sz w:val="21"/>
          <w:szCs w:val="24"/>
          <w:lang w:val="en-US" w:eastAsia="zh-CN" w:bidi="ar-SA"/>
        </w:rPr>
        <w:id w:val="147480604"/>
        <w15:color w:val="DBDBDB"/>
        <w:docPartObj>
          <w:docPartGallery w:val="Table of Contents"/>
          <w:docPartUnique/>
        </w:docPartObj>
      </w:sdtPr>
      <w:sdtEndPr>
        <w:rPr>
          <w:rFonts w:ascii="宋体" w:hAnsi="宋体" w:eastAsia="宋体" w:cs="黑体"/>
          <w:kern w:val="2"/>
          <w:sz w:val="21"/>
          <w:szCs w:val="24"/>
          <w:lang w:val="en-US" w:eastAsia="zh-CN" w:bidi="ar-SA"/>
        </w:rPr>
      </w:sdtEndPr>
      <w:sdtContent>
        <w:p w14:paraId="4D49B9C3">
          <w:pPr>
            <w:spacing w:before="0" w:beforeLines="0" w:after="0" w:afterLines="0" w:line="240" w:lineRule="auto"/>
            <w:ind w:left="0" w:leftChars="0" w:right="0" w:rightChars="0" w:firstLine="0" w:firstLineChars="0"/>
            <w:jc w:val="center"/>
          </w:pPr>
        </w:p>
        <w:p w14:paraId="2C9B9884">
          <w:pPr>
            <w:pStyle w:val="10"/>
            <w:tabs>
              <w:tab w:val="right" w:leader="dot" w:pos="8306"/>
            </w:tabs>
          </w:pPr>
          <w:r>
            <w:fldChar w:fldCharType="begin"/>
          </w:r>
          <w:r>
            <w:instrText xml:space="preserve">TOC \o "1-2" \h \u </w:instrText>
          </w:r>
          <w:r>
            <w:fldChar w:fldCharType="separate"/>
          </w:r>
        </w:p>
        <w:p w14:paraId="07A231EB">
          <w:pPr>
            <w:pStyle w:val="10"/>
            <w:tabs>
              <w:tab w:val="right" w:leader="dot" w:pos="8306"/>
            </w:tabs>
            <w:rPr>
              <w:rFonts w:hint="eastAsia" w:ascii="宋体" w:hAnsi="宋体" w:cs="宋体"/>
            </w:rPr>
          </w:pPr>
          <w:r>
            <w:rPr>
              <w:rFonts w:hint="eastAsia" w:ascii="宋体" w:hAnsi="宋体" w:cs="宋体"/>
            </w:rPr>
            <w:fldChar w:fldCharType="begin"/>
          </w:r>
          <w:r>
            <w:rPr>
              <w:rFonts w:hint="eastAsia" w:ascii="宋体" w:hAnsi="宋体" w:cs="宋体"/>
            </w:rPr>
            <w:instrText xml:space="preserve"> HYPERLINK \l _Toc29897 </w:instrText>
          </w:r>
          <w:r>
            <w:rPr>
              <w:rFonts w:hint="eastAsia" w:ascii="宋体" w:hAnsi="宋体" w:cs="宋体"/>
            </w:rPr>
            <w:fldChar w:fldCharType="separate"/>
          </w:r>
          <w:r>
            <w:rPr>
              <w:rFonts w:hint="eastAsia" w:ascii="宋体" w:hAnsi="宋体" w:eastAsia="宋体" w:cs="宋体"/>
              <w:bCs/>
              <w:szCs w:val="30"/>
            </w:rPr>
            <w:t>1 总 则</w:t>
          </w:r>
          <w:r>
            <w:rPr>
              <w:rFonts w:hint="eastAsia" w:ascii="宋体" w:hAnsi="宋体" w:cs="宋体"/>
            </w:rPr>
            <w:tab/>
          </w:r>
          <w:r>
            <w:rPr>
              <w:rFonts w:hint="eastAsia" w:ascii="宋体" w:hAnsi="宋体" w:cs="宋体"/>
            </w:rPr>
            <w:fldChar w:fldCharType="begin"/>
          </w:r>
          <w:r>
            <w:rPr>
              <w:rFonts w:hint="eastAsia" w:ascii="宋体" w:hAnsi="宋体" w:cs="宋体"/>
            </w:rPr>
            <w:instrText xml:space="preserve"> PAGEREF _Toc29897 \h </w:instrText>
          </w:r>
          <w:r>
            <w:rPr>
              <w:rFonts w:hint="eastAsia" w:ascii="宋体" w:hAnsi="宋体" w:cs="宋体"/>
            </w:rPr>
            <w:fldChar w:fldCharType="separate"/>
          </w:r>
          <w:r>
            <w:rPr>
              <w:rFonts w:hint="eastAsia" w:ascii="宋体" w:hAnsi="宋体" w:cs="宋体"/>
            </w:rPr>
            <w:t>58</w:t>
          </w:r>
          <w:r>
            <w:rPr>
              <w:rFonts w:hint="eastAsia" w:ascii="宋体" w:hAnsi="宋体" w:cs="宋体"/>
            </w:rPr>
            <w:fldChar w:fldCharType="end"/>
          </w:r>
          <w:r>
            <w:rPr>
              <w:rFonts w:hint="eastAsia" w:ascii="宋体" w:hAnsi="宋体" w:cs="宋体"/>
            </w:rPr>
            <w:fldChar w:fldCharType="end"/>
          </w:r>
        </w:p>
        <w:p w14:paraId="440BCB20">
          <w:pPr>
            <w:pStyle w:val="10"/>
            <w:tabs>
              <w:tab w:val="right" w:leader="dot" w:pos="8306"/>
            </w:tabs>
            <w:rPr>
              <w:rFonts w:hint="eastAsia" w:ascii="宋体" w:hAnsi="宋体" w:cs="宋体"/>
            </w:rPr>
          </w:pPr>
          <w:r>
            <w:rPr>
              <w:rFonts w:hint="eastAsia" w:ascii="宋体" w:hAnsi="宋体" w:cs="宋体"/>
            </w:rPr>
            <w:fldChar w:fldCharType="begin"/>
          </w:r>
          <w:r>
            <w:rPr>
              <w:rFonts w:hint="eastAsia" w:ascii="宋体" w:hAnsi="宋体" w:cs="宋体"/>
            </w:rPr>
            <w:instrText xml:space="preserve"> HYPERLINK \l _Toc17487 </w:instrText>
          </w:r>
          <w:r>
            <w:rPr>
              <w:rFonts w:hint="eastAsia" w:ascii="宋体" w:hAnsi="宋体" w:cs="宋体"/>
            </w:rPr>
            <w:fldChar w:fldCharType="separate"/>
          </w:r>
          <w:r>
            <w:rPr>
              <w:rFonts w:hint="eastAsia" w:ascii="宋体" w:hAnsi="宋体" w:eastAsia="宋体" w:cs="宋体"/>
              <w:bCs/>
              <w:szCs w:val="30"/>
            </w:rPr>
            <w:t>3 基本规定</w:t>
          </w:r>
          <w:r>
            <w:rPr>
              <w:rFonts w:hint="eastAsia" w:ascii="宋体" w:hAnsi="宋体" w:cs="宋体"/>
            </w:rPr>
            <w:tab/>
          </w:r>
          <w:r>
            <w:rPr>
              <w:rFonts w:hint="eastAsia" w:ascii="宋体" w:hAnsi="宋体" w:cs="宋体"/>
            </w:rPr>
            <w:fldChar w:fldCharType="begin"/>
          </w:r>
          <w:r>
            <w:rPr>
              <w:rFonts w:hint="eastAsia" w:ascii="宋体" w:hAnsi="宋体" w:cs="宋体"/>
            </w:rPr>
            <w:instrText xml:space="preserve"> PAGEREF _Toc17487 \h </w:instrText>
          </w:r>
          <w:r>
            <w:rPr>
              <w:rFonts w:hint="eastAsia" w:ascii="宋体" w:hAnsi="宋体" w:cs="宋体"/>
            </w:rPr>
            <w:fldChar w:fldCharType="separate"/>
          </w:r>
          <w:r>
            <w:rPr>
              <w:rFonts w:hint="eastAsia" w:ascii="宋体" w:hAnsi="宋体" w:cs="宋体"/>
            </w:rPr>
            <w:t>59</w:t>
          </w:r>
          <w:r>
            <w:rPr>
              <w:rFonts w:hint="eastAsia" w:ascii="宋体" w:hAnsi="宋体" w:cs="宋体"/>
            </w:rPr>
            <w:fldChar w:fldCharType="end"/>
          </w:r>
          <w:r>
            <w:rPr>
              <w:rFonts w:hint="eastAsia" w:ascii="宋体" w:hAnsi="宋体" w:cs="宋体"/>
            </w:rPr>
            <w:fldChar w:fldCharType="end"/>
          </w:r>
        </w:p>
        <w:p w14:paraId="701C9EF8">
          <w:pPr>
            <w:pStyle w:val="11"/>
            <w:tabs>
              <w:tab w:val="right" w:leader="dot" w:pos="8306"/>
            </w:tabs>
            <w:rPr>
              <w:rFonts w:hint="eastAsia" w:ascii="宋体" w:hAnsi="宋体" w:cs="宋体"/>
            </w:rPr>
          </w:pPr>
          <w:r>
            <w:rPr>
              <w:rFonts w:hint="eastAsia" w:ascii="宋体" w:hAnsi="宋体" w:cs="宋体"/>
            </w:rPr>
            <w:fldChar w:fldCharType="begin"/>
          </w:r>
          <w:r>
            <w:rPr>
              <w:rFonts w:hint="eastAsia" w:ascii="宋体" w:hAnsi="宋体" w:cs="宋体"/>
            </w:rPr>
            <w:instrText xml:space="preserve"> HYPERLINK \l _Toc21905 </w:instrText>
          </w:r>
          <w:r>
            <w:rPr>
              <w:rFonts w:hint="eastAsia" w:ascii="宋体" w:hAnsi="宋体" w:cs="宋体"/>
            </w:rPr>
            <w:fldChar w:fldCharType="separate"/>
          </w:r>
          <w:r>
            <w:rPr>
              <w:rFonts w:hint="eastAsia" w:ascii="宋体" w:hAnsi="宋体" w:eastAsia="宋体" w:cs="宋体"/>
              <w:bCs/>
              <w:szCs w:val="28"/>
            </w:rPr>
            <w:t>3.1 一般规定</w:t>
          </w:r>
          <w:r>
            <w:rPr>
              <w:rFonts w:hint="eastAsia" w:ascii="宋体" w:hAnsi="宋体" w:cs="宋体"/>
            </w:rPr>
            <w:tab/>
          </w:r>
          <w:r>
            <w:rPr>
              <w:rFonts w:hint="eastAsia" w:ascii="宋体" w:hAnsi="宋体" w:cs="宋体"/>
            </w:rPr>
            <w:fldChar w:fldCharType="begin"/>
          </w:r>
          <w:r>
            <w:rPr>
              <w:rFonts w:hint="eastAsia" w:ascii="宋体" w:hAnsi="宋体" w:cs="宋体"/>
            </w:rPr>
            <w:instrText xml:space="preserve"> PAGEREF _Toc21905 \h </w:instrText>
          </w:r>
          <w:r>
            <w:rPr>
              <w:rFonts w:hint="eastAsia" w:ascii="宋体" w:hAnsi="宋体" w:cs="宋体"/>
            </w:rPr>
            <w:fldChar w:fldCharType="separate"/>
          </w:r>
          <w:r>
            <w:rPr>
              <w:rFonts w:hint="eastAsia" w:ascii="宋体" w:hAnsi="宋体" w:cs="宋体"/>
            </w:rPr>
            <w:t>59</w:t>
          </w:r>
          <w:r>
            <w:rPr>
              <w:rFonts w:hint="eastAsia" w:ascii="宋体" w:hAnsi="宋体" w:cs="宋体"/>
            </w:rPr>
            <w:fldChar w:fldCharType="end"/>
          </w:r>
          <w:r>
            <w:rPr>
              <w:rFonts w:hint="eastAsia" w:ascii="宋体" w:hAnsi="宋体" w:cs="宋体"/>
            </w:rPr>
            <w:fldChar w:fldCharType="end"/>
          </w:r>
        </w:p>
        <w:p w14:paraId="462BBA77">
          <w:pPr>
            <w:pStyle w:val="11"/>
            <w:tabs>
              <w:tab w:val="right" w:leader="dot" w:pos="8306"/>
            </w:tabs>
            <w:rPr>
              <w:rFonts w:hint="eastAsia" w:ascii="宋体" w:hAnsi="宋体" w:cs="宋体"/>
            </w:rPr>
          </w:pPr>
          <w:r>
            <w:rPr>
              <w:rFonts w:hint="eastAsia" w:ascii="宋体" w:hAnsi="宋体" w:cs="宋体"/>
            </w:rPr>
            <w:fldChar w:fldCharType="begin"/>
          </w:r>
          <w:r>
            <w:rPr>
              <w:rFonts w:hint="eastAsia" w:ascii="宋体" w:hAnsi="宋体" w:cs="宋体"/>
            </w:rPr>
            <w:instrText xml:space="preserve"> HYPERLINK \l _Toc7868 </w:instrText>
          </w:r>
          <w:r>
            <w:rPr>
              <w:rFonts w:hint="eastAsia" w:ascii="宋体" w:hAnsi="宋体" w:cs="宋体"/>
            </w:rPr>
            <w:fldChar w:fldCharType="separate"/>
          </w:r>
          <w:r>
            <w:rPr>
              <w:rFonts w:hint="eastAsia" w:ascii="宋体" w:hAnsi="宋体" w:eastAsia="宋体" w:cs="宋体"/>
              <w:bCs/>
              <w:szCs w:val="28"/>
            </w:rPr>
            <w:t xml:space="preserve">3.2 </w:t>
          </w:r>
          <w:r>
            <w:rPr>
              <w:rFonts w:hint="eastAsia" w:ascii="宋体" w:hAnsi="宋体" w:eastAsia="宋体" w:cs="宋体"/>
              <w:bCs/>
              <w:szCs w:val="28"/>
              <w:lang w:val="en-US" w:eastAsia="zh-CN"/>
            </w:rPr>
            <w:t>评价与等级划分</w:t>
          </w:r>
          <w:r>
            <w:rPr>
              <w:rFonts w:hint="eastAsia" w:ascii="宋体" w:hAnsi="宋体" w:cs="宋体"/>
            </w:rPr>
            <w:tab/>
          </w:r>
          <w:r>
            <w:rPr>
              <w:rFonts w:hint="eastAsia" w:ascii="宋体" w:hAnsi="宋体" w:cs="宋体"/>
            </w:rPr>
            <w:fldChar w:fldCharType="begin"/>
          </w:r>
          <w:r>
            <w:rPr>
              <w:rFonts w:hint="eastAsia" w:ascii="宋体" w:hAnsi="宋体" w:cs="宋体"/>
            </w:rPr>
            <w:instrText xml:space="preserve"> PAGEREF _Toc7868 \h </w:instrText>
          </w:r>
          <w:r>
            <w:rPr>
              <w:rFonts w:hint="eastAsia" w:ascii="宋体" w:hAnsi="宋体" w:cs="宋体"/>
            </w:rPr>
            <w:fldChar w:fldCharType="separate"/>
          </w:r>
          <w:r>
            <w:rPr>
              <w:rFonts w:hint="eastAsia" w:ascii="宋体" w:hAnsi="宋体" w:cs="宋体"/>
            </w:rPr>
            <w:t>60</w:t>
          </w:r>
          <w:r>
            <w:rPr>
              <w:rFonts w:hint="eastAsia" w:ascii="宋体" w:hAnsi="宋体" w:cs="宋体"/>
            </w:rPr>
            <w:fldChar w:fldCharType="end"/>
          </w:r>
          <w:r>
            <w:rPr>
              <w:rFonts w:hint="eastAsia" w:ascii="宋体" w:hAnsi="宋体" w:cs="宋体"/>
            </w:rPr>
            <w:fldChar w:fldCharType="end"/>
          </w:r>
        </w:p>
        <w:p w14:paraId="07AB0A2F">
          <w:pPr>
            <w:pStyle w:val="10"/>
            <w:tabs>
              <w:tab w:val="right" w:leader="dot" w:pos="8306"/>
            </w:tabs>
            <w:rPr>
              <w:rFonts w:hint="eastAsia" w:ascii="宋体" w:hAnsi="宋体" w:cs="宋体"/>
            </w:rPr>
          </w:pPr>
          <w:r>
            <w:rPr>
              <w:rFonts w:hint="eastAsia" w:ascii="宋体" w:hAnsi="宋体" w:cs="宋体"/>
            </w:rPr>
            <w:fldChar w:fldCharType="begin"/>
          </w:r>
          <w:r>
            <w:rPr>
              <w:rFonts w:hint="eastAsia" w:ascii="宋体" w:hAnsi="宋体" w:cs="宋体"/>
            </w:rPr>
            <w:instrText xml:space="preserve"> HYPERLINK \l _Toc5908 </w:instrText>
          </w:r>
          <w:r>
            <w:rPr>
              <w:rFonts w:hint="eastAsia" w:ascii="宋体" w:hAnsi="宋体" w:cs="宋体"/>
            </w:rPr>
            <w:fldChar w:fldCharType="separate"/>
          </w:r>
          <w:r>
            <w:rPr>
              <w:rFonts w:hint="eastAsia" w:ascii="宋体" w:hAnsi="宋体" w:eastAsia="宋体" w:cs="宋体"/>
              <w:bCs/>
              <w:szCs w:val="30"/>
            </w:rPr>
            <w:t>4 环境可持续</w:t>
          </w:r>
          <w:r>
            <w:rPr>
              <w:rFonts w:hint="eastAsia" w:ascii="宋体" w:hAnsi="宋体" w:cs="宋体"/>
            </w:rPr>
            <w:tab/>
          </w:r>
          <w:r>
            <w:rPr>
              <w:rFonts w:hint="eastAsia" w:ascii="宋体" w:hAnsi="宋体" w:cs="宋体"/>
            </w:rPr>
            <w:fldChar w:fldCharType="begin"/>
          </w:r>
          <w:r>
            <w:rPr>
              <w:rFonts w:hint="eastAsia" w:ascii="宋体" w:hAnsi="宋体" w:cs="宋体"/>
            </w:rPr>
            <w:instrText xml:space="preserve"> PAGEREF _Toc5908 \h </w:instrText>
          </w:r>
          <w:r>
            <w:rPr>
              <w:rFonts w:hint="eastAsia" w:ascii="宋体" w:hAnsi="宋体" w:cs="宋体"/>
            </w:rPr>
            <w:fldChar w:fldCharType="separate"/>
          </w:r>
          <w:r>
            <w:rPr>
              <w:rFonts w:hint="eastAsia" w:ascii="宋体" w:hAnsi="宋体" w:cs="宋体"/>
            </w:rPr>
            <w:t>62</w:t>
          </w:r>
          <w:r>
            <w:rPr>
              <w:rFonts w:hint="eastAsia" w:ascii="宋体" w:hAnsi="宋体" w:cs="宋体"/>
            </w:rPr>
            <w:fldChar w:fldCharType="end"/>
          </w:r>
          <w:r>
            <w:rPr>
              <w:rFonts w:hint="eastAsia" w:ascii="宋体" w:hAnsi="宋体" w:cs="宋体"/>
            </w:rPr>
            <w:fldChar w:fldCharType="end"/>
          </w:r>
        </w:p>
        <w:p w14:paraId="2F53F480">
          <w:pPr>
            <w:pStyle w:val="11"/>
            <w:tabs>
              <w:tab w:val="right" w:leader="dot" w:pos="8306"/>
            </w:tabs>
            <w:rPr>
              <w:rFonts w:hint="eastAsia" w:ascii="宋体" w:hAnsi="宋体" w:cs="宋体"/>
            </w:rPr>
          </w:pPr>
          <w:r>
            <w:rPr>
              <w:rFonts w:hint="eastAsia" w:ascii="宋体" w:hAnsi="宋体" w:cs="宋体"/>
            </w:rPr>
            <w:fldChar w:fldCharType="begin"/>
          </w:r>
          <w:r>
            <w:rPr>
              <w:rFonts w:hint="eastAsia" w:ascii="宋体" w:hAnsi="宋体" w:cs="宋体"/>
            </w:rPr>
            <w:instrText xml:space="preserve"> HYPERLINK \l _Toc4725 </w:instrText>
          </w:r>
          <w:r>
            <w:rPr>
              <w:rFonts w:hint="eastAsia" w:ascii="宋体" w:hAnsi="宋体" w:cs="宋体"/>
            </w:rPr>
            <w:fldChar w:fldCharType="separate"/>
          </w:r>
          <w:r>
            <w:rPr>
              <w:rFonts w:hint="eastAsia" w:ascii="宋体" w:hAnsi="宋体" w:eastAsia="宋体" w:cs="宋体"/>
              <w:bCs/>
              <w:szCs w:val="28"/>
            </w:rPr>
            <w:t>4.1 控制项</w:t>
          </w:r>
          <w:r>
            <w:rPr>
              <w:rFonts w:hint="eastAsia" w:ascii="宋体" w:hAnsi="宋体" w:cs="宋体"/>
            </w:rPr>
            <w:tab/>
          </w:r>
          <w:r>
            <w:rPr>
              <w:rFonts w:hint="eastAsia" w:ascii="宋体" w:hAnsi="宋体" w:cs="宋体"/>
            </w:rPr>
            <w:fldChar w:fldCharType="begin"/>
          </w:r>
          <w:r>
            <w:rPr>
              <w:rFonts w:hint="eastAsia" w:ascii="宋体" w:hAnsi="宋体" w:cs="宋体"/>
            </w:rPr>
            <w:instrText xml:space="preserve"> PAGEREF _Toc4725 \h </w:instrText>
          </w:r>
          <w:r>
            <w:rPr>
              <w:rFonts w:hint="eastAsia" w:ascii="宋体" w:hAnsi="宋体" w:cs="宋体"/>
            </w:rPr>
            <w:fldChar w:fldCharType="separate"/>
          </w:r>
          <w:r>
            <w:rPr>
              <w:rFonts w:hint="eastAsia" w:ascii="宋体" w:hAnsi="宋体" w:cs="宋体"/>
            </w:rPr>
            <w:t>62</w:t>
          </w:r>
          <w:r>
            <w:rPr>
              <w:rFonts w:hint="eastAsia" w:ascii="宋体" w:hAnsi="宋体" w:cs="宋体"/>
            </w:rPr>
            <w:fldChar w:fldCharType="end"/>
          </w:r>
          <w:r>
            <w:rPr>
              <w:rFonts w:hint="eastAsia" w:ascii="宋体" w:hAnsi="宋体" w:cs="宋体"/>
            </w:rPr>
            <w:fldChar w:fldCharType="end"/>
          </w:r>
        </w:p>
        <w:p w14:paraId="225940F2">
          <w:pPr>
            <w:pStyle w:val="11"/>
            <w:tabs>
              <w:tab w:val="right" w:leader="dot" w:pos="8306"/>
            </w:tabs>
            <w:rPr>
              <w:rFonts w:hint="eastAsia" w:ascii="宋体" w:hAnsi="宋体" w:cs="宋体"/>
            </w:rPr>
          </w:pPr>
          <w:r>
            <w:rPr>
              <w:rFonts w:hint="eastAsia" w:ascii="宋体" w:hAnsi="宋体" w:cs="宋体"/>
            </w:rPr>
            <w:fldChar w:fldCharType="begin"/>
          </w:r>
          <w:r>
            <w:rPr>
              <w:rFonts w:hint="eastAsia" w:ascii="宋体" w:hAnsi="宋体" w:cs="宋体"/>
            </w:rPr>
            <w:instrText xml:space="preserve"> HYPERLINK \l _Toc4932 </w:instrText>
          </w:r>
          <w:r>
            <w:rPr>
              <w:rFonts w:hint="eastAsia" w:ascii="宋体" w:hAnsi="宋体" w:cs="宋体"/>
            </w:rPr>
            <w:fldChar w:fldCharType="separate"/>
          </w:r>
          <w:r>
            <w:rPr>
              <w:rFonts w:hint="eastAsia" w:ascii="宋体" w:hAnsi="宋体" w:eastAsia="宋体" w:cs="宋体"/>
              <w:bCs/>
              <w:szCs w:val="28"/>
            </w:rPr>
            <w:t>4.2 评分项</w:t>
          </w:r>
          <w:r>
            <w:rPr>
              <w:rFonts w:hint="eastAsia" w:ascii="宋体" w:hAnsi="宋体" w:cs="宋体"/>
            </w:rPr>
            <w:tab/>
          </w:r>
          <w:r>
            <w:rPr>
              <w:rFonts w:hint="eastAsia" w:ascii="宋体" w:hAnsi="宋体" w:cs="宋体"/>
            </w:rPr>
            <w:fldChar w:fldCharType="begin"/>
          </w:r>
          <w:r>
            <w:rPr>
              <w:rFonts w:hint="eastAsia" w:ascii="宋体" w:hAnsi="宋体" w:cs="宋体"/>
            </w:rPr>
            <w:instrText xml:space="preserve"> PAGEREF _Toc4932 \h </w:instrText>
          </w:r>
          <w:r>
            <w:rPr>
              <w:rFonts w:hint="eastAsia" w:ascii="宋体" w:hAnsi="宋体" w:cs="宋体"/>
            </w:rPr>
            <w:fldChar w:fldCharType="separate"/>
          </w:r>
          <w:r>
            <w:rPr>
              <w:rFonts w:hint="eastAsia" w:ascii="宋体" w:hAnsi="宋体" w:cs="宋体"/>
            </w:rPr>
            <w:t>63</w:t>
          </w:r>
          <w:r>
            <w:rPr>
              <w:rFonts w:hint="eastAsia" w:ascii="宋体" w:hAnsi="宋体" w:cs="宋体"/>
            </w:rPr>
            <w:fldChar w:fldCharType="end"/>
          </w:r>
          <w:r>
            <w:rPr>
              <w:rFonts w:hint="eastAsia" w:ascii="宋体" w:hAnsi="宋体" w:cs="宋体"/>
            </w:rPr>
            <w:fldChar w:fldCharType="end"/>
          </w:r>
        </w:p>
        <w:p w14:paraId="04017231">
          <w:pPr>
            <w:pStyle w:val="10"/>
            <w:tabs>
              <w:tab w:val="right" w:leader="dot" w:pos="8306"/>
            </w:tabs>
            <w:rPr>
              <w:rFonts w:hint="eastAsia" w:ascii="宋体" w:hAnsi="宋体" w:cs="宋体"/>
            </w:rPr>
          </w:pPr>
          <w:r>
            <w:rPr>
              <w:rFonts w:hint="eastAsia" w:ascii="宋体" w:hAnsi="宋体" w:cs="宋体"/>
            </w:rPr>
            <w:fldChar w:fldCharType="begin"/>
          </w:r>
          <w:r>
            <w:rPr>
              <w:rFonts w:hint="eastAsia" w:ascii="宋体" w:hAnsi="宋体" w:cs="宋体"/>
            </w:rPr>
            <w:instrText xml:space="preserve"> HYPERLINK \l _Toc6002 </w:instrText>
          </w:r>
          <w:r>
            <w:rPr>
              <w:rFonts w:hint="eastAsia" w:ascii="宋体" w:hAnsi="宋体" w:cs="宋体"/>
            </w:rPr>
            <w:fldChar w:fldCharType="separate"/>
          </w:r>
          <w:r>
            <w:rPr>
              <w:rFonts w:hint="eastAsia" w:ascii="宋体" w:hAnsi="宋体" w:eastAsia="宋体" w:cs="宋体"/>
              <w:bCs/>
              <w:szCs w:val="30"/>
            </w:rPr>
            <w:t>5 资源可持续</w:t>
          </w:r>
          <w:r>
            <w:rPr>
              <w:rFonts w:hint="eastAsia" w:ascii="宋体" w:hAnsi="宋体" w:cs="宋体"/>
            </w:rPr>
            <w:tab/>
          </w:r>
          <w:r>
            <w:rPr>
              <w:rFonts w:hint="eastAsia" w:ascii="宋体" w:hAnsi="宋体" w:cs="宋体"/>
            </w:rPr>
            <w:fldChar w:fldCharType="begin"/>
          </w:r>
          <w:r>
            <w:rPr>
              <w:rFonts w:hint="eastAsia" w:ascii="宋体" w:hAnsi="宋体" w:cs="宋体"/>
            </w:rPr>
            <w:instrText xml:space="preserve"> PAGEREF _Toc6002 \h </w:instrText>
          </w:r>
          <w:r>
            <w:rPr>
              <w:rFonts w:hint="eastAsia" w:ascii="宋体" w:hAnsi="宋体" w:cs="宋体"/>
            </w:rPr>
            <w:fldChar w:fldCharType="separate"/>
          </w:r>
          <w:r>
            <w:rPr>
              <w:rFonts w:hint="eastAsia" w:ascii="宋体" w:hAnsi="宋体" w:cs="宋体"/>
            </w:rPr>
            <w:t>69</w:t>
          </w:r>
          <w:r>
            <w:rPr>
              <w:rFonts w:hint="eastAsia" w:ascii="宋体" w:hAnsi="宋体" w:cs="宋体"/>
            </w:rPr>
            <w:fldChar w:fldCharType="end"/>
          </w:r>
          <w:r>
            <w:rPr>
              <w:rFonts w:hint="eastAsia" w:ascii="宋体" w:hAnsi="宋体" w:cs="宋体"/>
            </w:rPr>
            <w:fldChar w:fldCharType="end"/>
          </w:r>
        </w:p>
        <w:p w14:paraId="1851B0B7">
          <w:pPr>
            <w:pStyle w:val="11"/>
            <w:tabs>
              <w:tab w:val="right" w:leader="dot" w:pos="8306"/>
            </w:tabs>
            <w:rPr>
              <w:rFonts w:hint="eastAsia" w:ascii="宋体" w:hAnsi="宋体" w:cs="宋体"/>
            </w:rPr>
          </w:pPr>
          <w:r>
            <w:rPr>
              <w:rFonts w:hint="eastAsia" w:ascii="宋体" w:hAnsi="宋体" w:cs="宋体"/>
            </w:rPr>
            <w:fldChar w:fldCharType="begin"/>
          </w:r>
          <w:r>
            <w:rPr>
              <w:rFonts w:hint="eastAsia" w:ascii="宋体" w:hAnsi="宋体" w:cs="宋体"/>
            </w:rPr>
            <w:instrText xml:space="preserve"> HYPERLINK \l _Toc6340 </w:instrText>
          </w:r>
          <w:r>
            <w:rPr>
              <w:rFonts w:hint="eastAsia" w:ascii="宋体" w:hAnsi="宋体" w:cs="宋体"/>
            </w:rPr>
            <w:fldChar w:fldCharType="separate"/>
          </w:r>
          <w:r>
            <w:rPr>
              <w:rFonts w:hint="eastAsia" w:ascii="宋体" w:hAnsi="宋体" w:eastAsia="宋体" w:cs="宋体"/>
              <w:bCs/>
              <w:szCs w:val="28"/>
            </w:rPr>
            <w:t>5.1 控制项</w:t>
          </w:r>
          <w:r>
            <w:rPr>
              <w:rFonts w:hint="eastAsia" w:ascii="宋体" w:hAnsi="宋体" w:cs="宋体"/>
            </w:rPr>
            <w:tab/>
          </w:r>
          <w:r>
            <w:rPr>
              <w:rFonts w:hint="eastAsia" w:ascii="宋体" w:hAnsi="宋体" w:cs="宋体"/>
            </w:rPr>
            <w:fldChar w:fldCharType="begin"/>
          </w:r>
          <w:r>
            <w:rPr>
              <w:rFonts w:hint="eastAsia" w:ascii="宋体" w:hAnsi="宋体" w:cs="宋体"/>
            </w:rPr>
            <w:instrText xml:space="preserve"> PAGEREF _Toc6340 \h </w:instrText>
          </w:r>
          <w:r>
            <w:rPr>
              <w:rFonts w:hint="eastAsia" w:ascii="宋体" w:hAnsi="宋体" w:cs="宋体"/>
            </w:rPr>
            <w:fldChar w:fldCharType="separate"/>
          </w:r>
          <w:r>
            <w:rPr>
              <w:rFonts w:hint="eastAsia" w:ascii="宋体" w:hAnsi="宋体" w:cs="宋体"/>
            </w:rPr>
            <w:t>69</w:t>
          </w:r>
          <w:r>
            <w:rPr>
              <w:rFonts w:hint="eastAsia" w:ascii="宋体" w:hAnsi="宋体" w:cs="宋体"/>
            </w:rPr>
            <w:fldChar w:fldCharType="end"/>
          </w:r>
          <w:r>
            <w:rPr>
              <w:rFonts w:hint="eastAsia" w:ascii="宋体" w:hAnsi="宋体" w:cs="宋体"/>
            </w:rPr>
            <w:fldChar w:fldCharType="end"/>
          </w:r>
        </w:p>
        <w:p w14:paraId="6055D58A">
          <w:pPr>
            <w:pStyle w:val="11"/>
            <w:tabs>
              <w:tab w:val="right" w:leader="dot" w:pos="8306"/>
            </w:tabs>
            <w:rPr>
              <w:rFonts w:hint="eastAsia" w:ascii="宋体" w:hAnsi="宋体" w:cs="宋体"/>
            </w:rPr>
          </w:pPr>
          <w:r>
            <w:rPr>
              <w:rFonts w:hint="eastAsia" w:ascii="宋体" w:hAnsi="宋体" w:cs="宋体"/>
            </w:rPr>
            <w:fldChar w:fldCharType="begin"/>
          </w:r>
          <w:r>
            <w:rPr>
              <w:rFonts w:hint="eastAsia" w:ascii="宋体" w:hAnsi="宋体" w:cs="宋体"/>
            </w:rPr>
            <w:instrText xml:space="preserve"> HYPERLINK \l _Toc17968 </w:instrText>
          </w:r>
          <w:r>
            <w:rPr>
              <w:rFonts w:hint="eastAsia" w:ascii="宋体" w:hAnsi="宋体" w:cs="宋体"/>
            </w:rPr>
            <w:fldChar w:fldCharType="separate"/>
          </w:r>
          <w:r>
            <w:rPr>
              <w:rFonts w:hint="eastAsia" w:ascii="宋体" w:hAnsi="宋体" w:eastAsia="宋体" w:cs="宋体"/>
              <w:bCs/>
              <w:szCs w:val="28"/>
            </w:rPr>
            <w:t>5.2 评分项</w:t>
          </w:r>
          <w:r>
            <w:rPr>
              <w:rFonts w:hint="eastAsia" w:ascii="宋体" w:hAnsi="宋体" w:cs="宋体"/>
            </w:rPr>
            <w:tab/>
          </w:r>
          <w:r>
            <w:rPr>
              <w:rFonts w:hint="eastAsia" w:ascii="宋体" w:hAnsi="宋体" w:cs="宋体"/>
            </w:rPr>
            <w:fldChar w:fldCharType="begin"/>
          </w:r>
          <w:r>
            <w:rPr>
              <w:rFonts w:hint="eastAsia" w:ascii="宋体" w:hAnsi="宋体" w:cs="宋体"/>
            </w:rPr>
            <w:instrText xml:space="preserve"> PAGEREF _Toc17968 \h </w:instrText>
          </w:r>
          <w:r>
            <w:rPr>
              <w:rFonts w:hint="eastAsia" w:ascii="宋体" w:hAnsi="宋体" w:cs="宋体"/>
            </w:rPr>
            <w:fldChar w:fldCharType="separate"/>
          </w:r>
          <w:r>
            <w:rPr>
              <w:rFonts w:hint="eastAsia" w:ascii="宋体" w:hAnsi="宋体" w:cs="宋体"/>
            </w:rPr>
            <w:t>70</w:t>
          </w:r>
          <w:r>
            <w:rPr>
              <w:rFonts w:hint="eastAsia" w:ascii="宋体" w:hAnsi="宋体" w:cs="宋体"/>
            </w:rPr>
            <w:fldChar w:fldCharType="end"/>
          </w:r>
          <w:r>
            <w:rPr>
              <w:rFonts w:hint="eastAsia" w:ascii="宋体" w:hAnsi="宋体" w:cs="宋体"/>
            </w:rPr>
            <w:fldChar w:fldCharType="end"/>
          </w:r>
        </w:p>
        <w:p w14:paraId="1709F461">
          <w:pPr>
            <w:pStyle w:val="10"/>
            <w:tabs>
              <w:tab w:val="right" w:leader="dot" w:pos="8306"/>
            </w:tabs>
            <w:rPr>
              <w:rFonts w:hint="eastAsia" w:ascii="宋体" w:hAnsi="宋体" w:cs="宋体"/>
            </w:rPr>
          </w:pPr>
          <w:r>
            <w:rPr>
              <w:rFonts w:hint="eastAsia" w:ascii="宋体" w:hAnsi="宋体" w:cs="宋体"/>
            </w:rPr>
            <w:fldChar w:fldCharType="begin"/>
          </w:r>
          <w:r>
            <w:rPr>
              <w:rFonts w:hint="eastAsia" w:ascii="宋体" w:hAnsi="宋体" w:cs="宋体"/>
            </w:rPr>
            <w:instrText xml:space="preserve"> HYPERLINK \l _Toc22773 </w:instrText>
          </w:r>
          <w:r>
            <w:rPr>
              <w:rFonts w:hint="eastAsia" w:ascii="宋体" w:hAnsi="宋体" w:cs="宋体"/>
            </w:rPr>
            <w:fldChar w:fldCharType="separate"/>
          </w:r>
          <w:r>
            <w:rPr>
              <w:rFonts w:hint="eastAsia" w:ascii="宋体" w:hAnsi="宋体" w:eastAsia="宋体" w:cs="宋体"/>
              <w:bCs/>
              <w:szCs w:val="30"/>
            </w:rPr>
            <w:t>6 社会可持续</w:t>
          </w:r>
          <w:r>
            <w:rPr>
              <w:rFonts w:hint="eastAsia" w:ascii="宋体" w:hAnsi="宋体" w:cs="宋体"/>
            </w:rPr>
            <w:tab/>
          </w:r>
          <w:r>
            <w:rPr>
              <w:rFonts w:hint="eastAsia" w:ascii="宋体" w:hAnsi="宋体" w:cs="宋体"/>
            </w:rPr>
            <w:fldChar w:fldCharType="begin"/>
          </w:r>
          <w:r>
            <w:rPr>
              <w:rFonts w:hint="eastAsia" w:ascii="宋体" w:hAnsi="宋体" w:cs="宋体"/>
            </w:rPr>
            <w:instrText xml:space="preserve"> PAGEREF _Toc22773 \h </w:instrText>
          </w:r>
          <w:r>
            <w:rPr>
              <w:rFonts w:hint="eastAsia" w:ascii="宋体" w:hAnsi="宋体" w:cs="宋体"/>
            </w:rPr>
            <w:fldChar w:fldCharType="separate"/>
          </w:r>
          <w:r>
            <w:rPr>
              <w:rFonts w:hint="eastAsia" w:ascii="宋体" w:hAnsi="宋体" w:cs="宋体"/>
            </w:rPr>
            <w:t>73</w:t>
          </w:r>
          <w:r>
            <w:rPr>
              <w:rFonts w:hint="eastAsia" w:ascii="宋体" w:hAnsi="宋体" w:cs="宋体"/>
            </w:rPr>
            <w:fldChar w:fldCharType="end"/>
          </w:r>
          <w:r>
            <w:rPr>
              <w:rFonts w:hint="eastAsia" w:ascii="宋体" w:hAnsi="宋体" w:cs="宋体"/>
            </w:rPr>
            <w:fldChar w:fldCharType="end"/>
          </w:r>
        </w:p>
        <w:p w14:paraId="0D84519F">
          <w:pPr>
            <w:pStyle w:val="11"/>
            <w:tabs>
              <w:tab w:val="right" w:leader="dot" w:pos="8306"/>
            </w:tabs>
            <w:rPr>
              <w:rFonts w:hint="eastAsia" w:ascii="宋体" w:hAnsi="宋体" w:cs="宋体"/>
            </w:rPr>
          </w:pPr>
          <w:r>
            <w:rPr>
              <w:rFonts w:hint="eastAsia" w:ascii="宋体" w:hAnsi="宋体" w:cs="宋体"/>
            </w:rPr>
            <w:fldChar w:fldCharType="begin"/>
          </w:r>
          <w:r>
            <w:rPr>
              <w:rFonts w:hint="eastAsia" w:ascii="宋体" w:hAnsi="宋体" w:cs="宋体"/>
            </w:rPr>
            <w:instrText xml:space="preserve"> HYPERLINK \l _Toc503 </w:instrText>
          </w:r>
          <w:r>
            <w:rPr>
              <w:rFonts w:hint="eastAsia" w:ascii="宋体" w:hAnsi="宋体" w:cs="宋体"/>
            </w:rPr>
            <w:fldChar w:fldCharType="separate"/>
          </w:r>
          <w:r>
            <w:rPr>
              <w:rFonts w:hint="eastAsia" w:ascii="宋体" w:hAnsi="宋体" w:eastAsia="宋体" w:cs="宋体"/>
              <w:bCs/>
              <w:szCs w:val="28"/>
            </w:rPr>
            <w:t>6.1 控制项</w:t>
          </w:r>
          <w:r>
            <w:rPr>
              <w:rFonts w:hint="eastAsia" w:ascii="宋体" w:hAnsi="宋体" w:cs="宋体"/>
            </w:rPr>
            <w:tab/>
          </w:r>
          <w:r>
            <w:rPr>
              <w:rFonts w:hint="eastAsia" w:ascii="宋体" w:hAnsi="宋体" w:cs="宋体"/>
            </w:rPr>
            <w:fldChar w:fldCharType="begin"/>
          </w:r>
          <w:r>
            <w:rPr>
              <w:rFonts w:hint="eastAsia" w:ascii="宋体" w:hAnsi="宋体" w:cs="宋体"/>
            </w:rPr>
            <w:instrText xml:space="preserve"> PAGEREF _Toc503 \h </w:instrText>
          </w:r>
          <w:r>
            <w:rPr>
              <w:rFonts w:hint="eastAsia" w:ascii="宋体" w:hAnsi="宋体" w:cs="宋体"/>
            </w:rPr>
            <w:fldChar w:fldCharType="separate"/>
          </w:r>
          <w:r>
            <w:rPr>
              <w:rFonts w:hint="eastAsia" w:ascii="宋体" w:hAnsi="宋体" w:cs="宋体"/>
            </w:rPr>
            <w:t>73</w:t>
          </w:r>
          <w:r>
            <w:rPr>
              <w:rFonts w:hint="eastAsia" w:ascii="宋体" w:hAnsi="宋体" w:cs="宋体"/>
            </w:rPr>
            <w:fldChar w:fldCharType="end"/>
          </w:r>
          <w:r>
            <w:rPr>
              <w:rFonts w:hint="eastAsia" w:ascii="宋体" w:hAnsi="宋体" w:cs="宋体"/>
            </w:rPr>
            <w:fldChar w:fldCharType="end"/>
          </w:r>
        </w:p>
        <w:p w14:paraId="212EFCC5">
          <w:pPr>
            <w:pStyle w:val="11"/>
            <w:tabs>
              <w:tab w:val="right" w:leader="dot" w:pos="8306"/>
            </w:tabs>
            <w:rPr>
              <w:rFonts w:hint="eastAsia" w:ascii="宋体" w:hAnsi="宋体" w:cs="宋体"/>
            </w:rPr>
          </w:pPr>
          <w:r>
            <w:rPr>
              <w:rFonts w:hint="eastAsia" w:ascii="宋体" w:hAnsi="宋体" w:cs="宋体"/>
            </w:rPr>
            <w:fldChar w:fldCharType="begin"/>
          </w:r>
          <w:r>
            <w:rPr>
              <w:rFonts w:hint="eastAsia" w:ascii="宋体" w:hAnsi="宋体" w:cs="宋体"/>
            </w:rPr>
            <w:instrText xml:space="preserve"> HYPERLINK \l _Toc2986 </w:instrText>
          </w:r>
          <w:r>
            <w:rPr>
              <w:rFonts w:hint="eastAsia" w:ascii="宋体" w:hAnsi="宋体" w:cs="宋体"/>
            </w:rPr>
            <w:fldChar w:fldCharType="separate"/>
          </w:r>
          <w:r>
            <w:rPr>
              <w:rFonts w:hint="eastAsia" w:ascii="宋体" w:hAnsi="宋体" w:eastAsia="宋体" w:cs="宋体"/>
              <w:bCs/>
              <w:szCs w:val="28"/>
            </w:rPr>
            <w:t>6.2 评分项</w:t>
          </w:r>
          <w:r>
            <w:rPr>
              <w:rFonts w:hint="eastAsia" w:ascii="宋体" w:hAnsi="宋体" w:cs="宋体"/>
            </w:rPr>
            <w:tab/>
          </w:r>
          <w:r>
            <w:rPr>
              <w:rFonts w:hint="eastAsia" w:ascii="宋体" w:hAnsi="宋体" w:cs="宋体"/>
            </w:rPr>
            <w:fldChar w:fldCharType="begin"/>
          </w:r>
          <w:r>
            <w:rPr>
              <w:rFonts w:hint="eastAsia" w:ascii="宋体" w:hAnsi="宋体" w:cs="宋体"/>
            </w:rPr>
            <w:instrText xml:space="preserve"> PAGEREF _Toc2986 \h </w:instrText>
          </w:r>
          <w:r>
            <w:rPr>
              <w:rFonts w:hint="eastAsia" w:ascii="宋体" w:hAnsi="宋体" w:cs="宋体"/>
            </w:rPr>
            <w:fldChar w:fldCharType="separate"/>
          </w:r>
          <w:r>
            <w:rPr>
              <w:rFonts w:hint="eastAsia" w:ascii="宋体" w:hAnsi="宋体" w:cs="宋体"/>
            </w:rPr>
            <w:t>73</w:t>
          </w:r>
          <w:r>
            <w:rPr>
              <w:rFonts w:hint="eastAsia" w:ascii="宋体" w:hAnsi="宋体" w:cs="宋体"/>
            </w:rPr>
            <w:fldChar w:fldCharType="end"/>
          </w:r>
          <w:r>
            <w:rPr>
              <w:rFonts w:hint="eastAsia" w:ascii="宋体" w:hAnsi="宋体" w:cs="宋体"/>
            </w:rPr>
            <w:fldChar w:fldCharType="end"/>
          </w:r>
        </w:p>
        <w:p w14:paraId="533C1A86">
          <w:pPr>
            <w:pStyle w:val="10"/>
            <w:tabs>
              <w:tab w:val="right" w:leader="dot" w:pos="8306"/>
            </w:tabs>
            <w:rPr>
              <w:rFonts w:hint="eastAsia" w:ascii="宋体" w:hAnsi="宋体" w:cs="宋体"/>
            </w:rPr>
          </w:pPr>
          <w:r>
            <w:rPr>
              <w:rFonts w:hint="eastAsia" w:ascii="宋体" w:hAnsi="宋体" w:cs="宋体"/>
            </w:rPr>
            <w:fldChar w:fldCharType="begin"/>
          </w:r>
          <w:r>
            <w:rPr>
              <w:rFonts w:hint="eastAsia" w:ascii="宋体" w:hAnsi="宋体" w:cs="宋体"/>
            </w:rPr>
            <w:instrText xml:space="preserve"> HYPERLINK \l _Toc9816 </w:instrText>
          </w:r>
          <w:r>
            <w:rPr>
              <w:rFonts w:hint="eastAsia" w:ascii="宋体" w:hAnsi="宋体" w:cs="宋体"/>
            </w:rPr>
            <w:fldChar w:fldCharType="separate"/>
          </w:r>
          <w:r>
            <w:rPr>
              <w:rFonts w:hint="eastAsia" w:ascii="宋体" w:hAnsi="宋体" w:eastAsia="宋体" w:cs="宋体"/>
              <w:bCs/>
              <w:szCs w:val="30"/>
            </w:rPr>
            <w:t>7 治理可持续</w:t>
          </w:r>
          <w:r>
            <w:rPr>
              <w:rFonts w:hint="eastAsia" w:ascii="宋体" w:hAnsi="宋体" w:cs="宋体"/>
            </w:rPr>
            <w:tab/>
          </w:r>
          <w:r>
            <w:rPr>
              <w:rFonts w:hint="eastAsia" w:ascii="宋体" w:hAnsi="宋体" w:cs="宋体"/>
            </w:rPr>
            <w:fldChar w:fldCharType="begin"/>
          </w:r>
          <w:r>
            <w:rPr>
              <w:rFonts w:hint="eastAsia" w:ascii="宋体" w:hAnsi="宋体" w:cs="宋体"/>
            </w:rPr>
            <w:instrText xml:space="preserve"> PAGEREF _Toc9816 \h </w:instrText>
          </w:r>
          <w:r>
            <w:rPr>
              <w:rFonts w:hint="eastAsia" w:ascii="宋体" w:hAnsi="宋体" w:cs="宋体"/>
            </w:rPr>
            <w:fldChar w:fldCharType="separate"/>
          </w:r>
          <w:r>
            <w:rPr>
              <w:rFonts w:hint="eastAsia" w:ascii="宋体" w:hAnsi="宋体" w:cs="宋体"/>
            </w:rPr>
            <w:t>77</w:t>
          </w:r>
          <w:r>
            <w:rPr>
              <w:rFonts w:hint="eastAsia" w:ascii="宋体" w:hAnsi="宋体" w:cs="宋体"/>
            </w:rPr>
            <w:fldChar w:fldCharType="end"/>
          </w:r>
          <w:r>
            <w:rPr>
              <w:rFonts w:hint="eastAsia" w:ascii="宋体" w:hAnsi="宋体" w:cs="宋体"/>
            </w:rPr>
            <w:fldChar w:fldCharType="end"/>
          </w:r>
        </w:p>
        <w:p w14:paraId="698C9A02">
          <w:pPr>
            <w:pStyle w:val="11"/>
            <w:tabs>
              <w:tab w:val="right" w:leader="dot" w:pos="8306"/>
            </w:tabs>
            <w:rPr>
              <w:rFonts w:hint="eastAsia" w:ascii="宋体" w:hAnsi="宋体" w:cs="宋体"/>
            </w:rPr>
          </w:pPr>
          <w:r>
            <w:rPr>
              <w:rFonts w:hint="eastAsia" w:ascii="宋体" w:hAnsi="宋体" w:cs="宋体"/>
            </w:rPr>
            <w:fldChar w:fldCharType="begin"/>
          </w:r>
          <w:r>
            <w:rPr>
              <w:rFonts w:hint="eastAsia" w:ascii="宋体" w:hAnsi="宋体" w:cs="宋体"/>
            </w:rPr>
            <w:instrText xml:space="preserve"> HYPERLINK \l _Toc7470 </w:instrText>
          </w:r>
          <w:r>
            <w:rPr>
              <w:rFonts w:hint="eastAsia" w:ascii="宋体" w:hAnsi="宋体" w:cs="宋体"/>
            </w:rPr>
            <w:fldChar w:fldCharType="separate"/>
          </w:r>
          <w:r>
            <w:rPr>
              <w:rFonts w:hint="eastAsia" w:ascii="宋体" w:hAnsi="宋体" w:eastAsia="宋体" w:cs="宋体"/>
              <w:bCs/>
              <w:szCs w:val="28"/>
            </w:rPr>
            <w:t>7.1 控制项</w:t>
          </w:r>
          <w:r>
            <w:rPr>
              <w:rFonts w:hint="eastAsia" w:ascii="宋体" w:hAnsi="宋体" w:cs="宋体"/>
            </w:rPr>
            <w:tab/>
          </w:r>
          <w:r>
            <w:rPr>
              <w:rFonts w:hint="eastAsia" w:ascii="宋体" w:hAnsi="宋体" w:cs="宋体"/>
            </w:rPr>
            <w:fldChar w:fldCharType="begin"/>
          </w:r>
          <w:r>
            <w:rPr>
              <w:rFonts w:hint="eastAsia" w:ascii="宋体" w:hAnsi="宋体" w:cs="宋体"/>
            </w:rPr>
            <w:instrText xml:space="preserve"> PAGEREF _Toc7470 \h </w:instrText>
          </w:r>
          <w:r>
            <w:rPr>
              <w:rFonts w:hint="eastAsia" w:ascii="宋体" w:hAnsi="宋体" w:cs="宋体"/>
            </w:rPr>
            <w:fldChar w:fldCharType="separate"/>
          </w:r>
          <w:r>
            <w:rPr>
              <w:rFonts w:hint="eastAsia" w:ascii="宋体" w:hAnsi="宋体" w:cs="宋体"/>
            </w:rPr>
            <w:t>77</w:t>
          </w:r>
          <w:r>
            <w:rPr>
              <w:rFonts w:hint="eastAsia" w:ascii="宋体" w:hAnsi="宋体" w:cs="宋体"/>
            </w:rPr>
            <w:fldChar w:fldCharType="end"/>
          </w:r>
          <w:r>
            <w:rPr>
              <w:rFonts w:hint="eastAsia" w:ascii="宋体" w:hAnsi="宋体" w:cs="宋体"/>
            </w:rPr>
            <w:fldChar w:fldCharType="end"/>
          </w:r>
        </w:p>
        <w:p w14:paraId="0FAD8BBF">
          <w:pPr>
            <w:pStyle w:val="11"/>
            <w:tabs>
              <w:tab w:val="right" w:leader="dot" w:pos="8306"/>
            </w:tabs>
            <w:rPr>
              <w:rFonts w:hint="eastAsia" w:ascii="宋体" w:hAnsi="宋体" w:cs="宋体"/>
            </w:rPr>
          </w:pPr>
          <w:r>
            <w:rPr>
              <w:rFonts w:hint="eastAsia" w:ascii="宋体" w:hAnsi="宋体" w:cs="宋体"/>
            </w:rPr>
            <w:fldChar w:fldCharType="begin"/>
          </w:r>
          <w:r>
            <w:rPr>
              <w:rFonts w:hint="eastAsia" w:ascii="宋体" w:hAnsi="宋体" w:cs="宋体"/>
            </w:rPr>
            <w:instrText xml:space="preserve"> HYPERLINK \l _Toc22912 </w:instrText>
          </w:r>
          <w:r>
            <w:rPr>
              <w:rFonts w:hint="eastAsia" w:ascii="宋体" w:hAnsi="宋体" w:cs="宋体"/>
            </w:rPr>
            <w:fldChar w:fldCharType="separate"/>
          </w:r>
          <w:r>
            <w:rPr>
              <w:rFonts w:hint="eastAsia" w:ascii="宋体" w:hAnsi="宋体" w:eastAsia="宋体" w:cs="宋体"/>
              <w:bCs/>
              <w:szCs w:val="28"/>
            </w:rPr>
            <w:t>7.2 评分项</w:t>
          </w:r>
          <w:r>
            <w:rPr>
              <w:rFonts w:hint="eastAsia" w:ascii="宋体" w:hAnsi="宋体" w:cs="宋体"/>
            </w:rPr>
            <w:tab/>
          </w:r>
          <w:r>
            <w:rPr>
              <w:rFonts w:hint="eastAsia" w:ascii="宋体" w:hAnsi="宋体" w:cs="宋体"/>
            </w:rPr>
            <w:fldChar w:fldCharType="begin"/>
          </w:r>
          <w:r>
            <w:rPr>
              <w:rFonts w:hint="eastAsia" w:ascii="宋体" w:hAnsi="宋体" w:cs="宋体"/>
            </w:rPr>
            <w:instrText xml:space="preserve"> PAGEREF _Toc22912 \h </w:instrText>
          </w:r>
          <w:r>
            <w:rPr>
              <w:rFonts w:hint="eastAsia" w:ascii="宋体" w:hAnsi="宋体" w:cs="宋体"/>
            </w:rPr>
            <w:fldChar w:fldCharType="separate"/>
          </w:r>
          <w:r>
            <w:rPr>
              <w:rFonts w:hint="eastAsia" w:ascii="宋体" w:hAnsi="宋体" w:cs="宋体"/>
            </w:rPr>
            <w:t>78</w:t>
          </w:r>
          <w:r>
            <w:rPr>
              <w:rFonts w:hint="eastAsia" w:ascii="宋体" w:hAnsi="宋体" w:cs="宋体"/>
            </w:rPr>
            <w:fldChar w:fldCharType="end"/>
          </w:r>
          <w:r>
            <w:rPr>
              <w:rFonts w:hint="eastAsia" w:ascii="宋体" w:hAnsi="宋体" w:cs="宋体"/>
            </w:rPr>
            <w:fldChar w:fldCharType="end"/>
          </w:r>
        </w:p>
        <w:p w14:paraId="5CC437D5">
          <w:pPr>
            <w:pStyle w:val="10"/>
            <w:tabs>
              <w:tab w:val="right" w:leader="dot" w:pos="8306"/>
            </w:tabs>
            <w:rPr>
              <w:rFonts w:hint="eastAsia" w:ascii="宋体" w:hAnsi="宋体" w:cs="宋体"/>
            </w:rPr>
          </w:pPr>
          <w:r>
            <w:rPr>
              <w:rFonts w:hint="eastAsia" w:ascii="宋体" w:hAnsi="宋体" w:cs="宋体"/>
            </w:rPr>
            <w:fldChar w:fldCharType="begin"/>
          </w:r>
          <w:r>
            <w:rPr>
              <w:rFonts w:hint="eastAsia" w:ascii="宋体" w:hAnsi="宋体" w:cs="宋体"/>
            </w:rPr>
            <w:instrText xml:space="preserve"> HYPERLINK \l _Toc8636 </w:instrText>
          </w:r>
          <w:r>
            <w:rPr>
              <w:rFonts w:hint="eastAsia" w:ascii="宋体" w:hAnsi="宋体" w:cs="宋体"/>
            </w:rPr>
            <w:fldChar w:fldCharType="separate"/>
          </w:r>
          <w:r>
            <w:rPr>
              <w:rFonts w:hint="eastAsia" w:ascii="宋体" w:hAnsi="宋体" w:eastAsia="宋体" w:cs="宋体"/>
              <w:bCs/>
              <w:szCs w:val="30"/>
              <w:lang w:val="en-US" w:eastAsia="zh-CN"/>
            </w:rPr>
            <w:t>附录A 生态价值变化评估报告</w:t>
          </w:r>
          <w:r>
            <w:rPr>
              <w:rFonts w:hint="eastAsia" w:ascii="宋体" w:hAnsi="宋体" w:cs="宋体"/>
            </w:rPr>
            <w:tab/>
          </w:r>
          <w:r>
            <w:rPr>
              <w:rFonts w:hint="eastAsia" w:ascii="宋体" w:hAnsi="宋体" w:cs="宋体"/>
            </w:rPr>
            <w:fldChar w:fldCharType="begin"/>
          </w:r>
          <w:r>
            <w:rPr>
              <w:rFonts w:hint="eastAsia" w:ascii="宋体" w:hAnsi="宋体" w:cs="宋体"/>
            </w:rPr>
            <w:instrText xml:space="preserve"> PAGEREF _Toc8636 \h </w:instrText>
          </w:r>
          <w:r>
            <w:rPr>
              <w:rFonts w:hint="eastAsia" w:ascii="宋体" w:hAnsi="宋体" w:cs="宋体"/>
            </w:rPr>
            <w:fldChar w:fldCharType="separate"/>
          </w:r>
          <w:r>
            <w:rPr>
              <w:rFonts w:hint="eastAsia" w:ascii="宋体" w:hAnsi="宋体" w:cs="宋体"/>
            </w:rPr>
            <w:t>80</w:t>
          </w:r>
          <w:r>
            <w:rPr>
              <w:rFonts w:hint="eastAsia" w:ascii="宋体" w:hAnsi="宋体" w:cs="宋体"/>
            </w:rPr>
            <w:fldChar w:fldCharType="end"/>
          </w:r>
          <w:r>
            <w:rPr>
              <w:rFonts w:hint="eastAsia" w:ascii="宋体" w:hAnsi="宋体" w:cs="宋体"/>
            </w:rPr>
            <w:fldChar w:fldCharType="end"/>
          </w:r>
        </w:p>
        <w:p w14:paraId="32AEDF9A">
          <w:pPr>
            <w:pStyle w:val="10"/>
            <w:tabs>
              <w:tab w:val="right" w:leader="dot" w:pos="8306"/>
            </w:tabs>
            <w:rPr>
              <w:rFonts w:hint="eastAsia" w:ascii="宋体" w:hAnsi="宋体" w:cs="宋体"/>
            </w:rPr>
          </w:pPr>
          <w:r>
            <w:rPr>
              <w:rFonts w:hint="eastAsia" w:ascii="宋体" w:hAnsi="宋体" w:cs="宋体"/>
            </w:rPr>
            <w:fldChar w:fldCharType="begin"/>
          </w:r>
          <w:r>
            <w:rPr>
              <w:rFonts w:hint="eastAsia" w:ascii="宋体" w:hAnsi="宋体" w:cs="宋体"/>
            </w:rPr>
            <w:instrText xml:space="preserve"> HYPERLINK \l _Toc29277 </w:instrText>
          </w:r>
          <w:r>
            <w:rPr>
              <w:rFonts w:hint="eastAsia" w:ascii="宋体" w:hAnsi="宋体" w:cs="宋体"/>
            </w:rPr>
            <w:fldChar w:fldCharType="separate"/>
          </w:r>
          <w:r>
            <w:rPr>
              <w:rFonts w:hint="eastAsia" w:ascii="宋体" w:hAnsi="宋体" w:eastAsia="宋体" w:cs="宋体"/>
              <w:bCs/>
              <w:szCs w:val="30"/>
            </w:rPr>
            <w:t>附录</w:t>
          </w:r>
          <w:r>
            <w:rPr>
              <w:rFonts w:hint="eastAsia" w:ascii="宋体" w:hAnsi="宋体" w:eastAsia="宋体" w:cs="宋体"/>
              <w:bCs/>
              <w:szCs w:val="30"/>
              <w:lang w:val="en-US" w:eastAsia="zh-CN"/>
            </w:rPr>
            <w:t>B</w:t>
          </w:r>
          <w:r>
            <w:rPr>
              <w:rFonts w:hint="eastAsia" w:ascii="宋体" w:hAnsi="宋体" w:eastAsia="宋体" w:cs="宋体"/>
              <w:bCs/>
              <w:szCs w:val="30"/>
            </w:rPr>
            <w:t xml:space="preserve"> </w:t>
          </w:r>
          <w:r>
            <w:rPr>
              <w:rFonts w:hint="eastAsia" w:ascii="宋体" w:hAnsi="宋体" w:cs="宋体"/>
              <w:bCs/>
              <w:szCs w:val="30"/>
              <w:lang w:val="en-US" w:eastAsia="zh-CN"/>
            </w:rPr>
            <w:t>八</w:t>
          </w:r>
          <w:r>
            <w:rPr>
              <w:rFonts w:hint="eastAsia" w:ascii="宋体" w:hAnsi="宋体" w:eastAsia="宋体" w:cs="宋体"/>
              <w:bCs/>
              <w:szCs w:val="30"/>
            </w:rPr>
            <w:t>类城市基础设施项目专项内容评价指标</w:t>
          </w:r>
          <w:r>
            <w:rPr>
              <w:rFonts w:hint="eastAsia" w:ascii="宋体" w:hAnsi="宋体" w:cs="宋体"/>
            </w:rPr>
            <w:tab/>
          </w:r>
          <w:r>
            <w:rPr>
              <w:rFonts w:hint="eastAsia" w:ascii="宋体" w:hAnsi="宋体" w:cs="宋体"/>
            </w:rPr>
            <w:fldChar w:fldCharType="begin"/>
          </w:r>
          <w:r>
            <w:rPr>
              <w:rFonts w:hint="eastAsia" w:ascii="宋体" w:hAnsi="宋体" w:cs="宋体"/>
            </w:rPr>
            <w:instrText xml:space="preserve"> PAGEREF _Toc29277 \h </w:instrText>
          </w:r>
          <w:r>
            <w:rPr>
              <w:rFonts w:hint="eastAsia" w:ascii="宋体" w:hAnsi="宋体" w:cs="宋体"/>
            </w:rPr>
            <w:fldChar w:fldCharType="separate"/>
          </w:r>
          <w:r>
            <w:rPr>
              <w:rFonts w:hint="eastAsia" w:ascii="宋体" w:hAnsi="宋体" w:cs="宋体"/>
            </w:rPr>
            <w:t>83</w:t>
          </w:r>
          <w:r>
            <w:rPr>
              <w:rFonts w:hint="eastAsia" w:ascii="宋体" w:hAnsi="宋体" w:cs="宋体"/>
            </w:rPr>
            <w:fldChar w:fldCharType="end"/>
          </w:r>
          <w:r>
            <w:rPr>
              <w:rFonts w:hint="eastAsia" w:ascii="宋体" w:hAnsi="宋体" w:cs="宋体"/>
            </w:rPr>
            <w:fldChar w:fldCharType="end"/>
          </w:r>
        </w:p>
        <w:p w14:paraId="1EE8E2B3">
          <w:pPr>
            <w:pStyle w:val="10"/>
            <w:tabs>
              <w:tab w:val="right" w:leader="dot" w:pos="8306"/>
            </w:tabs>
            <w:rPr>
              <w:rFonts w:hint="eastAsia" w:ascii="宋体" w:hAnsi="宋体" w:cs="宋体"/>
            </w:rPr>
          </w:pPr>
          <w:r>
            <w:rPr>
              <w:rFonts w:hint="eastAsia" w:ascii="宋体" w:hAnsi="宋体" w:cs="宋体"/>
            </w:rPr>
            <w:fldChar w:fldCharType="begin"/>
          </w:r>
          <w:r>
            <w:rPr>
              <w:rFonts w:hint="eastAsia" w:ascii="宋体" w:hAnsi="宋体" w:cs="宋体"/>
            </w:rPr>
            <w:instrText xml:space="preserve"> HYPERLINK \l _Toc16041 </w:instrText>
          </w:r>
          <w:r>
            <w:rPr>
              <w:rFonts w:hint="eastAsia" w:ascii="宋体" w:hAnsi="宋体" w:cs="宋体"/>
            </w:rPr>
            <w:fldChar w:fldCharType="separate"/>
          </w:r>
          <w:r>
            <w:rPr>
              <w:rFonts w:hint="eastAsia" w:ascii="宋体" w:hAnsi="宋体" w:eastAsia="宋体" w:cs="宋体"/>
              <w:bCs/>
              <w:szCs w:val="30"/>
            </w:rPr>
            <w:t>附录</w:t>
          </w:r>
          <w:r>
            <w:rPr>
              <w:rFonts w:hint="eastAsia" w:ascii="宋体" w:hAnsi="宋体" w:eastAsia="宋体" w:cs="宋体"/>
              <w:bCs/>
              <w:szCs w:val="30"/>
              <w:lang w:val="en-US" w:eastAsia="zh-CN"/>
            </w:rPr>
            <w:t>C</w:t>
          </w:r>
          <w:r>
            <w:rPr>
              <w:rFonts w:hint="eastAsia" w:ascii="宋体" w:hAnsi="宋体" w:eastAsia="宋体" w:cs="宋体"/>
              <w:bCs/>
              <w:szCs w:val="30"/>
            </w:rPr>
            <w:t xml:space="preserve"> 项目</w:t>
          </w:r>
          <w:r>
            <w:rPr>
              <w:rFonts w:hint="eastAsia" w:ascii="宋体" w:hAnsi="宋体" w:eastAsia="宋体" w:cs="宋体"/>
              <w:bCs/>
              <w:szCs w:val="30"/>
              <w:lang w:val="en-US" w:eastAsia="zh-CN"/>
            </w:rPr>
            <w:t>碳排放报告</w:t>
          </w:r>
          <w:r>
            <w:rPr>
              <w:rFonts w:hint="eastAsia" w:ascii="宋体" w:hAnsi="宋体" w:cs="宋体"/>
            </w:rPr>
            <w:tab/>
          </w:r>
          <w:r>
            <w:rPr>
              <w:rFonts w:hint="eastAsia" w:ascii="宋体" w:hAnsi="宋体" w:cs="宋体"/>
            </w:rPr>
            <w:fldChar w:fldCharType="begin"/>
          </w:r>
          <w:r>
            <w:rPr>
              <w:rFonts w:hint="eastAsia" w:ascii="宋体" w:hAnsi="宋体" w:cs="宋体"/>
            </w:rPr>
            <w:instrText xml:space="preserve"> PAGEREF _Toc16041 \h </w:instrText>
          </w:r>
          <w:r>
            <w:rPr>
              <w:rFonts w:hint="eastAsia" w:ascii="宋体" w:hAnsi="宋体" w:cs="宋体"/>
            </w:rPr>
            <w:fldChar w:fldCharType="separate"/>
          </w:r>
          <w:r>
            <w:rPr>
              <w:rFonts w:hint="eastAsia" w:ascii="宋体" w:hAnsi="宋体" w:cs="宋体"/>
            </w:rPr>
            <w:t>135</w:t>
          </w:r>
          <w:r>
            <w:rPr>
              <w:rFonts w:hint="eastAsia" w:ascii="宋体" w:hAnsi="宋体" w:cs="宋体"/>
            </w:rPr>
            <w:fldChar w:fldCharType="end"/>
          </w:r>
          <w:r>
            <w:rPr>
              <w:rFonts w:hint="eastAsia" w:ascii="宋体" w:hAnsi="宋体" w:cs="宋体"/>
            </w:rPr>
            <w:fldChar w:fldCharType="end"/>
          </w:r>
        </w:p>
        <w:p w14:paraId="1DE5251E">
          <w:pPr>
            <w:pStyle w:val="10"/>
            <w:tabs>
              <w:tab w:val="right" w:leader="dot" w:pos="8306"/>
            </w:tabs>
            <w:rPr>
              <w:rFonts w:hint="eastAsia" w:ascii="宋体" w:hAnsi="宋体" w:cs="宋体"/>
            </w:rPr>
          </w:pPr>
          <w:r>
            <w:rPr>
              <w:rFonts w:hint="eastAsia" w:ascii="宋体" w:hAnsi="宋体" w:cs="宋体"/>
            </w:rPr>
            <w:fldChar w:fldCharType="begin"/>
          </w:r>
          <w:r>
            <w:rPr>
              <w:rFonts w:hint="eastAsia" w:ascii="宋体" w:hAnsi="宋体" w:cs="宋体"/>
            </w:rPr>
            <w:instrText xml:space="preserve"> HYPERLINK \l _Toc22617 </w:instrText>
          </w:r>
          <w:r>
            <w:rPr>
              <w:rFonts w:hint="eastAsia" w:ascii="宋体" w:hAnsi="宋体" w:cs="宋体"/>
            </w:rPr>
            <w:fldChar w:fldCharType="separate"/>
          </w:r>
          <w:r>
            <w:rPr>
              <w:rFonts w:hint="eastAsia" w:ascii="宋体" w:hAnsi="宋体" w:eastAsia="宋体" w:cs="宋体"/>
              <w:bCs/>
              <w:szCs w:val="30"/>
            </w:rPr>
            <w:t>附录</w:t>
          </w:r>
          <w:r>
            <w:rPr>
              <w:rFonts w:hint="eastAsia" w:ascii="宋体" w:hAnsi="宋体" w:eastAsia="宋体" w:cs="宋体"/>
              <w:bCs/>
              <w:szCs w:val="30"/>
              <w:lang w:val="en-US" w:eastAsia="zh-CN"/>
            </w:rPr>
            <w:t>D</w:t>
          </w:r>
          <w:r>
            <w:rPr>
              <w:rFonts w:hint="eastAsia" w:ascii="宋体" w:hAnsi="宋体" w:eastAsia="宋体" w:cs="宋体"/>
              <w:bCs/>
              <w:szCs w:val="30"/>
            </w:rPr>
            <w:t xml:space="preserve"> 项目ESG报告</w:t>
          </w:r>
          <w:r>
            <w:rPr>
              <w:rFonts w:hint="eastAsia" w:ascii="宋体" w:hAnsi="宋体" w:cs="宋体"/>
            </w:rPr>
            <w:tab/>
          </w:r>
          <w:r>
            <w:rPr>
              <w:rFonts w:hint="eastAsia" w:ascii="宋体" w:hAnsi="宋体" w:cs="宋体"/>
            </w:rPr>
            <w:fldChar w:fldCharType="begin"/>
          </w:r>
          <w:r>
            <w:rPr>
              <w:rFonts w:hint="eastAsia" w:ascii="宋体" w:hAnsi="宋体" w:cs="宋体"/>
            </w:rPr>
            <w:instrText xml:space="preserve"> PAGEREF _Toc22617 \h </w:instrText>
          </w:r>
          <w:r>
            <w:rPr>
              <w:rFonts w:hint="eastAsia" w:ascii="宋体" w:hAnsi="宋体" w:cs="宋体"/>
            </w:rPr>
            <w:fldChar w:fldCharType="separate"/>
          </w:r>
          <w:r>
            <w:rPr>
              <w:rFonts w:hint="eastAsia" w:ascii="宋体" w:hAnsi="宋体" w:cs="宋体"/>
            </w:rPr>
            <w:t>137</w:t>
          </w:r>
          <w:r>
            <w:rPr>
              <w:rFonts w:hint="eastAsia" w:ascii="宋体" w:hAnsi="宋体" w:cs="宋体"/>
            </w:rPr>
            <w:fldChar w:fldCharType="end"/>
          </w:r>
          <w:r>
            <w:rPr>
              <w:rFonts w:hint="eastAsia" w:ascii="宋体" w:hAnsi="宋体" w:cs="宋体"/>
            </w:rPr>
            <w:fldChar w:fldCharType="end"/>
          </w:r>
        </w:p>
        <w:p w14:paraId="404F054E">
          <w:pPr>
            <w:pStyle w:val="10"/>
            <w:tabs>
              <w:tab w:val="right" w:leader="dot" w:pos="8306"/>
            </w:tabs>
          </w:pPr>
          <w:r>
            <w:rPr>
              <w:rFonts w:hint="eastAsia" w:ascii="宋体" w:hAnsi="宋体" w:cs="宋体"/>
            </w:rPr>
            <w:fldChar w:fldCharType="begin"/>
          </w:r>
          <w:r>
            <w:rPr>
              <w:rFonts w:hint="eastAsia" w:ascii="宋体" w:hAnsi="宋体" w:cs="宋体"/>
            </w:rPr>
            <w:instrText xml:space="preserve"> HYPERLINK \l _Toc28435 </w:instrText>
          </w:r>
          <w:r>
            <w:rPr>
              <w:rFonts w:hint="eastAsia" w:ascii="宋体" w:hAnsi="宋体" w:cs="宋体"/>
            </w:rPr>
            <w:fldChar w:fldCharType="separate"/>
          </w:r>
          <w:r>
            <w:rPr>
              <w:rFonts w:hint="eastAsia" w:ascii="宋体" w:hAnsi="宋体" w:eastAsia="宋体" w:cs="宋体"/>
              <w:bCs/>
              <w:szCs w:val="30"/>
            </w:rPr>
            <w:t>附录</w:t>
          </w:r>
          <w:r>
            <w:rPr>
              <w:rFonts w:hint="eastAsia" w:ascii="宋体" w:hAnsi="宋体" w:eastAsia="宋体" w:cs="宋体"/>
              <w:bCs/>
              <w:szCs w:val="30"/>
              <w:lang w:val="en-US" w:eastAsia="zh-CN"/>
            </w:rPr>
            <w:t>E</w:t>
          </w:r>
          <w:r>
            <w:rPr>
              <w:rFonts w:hint="eastAsia" w:ascii="宋体" w:hAnsi="宋体" w:eastAsia="宋体" w:cs="宋体"/>
              <w:bCs/>
              <w:szCs w:val="30"/>
            </w:rPr>
            <w:t xml:space="preserve"> 评价</w:t>
          </w:r>
          <w:r>
            <w:rPr>
              <w:rFonts w:hint="eastAsia" w:ascii="宋体" w:hAnsi="宋体" w:eastAsia="宋体" w:cs="宋体"/>
              <w:bCs/>
              <w:szCs w:val="30"/>
              <w:lang w:val="en-US" w:eastAsia="zh-CN"/>
            </w:rPr>
            <w:t>说明</w:t>
          </w:r>
          <w:r>
            <w:rPr>
              <w:rFonts w:hint="eastAsia" w:ascii="宋体" w:hAnsi="宋体" w:cs="宋体"/>
            </w:rPr>
            <w:tab/>
          </w:r>
          <w:r>
            <w:rPr>
              <w:rFonts w:hint="eastAsia" w:ascii="宋体" w:hAnsi="宋体" w:cs="宋体"/>
            </w:rPr>
            <w:fldChar w:fldCharType="begin"/>
          </w:r>
          <w:r>
            <w:rPr>
              <w:rFonts w:hint="eastAsia" w:ascii="宋体" w:hAnsi="宋体" w:cs="宋体"/>
            </w:rPr>
            <w:instrText xml:space="preserve"> PAGEREF _Toc28435 \h </w:instrText>
          </w:r>
          <w:r>
            <w:rPr>
              <w:rFonts w:hint="eastAsia" w:ascii="宋体" w:hAnsi="宋体" w:cs="宋体"/>
            </w:rPr>
            <w:fldChar w:fldCharType="separate"/>
          </w:r>
          <w:r>
            <w:rPr>
              <w:rFonts w:hint="eastAsia" w:ascii="宋体" w:hAnsi="宋体" w:cs="宋体"/>
            </w:rPr>
            <w:t>139</w:t>
          </w:r>
          <w:r>
            <w:rPr>
              <w:rFonts w:hint="eastAsia" w:ascii="宋体" w:hAnsi="宋体" w:cs="宋体"/>
            </w:rPr>
            <w:fldChar w:fldCharType="end"/>
          </w:r>
          <w:r>
            <w:rPr>
              <w:rFonts w:hint="eastAsia" w:ascii="宋体" w:hAnsi="宋体" w:cs="宋体"/>
            </w:rPr>
            <w:fldChar w:fldCharType="end"/>
          </w:r>
        </w:p>
        <w:p w14:paraId="1B614328">
          <w:pPr>
            <w:sectPr>
              <w:footerReference r:id="rId10" w:type="default"/>
              <w:pgSz w:w="11906" w:h="16838"/>
              <w:pgMar w:top="1440" w:right="1800" w:bottom="1440" w:left="1800" w:header="851" w:footer="992" w:gutter="0"/>
              <w:pgNumType w:fmt="decimal"/>
              <w:cols w:space="425" w:num="1"/>
              <w:docGrid w:type="lines" w:linePitch="312" w:charSpace="0"/>
            </w:sectPr>
          </w:pPr>
          <w:r>
            <w:fldChar w:fldCharType="end"/>
          </w:r>
        </w:p>
        <w:p w14:paraId="5461A754">
          <w:pPr>
            <w:snapToGrid w:val="0"/>
            <w:spacing w:line="360" w:lineRule="auto"/>
            <w:jc w:val="center"/>
            <w:outlineLvl w:val="0"/>
            <w:rPr>
              <w:rFonts w:hint="default" w:ascii="宋体" w:hAnsi="宋体" w:eastAsia="宋体" w:cs="宋体"/>
              <w:b/>
              <w:bCs/>
              <w:color w:val="000000" w:themeColor="text1"/>
              <w:sz w:val="30"/>
              <w:szCs w:val="30"/>
              <w:lang w:val="en-US" w:eastAsia="zh-CN"/>
              <w14:textFill>
                <w14:solidFill>
                  <w14:schemeClr w14:val="tx1"/>
                </w14:solidFill>
              </w14:textFill>
            </w:rPr>
          </w:pPr>
          <w:r>
            <w:rPr>
              <w:rFonts w:hint="eastAsia" w:ascii="宋体" w:hAnsi="宋体" w:cs="宋体"/>
              <w:b/>
              <w:bCs/>
              <w:color w:val="000000" w:themeColor="text1"/>
              <w:sz w:val="30"/>
              <w:szCs w:val="30"/>
              <w:lang w:val="en-US" w:eastAsia="zh-CN"/>
              <w14:textFill>
                <w14:solidFill>
                  <w14:schemeClr w14:val="tx1"/>
                </w14:solidFill>
              </w14:textFill>
            </w:rPr>
            <w:t>1 总 则</w:t>
          </w:r>
        </w:p>
        <w:p w14:paraId="01E98425">
          <w:pPr>
            <w:snapToGrid/>
            <w:spacing w:line="240" w:lineRule="auto"/>
            <w:jc w:val="center"/>
          </w:pPr>
        </w:p>
      </w:sdtContent>
    </w:sdt>
    <w:p w14:paraId="21DF7F5F">
      <w:pPr>
        <w:snapToGrid w:val="0"/>
        <w:spacing w:line="360" w:lineRule="auto"/>
        <w:rPr>
          <w:rFonts w:hint="eastAsia"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1.0</w:t>
      </w:r>
      <w:r>
        <w:rPr>
          <w:rFonts w:hint="eastAsia" w:ascii="宋体" w:hAnsi="宋体" w:eastAsia="宋体" w:cs="宋体"/>
          <w:color w:val="000000" w:themeColor="text1"/>
          <w:sz w:val="24"/>
          <w:lang w:val="en-US" w:eastAsia="zh-CN"/>
          <w14:textFill>
            <w14:solidFill>
              <w14:schemeClr w14:val="tx1"/>
            </w14:solidFill>
          </w14:textFill>
        </w:rPr>
        <w:t>.</w:t>
      </w:r>
      <w:r>
        <w:rPr>
          <w:rFonts w:hint="eastAsia" w:ascii="宋体" w:hAnsi="宋体" w:eastAsia="宋体" w:cs="宋体"/>
          <w:color w:val="000000" w:themeColor="text1"/>
          <w:sz w:val="24"/>
          <w14:textFill>
            <w14:solidFill>
              <w14:schemeClr w14:val="tx1"/>
            </w14:solidFill>
          </w14:textFill>
        </w:rPr>
        <w:t>1可持续发展是人类面临的重大挑战，气候变化、环境污染、资源和能源过度消耗严重威胁人类的生存和发展。当前可持续理念已成为各国政府、金融机构共同关注的热点话题。基础设施在建设与运行过程中，消耗大量的资源和能源，二氧化碳等温室气体和空气污染物排放影响显著。因此，</w:t>
      </w:r>
      <w:r>
        <w:rPr>
          <w:rFonts w:hint="eastAsia" w:ascii="宋体" w:hAnsi="宋体" w:eastAsia="宋体" w:cs="宋体"/>
          <w:color w:val="000000" w:themeColor="text1"/>
          <w:sz w:val="24"/>
          <w:lang w:val="en-US" w:eastAsia="zh-CN"/>
          <w14:textFill>
            <w14:solidFill>
              <w14:schemeClr w14:val="tx1"/>
            </w14:solidFill>
          </w14:textFill>
        </w:rPr>
        <w:t>在</w:t>
      </w:r>
      <w:r>
        <w:rPr>
          <w:rFonts w:hint="eastAsia" w:ascii="宋体" w:hAnsi="宋体" w:eastAsia="宋体" w:cs="宋体"/>
          <w:color w:val="000000" w:themeColor="text1"/>
          <w:sz w:val="24"/>
          <w14:textFill>
            <w14:solidFill>
              <w14:schemeClr w14:val="tx1"/>
            </w14:solidFill>
          </w14:textFill>
        </w:rPr>
        <w:t>国家要实现净零排放目标背景下，城市基础设施建设与运行必须实现碳中和。</w:t>
      </w:r>
    </w:p>
    <w:p w14:paraId="60A9979D">
      <w:pPr>
        <w:snapToGrid w:val="0"/>
        <w:spacing w:line="360" w:lineRule="auto"/>
        <w:ind w:firstLine="480" w:firstLineChars="200"/>
        <w:rPr>
          <w:rFonts w:hint="default" w:ascii="宋体" w:hAnsi="宋体" w:eastAsia="宋体" w:cs="宋体"/>
          <w:color w:val="000000" w:themeColor="text1"/>
          <w:sz w:val="24"/>
          <w:lang w:val="en-US" w:eastAsia="zh-CN"/>
          <w14:textFill>
            <w14:solidFill>
              <w14:schemeClr w14:val="tx1"/>
            </w14:solidFill>
          </w14:textFill>
        </w:rPr>
      </w:pPr>
      <w:r>
        <w:rPr>
          <w:rFonts w:hint="eastAsia" w:ascii="宋体" w:hAnsi="宋体" w:eastAsia="宋体" w:cs="宋体"/>
          <w:color w:val="000000" w:themeColor="text1"/>
          <w:sz w:val="24"/>
          <w:lang w:val="en-US" w:eastAsia="zh-CN"/>
          <w14:textFill>
            <w14:solidFill>
              <w14:schemeClr w14:val="tx1"/>
            </w14:solidFill>
          </w14:textFill>
        </w:rPr>
        <w:t>任何一个城市基础设施项目都要求从经济、社会、环境等各方面实现可持续。这需要一套好的标准来保证。本标准中所指</w:t>
      </w:r>
      <w:r>
        <w:rPr>
          <w:rFonts w:hint="eastAsia" w:ascii="宋体" w:hAnsi="宋体" w:cs="宋体"/>
          <w:color w:val="000000" w:themeColor="text1"/>
          <w:sz w:val="24"/>
          <w:lang w:val="en-US" w:eastAsia="zh-CN"/>
          <w14:textFill>
            <w14:solidFill>
              <w14:schemeClr w14:val="tx1"/>
            </w14:solidFill>
          </w14:textFill>
        </w:rPr>
        <w:t>城市新型</w:t>
      </w:r>
      <w:r>
        <w:rPr>
          <w:rFonts w:hint="eastAsia" w:ascii="宋体" w:hAnsi="宋体" w:eastAsia="宋体" w:cs="宋体"/>
          <w:color w:val="000000" w:themeColor="text1"/>
          <w:sz w:val="24"/>
          <w:lang w:val="en-US" w:eastAsia="zh-CN"/>
          <w14:textFill>
            <w14:solidFill>
              <w14:schemeClr w14:val="tx1"/>
            </w14:solidFill>
          </w14:textFill>
        </w:rPr>
        <w:t>基础设施,符合《住房和城乡建设部 中央网信办 科技部 工业和信息化部 人力资源社会保障部 商务部 银保监会关于加快推进</w:t>
      </w:r>
      <w:r>
        <w:rPr>
          <w:rFonts w:hint="eastAsia" w:ascii="宋体" w:hAnsi="宋体" w:cs="宋体"/>
          <w:color w:val="000000" w:themeColor="text1"/>
          <w:sz w:val="24"/>
          <w:lang w:val="en-US" w:eastAsia="zh-CN"/>
          <w14:textFill>
            <w14:solidFill>
              <w14:schemeClr w14:val="tx1"/>
            </w14:solidFill>
          </w14:textFill>
        </w:rPr>
        <w:t>城市新型</w:t>
      </w:r>
      <w:r>
        <w:rPr>
          <w:rFonts w:hint="eastAsia" w:ascii="宋体" w:hAnsi="宋体" w:eastAsia="宋体" w:cs="宋体"/>
          <w:color w:val="000000" w:themeColor="text1"/>
          <w:sz w:val="24"/>
          <w:lang w:val="en-US" w:eastAsia="zh-CN"/>
          <w14:textFill>
            <w14:solidFill>
              <w14:schemeClr w14:val="tx1"/>
            </w14:solidFill>
          </w14:textFill>
        </w:rPr>
        <w:t>基础设施建设的指导意见》建改发[2020]73号文中“新城建”建设内容要求。</w:t>
      </w:r>
    </w:p>
    <w:p w14:paraId="1E14B686">
      <w:pPr>
        <w:snapToGrid w:val="0"/>
        <w:spacing w:line="360" w:lineRule="auto"/>
        <w:ind w:firstLine="480" w:firstLineChars="200"/>
        <w:rPr>
          <w:rFonts w:hint="eastAsia" w:ascii="宋体" w:hAnsi="宋体" w:eastAsia="宋体" w:cs="宋体"/>
          <w:color w:val="000000" w:themeColor="text1"/>
          <w:sz w:val="24"/>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城市新型</w:t>
      </w:r>
      <w:r>
        <w:rPr>
          <w:rFonts w:hint="eastAsia" w:ascii="宋体" w:hAnsi="宋体" w:eastAsia="宋体" w:cs="宋体"/>
          <w:color w:val="000000" w:themeColor="text1"/>
          <w:sz w:val="24"/>
          <w:lang w:val="en-US" w:eastAsia="zh-CN"/>
          <w14:textFill>
            <w14:solidFill>
              <w14:schemeClr w14:val="tx1"/>
            </w14:solidFill>
          </w14:textFill>
        </w:rPr>
        <w:t>基础设施全周期可持续性建设发展，离不开绿色低碳技术。本标准通过对</w:t>
      </w:r>
      <w:r>
        <w:rPr>
          <w:rFonts w:hint="eastAsia" w:ascii="宋体" w:hAnsi="宋体" w:cs="宋体"/>
          <w:color w:val="000000" w:themeColor="text1"/>
          <w:sz w:val="24"/>
          <w:lang w:val="en-US" w:eastAsia="zh-CN"/>
          <w14:textFill>
            <w14:solidFill>
              <w14:schemeClr w14:val="tx1"/>
            </w14:solidFill>
          </w14:textFill>
        </w:rPr>
        <w:t>城市新型</w:t>
      </w:r>
      <w:r>
        <w:rPr>
          <w:rFonts w:hint="eastAsia" w:ascii="宋体" w:hAnsi="宋体" w:eastAsia="宋体" w:cs="宋体"/>
          <w:color w:val="000000" w:themeColor="text1"/>
          <w:sz w:val="24"/>
          <w:lang w:val="en-US" w:eastAsia="zh-CN"/>
          <w14:textFill>
            <w14:solidFill>
              <w14:schemeClr w14:val="tx1"/>
            </w14:solidFill>
          </w14:textFill>
        </w:rPr>
        <w:t>基础设施展开可持续性评价，将同步推动</w:t>
      </w:r>
      <w:r>
        <w:rPr>
          <w:rFonts w:hint="eastAsia" w:ascii="宋体" w:hAnsi="宋体" w:eastAsia="宋体" w:cs="宋体"/>
          <w:color w:val="000000" w:themeColor="text1"/>
          <w:sz w:val="24"/>
          <w14:textFill>
            <w14:solidFill>
              <w14:schemeClr w14:val="tx1"/>
            </w14:solidFill>
          </w14:textFill>
        </w:rPr>
        <w:t>绿色低碳技术创新应用</w:t>
      </w:r>
      <w:r>
        <w:rPr>
          <w:rFonts w:hint="eastAsia" w:ascii="宋体" w:hAnsi="宋体" w:eastAsia="宋体" w:cs="宋体"/>
          <w:color w:val="000000" w:themeColor="text1"/>
          <w:sz w:val="24"/>
          <w:lang w:val="en-US" w:eastAsia="zh-CN"/>
          <w14:textFill>
            <w14:solidFill>
              <w14:schemeClr w14:val="tx1"/>
            </w14:solidFill>
          </w14:textFill>
        </w:rPr>
        <w:t>与推广</w:t>
      </w:r>
      <w:r>
        <w:rPr>
          <w:rFonts w:hint="eastAsia" w:ascii="宋体" w:hAnsi="宋体" w:eastAsia="宋体" w:cs="宋体"/>
          <w:color w:val="000000" w:themeColor="text1"/>
          <w:sz w:val="24"/>
          <w14:textFill>
            <w14:solidFill>
              <w14:schemeClr w14:val="tx1"/>
            </w14:solidFill>
          </w14:textFill>
        </w:rPr>
        <w:t>。</w:t>
      </w:r>
    </w:p>
    <w:p w14:paraId="397E1705">
      <w:pPr>
        <w:snapToGrid w:val="0"/>
        <w:spacing w:line="360" w:lineRule="auto"/>
        <w:ind w:firstLine="0" w:firstLineChars="0"/>
        <w:rPr>
          <w:rFonts w:hint="eastAsia" w:ascii="宋体" w:hAnsi="宋体" w:eastAsia="宋体" w:cs="宋体"/>
          <w:color w:val="000000" w:themeColor="text1"/>
          <w:sz w:val="24"/>
          <w:lang w:val="en-US" w:eastAsia="zh-CN"/>
          <w14:textFill>
            <w14:solidFill>
              <w14:schemeClr w14:val="tx1"/>
            </w14:solidFill>
          </w14:textFill>
        </w:rPr>
      </w:pPr>
    </w:p>
    <w:p w14:paraId="08EF1E34">
      <w:pPr>
        <w:snapToGrid w:val="0"/>
        <w:spacing w:line="360" w:lineRule="auto"/>
        <w:ind w:firstLine="0" w:firstLineChars="0"/>
        <w:rPr>
          <w:rFonts w:hint="eastAsia" w:ascii="宋体" w:hAnsi="宋体" w:eastAsia="宋体" w:cs="宋体"/>
          <w:color w:val="000000" w:themeColor="text1"/>
          <w:sz w:val="24"/>
          <w14:textFill>
            <w14:solidFill>
              <w14:schemeClr w14:val="tx1"/>
            </w14:solidFill>
          </w14:textFill>
        </w:rPr>
        <w:sectPr>
          <w:footerReference r:id="rId11" w:type="default"/>
          <w:pgSz w:w="11906" w:h="16838"/>
          <w:pgMar w:top="1440" w:right="1800" w:bottom="1440" w:left="1800" w:header="851" w:footer="992" w:gutter="0"/>
          <w:pgNumType w:fmt="decimal"/>
          <w:cols w:space="425" w:num="1"/>
          <w:docGrid w:type="lines" w:linePitch="312" w:charSpace="0"/>
        </w:sectPr>
      </w:pPr>
    </w:p>
    <w:p w14:paraId="3F802842">
      <w:pPr>
        <w:snapToGrid w:val="0"/>
        <w:spacing w:line="360" w:lineRule="auto"/>
        <w:jc w:val="center"/>
        <w:outlineLvl w:val="0"/>
        <w:rPr>
          <w:rFonts w:ascii="宋体" w:hAnsi="宋体" w:eastAsia="宋体" w:cs="宋体"/>
          <w:b/>
          <w:bCs/>
          <w:color w:val="000000" w:themeColor="text1"/>
          <w:sz w:val="30"/>
          <w:szCs w:val="30"/>
          <w14:textFill>
            <w14:solidFill>
              <w14:schemeClr w14:val="tx1"/>
            </w14:solidFill>
          </w14:textFill>
        </w:rPr>
      </w:pPr>
      <w:bookmarkStart w:id="674" w:name="_Toc23207"/>
      <w:bookmarkStart w:id="675" w:name="_Toc25427"/>
      <w:bookmarkStart w:id="676" w:name="_Toc17487"/>
      <w:bookmarkStart w:id="677" w:name="_Toc6406"/>
      <w:bookmarkStart w:id="678" w:name="_Toc13901"/>
      <w:bookmarkStart w:id="679" w:name="_Toc29323"/>
      <w:bookmarkStart w:id="680" w:name="_Toc11643"/>
      <w:r>
        <w:rPr>
          <w:rFonts w:hint="eastAsia" w:ascii="宋体" w:hAnsi="宋体" w:eastAsia="宋体" w:cs="宋体"/>
          <w:b/>
          <w:bCs/>
          <w:color w:val="000000" w:themeColor="text1"/>
          <w:sz w:val="30"/>
          <w:szCs w:val="30"/>
          <w14:textFill>
            <w14:solidFill>
              <w14:schemeClr w14:val="tx1"/>
            </w14:solidFill>
          </w14:textFill>
        </w:rPr>
        <w:t>3 基本规定</w:t>
      </w:r>
      <w:bookmarkEnd w:id="674"/>
      <w:bookmarkEnd w:id="675"/>
      <w:bookmarkEnd w:id="676"/>
      <w:bookmarkEnd w:id="677"/>
      <w:bookmarkEnd w:id="678"/>
      <w:bookmarkEnd w:id="679"/>
      <w:bookmarkEnd w:id="680"/>
    </w:p>
    <w:p w14:paraId="1CB3F534">
      <w:pPr>
        <w:snapToGrid w:val="0"/>
        <w:spacing w:line="360" w:lineRule="auto"/>
        <w:rPr>
          <w:rFonts w:ascii="宋体" w:hAnsi="宋体" w:eastAsia="宋体" w:cs="宋体"/>
          <w:color w:val="000000" w:themeColor="text1"/>
          <w:sz w:val="24"/>
          <w:lang w:bidi="ar"/>
          <w14:textFill>
            <w14:solidFill>
              <w14:schemeClr w14:val="tx1"/>
            </w14:solidFill>
          </w14:textFill>
        </w:rPr>
      </w:pPr>
    </w:p>
    <w:p w14:paraId="396862BC">
      <w:pPr>
        <w:snapToGrid w:val="0"/>
        <w:spacing w:line="360" w:lineRule="auto"/>
        <w:jc w:val="center"/>
        <w:outlineLvl w:val="1"/>
        <w:rPr>
          <w:rFonts w:ascii="黑体" w:hAnsi="黑体" w:eastAsia="黑体" w:cs="黑体"/>
          <w:b/>
          <w:bCs/>
          <w:color w:val="000000" w:themeColor="text1"/>
          <w:sz w:val="28"/>
          <w:szCs w:val="28"/>
          <w14:textFill>
            <w14:solidFill>
              <w14:schemeClr w14:val="tx1"/>
            </w14:solidFill>
          </w14:textFill>
        </w:rPr>
      </w:pPr>
      <w:bookmarkStart w:id="681" w:name="_Toc30847"/>
      <w:bookmarkStart w:id="682" w:name="_Toc5635"/>
      <w:bookmarkStart w:id="683" w:name="_Toc6386"/>
      <w:bookmarkStart w:id="684" w:name="_Toc21905"/>
      <w:bookmarkStart w:id="685" w:name="_Toc30888"/>
      <w:bookmarkStart w:id="686" w:name="_Toc32413"/>
      <w:bookmarkStart w:id="687" w:name="_Toc2761"/>
      <w:r>
        <w:rPr>
          <w:rFonts w:hint="eastAsia" w:ascii="黑体" w:hAnsi="黑体" w:eastAsia="黑体" w:cs="黑体"/>
          <w:b/>
          <w:bCs/>
          <w:color w:val="000000" w:themeColor="text1"/>
          <w:sz w:val="28"/>
          <w:szCs w:val="28"/>
          <w14:textFill>
            <w14:solidFill>
              <w14:schemeClr w14:val="tx1"/>
            </w14:solidFill>
          </w14:textFill>
        </w:rPr>
        <w:t>3.1 一般规定</w:t>
      </w:r>
      <w:bookmarkEnd w:id="681"/>
      <w:bookmarkEnd w:id="682"/>
      <w:bookmarkEnd w:id="683"/>
      <w:bookmarkEnd w:id="684"/>
      <w:bookmarkEnd w:id="685"/>
      <w:bookmarkEnd w:id="686"/>
      <w:bookmarkEnd w:id="687"/>
    </w:p>
    <w:p w14:paraId="58BCFCBE">
      <w:pPr>
        <w:snapToGrid/>
        <w:spacing w:line="360" w:lineRule="auto"/>
        <w:rPr>
          <w:rFonts w:hint="eastAsia" w:ascii="宋体" w:hAnsi="宋体" w:eastAsia="宋体" w:cs="宋体"/>
          <w:color w:val="000000" w:themeColor="text1"/>
          <w:sz w:val="24"/>
          <w:lang w:val="en-US" w:eastAsia="zh-CN" w:bidi="ar"/>
          <w14:textFill>
            <w14:solidFill>
              <w14:schemeClr w14:val="tx1"/>
            </w14:solidFill>
          </w14:textFill>
        </w:rPr>
      </w:pPr>
      <w:r>
        <w:rPr>
          <w:rFonts w:hint="eastAsia" w:ascii="宋体" w:hAnsi="宋体" w:eastAsia="宋体" w:cs="宋体"/>
          <w:color w:val="000000" w:themeColor="text1"/>
          <w:sz w:val="24"/>
          <w:lang w:bidi="ar"/>
          <w14:textFill>
            <w14:solidFill>
              <w14:schemeClr w14:val="tx1"/>
            </w14:solidFill>
          </w14:textFill>
        </w:rPr>
        <w:t>3.1.1</w:t>
      </w:r>
      <w:r>
        <w:rPr>
          <w:rFonts w:hint="eastAsia" w:ascii="宋体" w:hAnsi="宋体" w:eastAsia="宋体" w:cs="宋体"/>
          <w:color w:val="000000" w:themeColor="text1"/>
          <w:sz w:val="24"/>
          <w:lang w:val="en-US" w:eastAsia="zh-CN" w:bidi="ar"/>
          <w14:textFill>
            <w14:solidFill>
              <w14:schemeClr w14:val="tx1"/>
            </w14:solidFill>
          </w14:textFill>
        </w:rPr>
        <w:t>项目可持续实施计划包括但不限于：环境质量控制管理计划、资源节约与循环利用管理计划、项目数据资源管理计划、供应链管理计划、职业健康安全管理计划、为项目实现可持续发展的资金投入计划、应急管理计划、项目考核管理方法、项目碳排放报告、项目ESG报告发布方式及时段等。</w:t>
      </w:r>
    </w:p>
    <w:p w14:paraId="37EDC560">
      <w:pPr>
        <w:snapToGrid/>
        <w:spacing w:line="360" w:lineRule="auto"/>
        <w:ind w:firstLine="480" w:firstLineChars="200"/>
        <w:rPr>
          <w:rFonts w:hint="eastAsia" w:ascii="宋体" w:hAnsi="宋体" w:eastAsia="宋体" w:cs="宋体"/>
          <w:color w:val="000000" w:themeColor="text1"/>
          <w:sz w:val="24"/>
          <w:lang w:val="en-US" w:eastAsia="zh-CN" w:bidi="ar"/>
          <w14:textFill>
            <w14:solidFill>
              <w14:schemeClr w14:val="tx1"/>
            </w14:solidFill>
          </w14:textFill>
        </w:rPr>
      </w:pPr>
      <w:r>
        <w:rPr>
          <w:rFonts w:hint="eastAsia" w:ascii="宋体" w:hAnsi="宋体" w:eastAsia="宋体" w:cs="宋体"/>
          <w:color w:val="000000" w:themeColor="text1"/>
          <w:sz w:val="24"/>
          <w:lang w:val="en-US" w:eastAsia="zh-CN" w:bidi="ar"/>
          <w14:textFill>
            <w14:solidFill>
              <w14:schemeClr w14:val="tx1"/>
            </w14:solidFill>
          </w14:textFill>
        </w:rPr>
        <w:t xml:space="preserve">可持续控制目标包括但不限于：污染控制目标、可再生能源利用目标、固废减量化目标、职业病控制目标、绿色供应链控制目标、质量控制目标等。 </w:t>
      </w:r>
    </w:p>
    <w:p w14:paraId="6F8B4B69">
      <w:pPr>
        <w:spacing w:line="360" w:lineRule="auto"/>
        <w:ind w:firstLine="0" w:firstLineChars="0"/>
        <w:rPr>
          <w:rFonts w:hint="eastAsia" w:ascii="宋体" w:hAnsi="宋体" w:eastAsia="宋体" w:cs="宋体"/>
          <w:color w:val="000000" w:themeColor="text1"/>
          <w:sz w:val="24"/>
          <w:lang w:val="en-US" w:eastAsia="zh-CN" w:bidi="ar"/>
          <w14:textFill>
            <w14:solidFill>
              <w14:schemeClr w14:val="tx1"/>
            </w14:solidFill>
          </w14:textFill>
        </w:rPr>
      </w:pPr>
      <w:r>
        <w:rPr>
          <w:rFonts w:hint="eastAsia" w:ascii="宋体" w:hAnsi="宋体" w:eastAsia="宋体" w:cs="宋体"/>
          <w:color w:val="000000" w:themeColor="text1"/>
          <w:sz w:val="24"/>
          <w:lang w:bidi="ar"/>
          <w14:textFill>
            <w14:solidFill>
              <w14:schemeClr w14:val="tx1"/>
            </w14:solidFill>
          </w14:textFill>
        </w:rPr>
        <w:t>3.1.2</w:t>
      </w:r>
      <w:r>
        <w:rPr>
          <w:rFonts w:hint="eastAsia" w:ascii="宋体" w:hAnsi="宋体" w:eastAsia="宋体" w:cs="宋体"/>
          <w:color w:val="000000" w:themeColor="text1"/>
          <w:sz w:val="24"/>
          <w:lang w:val="en-US" w:eastAsia="zh-CN" w:bidi="ar"/>
          <w14:textFill>
            <w14:solidFill>
              <w14:schemeClr w14:val="tx1"/>
            </w14:solidFill>
          </w14:textFill>
        </w:rPr>
        <w:t>绿色低碳技术分析内容包括但不限于：技术（或措施）的性能指标、适用的地域、项目类型与阶段；同传统技术（工艺方法、措施、方案）相比，本技术（工艺方法、措施、方案）对减排降耗、环境保护以及提高职业健康安全水平等的贡献值（率）、总体技术水平等所处的地位、技术的创新性（有明显突破或创新、有一定突破或创新、突破和创新不明显）、技术的成熟度、推广前景、推广的障碍等。</w:t>
      </w:r>
    </w:p>
    <w:p w14:paraId="4850656A">
      <w:pPr>
        <w:snapToGrid w:val="0"/>
        <w:spacing w:line="360" w:lineRule="auto"/>
        <w:ind w:firstLine="0" w:firstLineChars="0"/>
        <w:rPr>
          <w:rFonts w:hint="eastAsia" w:ascii="宋体" w:hAnsi="宋体" w:eastAsia="宋体"/>
          <w:sz w:val="24"/>
          <w:szCs w:val="24"/>
        </w:rPr>
      </w:pPr>
      <w:r>
        <w:rPr>
          <w:rFonts w:hint="eastAsia" w:ascii="宋体" w:hAnsi="宋体" w:eastAsia="宋体"/>
          <w:sz w:val="24"/>
          <w:szCs w:val="24"/>
          <w:lang w:val="en-US" w:eastAsia="zh-CN"/>
        </w:rPr>
        <w:t>3.1.3项目的碳排放总量控制目标包括全周期、设计阶段、施工阶段、运行阶段四类总量控制，项目可根据评价要求进行目标制定。</w:t>
      </w:r>
      <w:r>
        <w:rPr>
          <w:rFonts w:hint="eastAsia" w:ascii="宋体" w:hAnsi="宋体" w:eastAsia="宋体"/>
          <w:sz w:val="24"/>
          <w:szCs w:val="24"/>
        </w:rPr>
        <w:t>项目碳排放核算</w:t>
      </w:r>
      <w:r>
        <w:rPr>
          <w:rFonts w:hint="eastAsia" w:ascii="宋体" w:hAnsi="宋体" w:eastAsia="宋体"/>
          <w:sz w:val="24"/>
          <w:szCs w:val="24"/>
          <w:lang w:val="en-US" w:eastAsia="zh-CN"/>
        </w:rPr>
        <w:t>需</w:t>
      </w:r>
      <w:r>
        <w:rPr>
          <w:rFonts w:hint="eastAsia" w:ascii="宋体" w:hAnsi="宋体" w:eastAsia="宋体"/>
          <w:sz w:val="24"/>
          <w:szCs w:val="24"/>
        </w:rPr>
        <w:t>考虑直接碳排放量、间接碳排放量、隐含碳排放量和碳汇量。碳排放精细化管理</w:t>
      </w:r>
      <w:r>
        <w:rPr>
          <w:rFonts w:hint="eastAsia" w:ascii="宋体" w:hAnsi="宋体" w:eastAsia="宋体"/>
          <w:sz w:val="24"/>
          <w:szCs w:val="24"/>
          <w:lang w:val="en-US" w:eastAsia="zh-CN"/>
        </w:rPr>
        <w:t>需包含</w:t>
      </w:r>
      <w:r>
        <w:rPr>
          <w:rFonts w:hint="eastAsia" w:ascii="宋体" w:hAnsi="宋体" w:eastAsia="宋体"/>
          <w:sz w:val="24"/>
          <w:szCs w:val="24"/>
        </w:rPr>
        <w:t>采用智能化技术对项目碳排放进行监测。其中，</w:t>
      </w:r>
      <w:r>
        <w:rPr>
          <w:rFonts w:hint="eastAsia" w:ascii="宋体" w:hAnsi="宋体" w:eastAsia="宋体"/>
          <w:sz w:val="24"/>
          <w:szCs w:val="24"/>
          <w:lang w:val="en-US" w:eastAsia="zh-CN"/>
        </w:rPr>
        <w:t>规划</w:t>
      </w:r>
      <w:r>
        <w:rPr>
          <w:rFonts w:hint="eastAsia" w:ascii="宋体" w:hAnsi="宋体" w:eastAsia="宋体"/>
          <w:sz w:val="24"/>
          <w:szCs w:val="24"/>
        </w:rPr>
        <w:t>设计阶段考量是否合理优化降低项目建材隐含碳排放量，明确项目运行过程中的能碳相关目标和指标水平。</w:t>
      </w:r>
    </w:p>
    <w:p w14:paraId="738F86DB">
      <w:pPr>
        <w:spacing w:line="360" w:lineRule="auto"/>
        <w:rPr>
          <w:rFonts w:ascii="宋体" w:hAnsi="宋体" w:eastAsia="宋体"/>
          <w:sz w:val="24"/>
          <w:szCs w:val="24"/>
        </w:rPr>
      </w:pPr>
      <w:r>
        <w:rPr>
          <w:rFonts w:hint="eastAsia"/>
          <w:color w:val="000000" w:themeColor="text1"/>
          <w:sz w:val="24"/>
          <w14:textFill>
            <w14:solidFill>
              <w14:schemeClr w14:val="tx1"/>
            </w14:solidFill>
          </w14:textFill>
        </w:rPr>
        <w:t xml:space="preserve">3.1.4 </w:t>
      </w:r>
      <w:r>
        <w:rPr>
          <w:rFonts w:hint="eastAsia" w:ascii="宋体" w:hAnsi="宋体" w:eastAsia="宋体"/>
          <w:sz w:val="24"/>
          <w:szCs w:val="24"/>
        </w:rPr>
        <w:t>根据《</w:t>
      </w:r>
      <w:r>
        <w:rPr>
          <w:rFonts w:ascii="宋体" w:hAnsi="宋体" w:eastAsia="宋体"/>
          <w:sz w:val="24"/>
          <w:szCs w:val="24"/>
        </w:rPr>
        <w:t>IPCC国家温室气体清单指南（2006年）》，</w:t>
      </w:r>
      <w:r>
        <w:rPr>
          <w:rFonts w:hint="eastAsia" w:ascii="宋体" w:hAnsi="宋体" w:eastAsia="宋体"/>
          <w:sz w:val="24"/>
          <w:szCs w:val="24"/>
        </w:rPr>
        <w:t>需核算与评价</w:t>
      </w:r>
      <w:r>
        <w:rPr>
          <w:rFonts w:ascii="宋体" w:hAnsi="宋体" w:eastAsia="宋体"/>
          <w:sz w:val="24"/>
          <w:szCs w:val="24"/>
        </w:rPr>
        <w:t>的温室气体包括二氧化碳（CO2）、甲烷（CH4）、氧化亚氮（N2O）、氢氟碳化物（HF-Cs）、全氟碳化物（PFCs）和六氟化硫（SF6）等主要温室气体</w:t>
      </w:r>
      <w:r>
        <w:rPr>
          <w:rFonts w:hint="eastAsia" w:ascii="宋体" w:hAnsi="宋体" w:eastAsia="宋体"/>
          <w:sz w:val="24"/>
          <w:szCs w:val="24"/>
        </w:rPr>
        <w:t>。核算结果分别列明二氧化碳排放量和其他温室气体排放量</w:t>
      </w:r>
      <w:r>
        <w:rPr>
          <w:rFonts w:ascii="宋体" w:hAnsi="宋体" w:eastAsia="宋体"/>
          <w:sz w:val="24"/>
          <w:szCs w:val="24"/>
        </w:rPr>
        <w:t>。</w:t>
      </w:r>
    </w:p>
    <w:p w14:paraId="79CF5BA4">
      <w:pPr>
        <w:spacing w:line="360" w:lineRule="auto"/>
        <w:rPr>
          <w:rFonts w:hint="eastAsia" w:ascii="宋体" w:hAnsi="宋体" w:eastAsia="宋体"/>
          <w:sz w:val="24"/>
          <w:szCs w:val="24"/>
        </w:rPr>
      </w:pPr>
      <w:r>
        <w:rPr>
          <w:rFonts w:hint="eastAsia"/>
          <w:color w:val="000000" w:themeColor="text1"/>
          <w:sz w:val="24"/>
          <w14:textFill>
            <w14:solidFill>
              <w14:schemeClr w14:val="tx1"/>
            </w14:solidFill>
          </w14:textFill>
        </w:rPr>
        <w:t xml:space="preserve">3.1.5 </w:t>
      </w:r>
      <w:r>
        <w:rPr>
          <w:rFonts w:hint="eastAsia" w:ascii="宋体" w:hAnsi="宋体" w:eastAsia="宋体"/>
          <w:sz w:val="24"/>
          <w:szCs w:val="24"/>
          <w:lang w:val="en-US" w:eastAsia="zh-CN"/>
        </w:rPr>
        <w:t>本条款</w:t>
      </w:r>
      <w:r>
        <w:rPr>
          <w:rFonts w:hint="eastAsia" w:ascii="宋体" w:hAnsi="宋体" w:eastAsia="宋体"/>
          <w:sz w:val="24"/>
          <w:szCs w:val="24"/>
        </w:rPr>
        <w:t>旨在指导企业在项目施工建造完成后，依据附录A的规定，形成对场界范围绿地生态系统和绿色施工建造产生的生态价值变化的评估报告</w:t>
      </w:r>
      <w:r>
        <w:rPr>
          <w:rFonts w:hint="eastAsia" w:ascii="宋体" w:hAnsi="宋体" w:eastAsia="宋体"/>
          <w:sz w:val="24"/>
          <w:szCs w:val="24"/>
          <w:lang w:eastAsia="zh-CN"/>
        </w:rPr>
        <w:t>，</w:t>
      </w:r>
      <w:r>
        <w:rPr>
          <w:rFonts w:hint="eastAsia" w:ascii="宋体" w:hAnsi="宋体" w:eastAsia="宋体"/>
          <w:sz w:val="24"/>
          <w:szCs w:val="24"/>
          <w:lang w:val="en-US" w:eastAsia="zh-CN"/>
        </w:rPr>
        <w:t>对</w:t>
      </w:r>
      <w:r>
        <w:rPr>
          <w:rFonts w:hint="eastAsia" w:ascii="宋体" w:hAnsi="宋体" w:eastAsia="宋体"/>
          <w:sz w:val="24"/>
          <w:szCs w:val="24"/>
        </w:rPr>
        <w:t>宗地建设前后绿地和绿色施工提供的生态服务总价值变化的核算</w:t>
      </w:r>
      <w:r>
        <w:rPr>
          <w:rFonts w:hint="eastAsia" w:ascii="宋体" w:hAnsi="宋体" w:eastAsia="宋体"/>
          <w:sz w:val="24"/>
          <w:szCs w:val="24"/>
          <w:lang w:eastAsia="zh-CN"/>
        </w:rPr>
        <w:t>，</w:t>
      </w:r>
      <w:r>
        <w:rPr>
          <w:rFonts w:hint="eastAsia" w:ascii="宋体" w:hAnsi="宋体" w:eastAsia="宋体"/>
          <w:sz w:val="24"/>
          <w:szCs w:val="24"/>
        </w:rPr>
        <w:t>反映</w:t>
      </w:r>
      <w:r>
        <w:rPr>
          <w:rFonts w:hint="eastAsia" w:ascii="宋体" w:hAnsi="宋体" w:eastAsia="宋体"/>
          <w:sz w:val="24"/>
          <w:szCs w:val="24"/>
          <w:lang w:val="en-US" w:eastAsia="zh-CN"/>
        </w:rPr>
        <w:t>出</w:t>
      </w:r>
      <w:r>
        <w:rPr>
          <w:rFonts w:hint="eastAsia" w:ascii="宋体" w:hAnsi="宋体" w:eastAsia="宋体"/>
          <w:sz w:val="24"/>
          <w:szCs w:val="24"/>
        </w:rPr>
        <w:t>项目建设前后生态总值的变化情况。</w:t>
      </w:r>
      <w:r>
        <w:rPr>
          <w:rFonts w:hint="eastAsia" w:ascii="宋体" w:hAnsi="宋体" w:eastAsia="宋体"/>
          <w:sz w:val="24"/>
          <w:szCs w:val="24"/>
          <w:lang w:val="en-US" w:eastAsia="zh-CN"/>
        </w:rPr>
        <w:t>附录A</w:t>
      </w:r>
      <w:r>
        <w:rPr>
          <w:rFonts w:hint="eastAsia" w:ascii="宋体" w:hAnsi="宋体" w:eastAsia="宋体"/>
          <w:sz w:val="24"/>
          <w:szCs w:val="24"/>
        </w:rPr>
        <w:t>提供了核算生态总值变化的指标体系，包括但不限于生物多样性、土壤保持、水源涵养、空气净化等指标</w:t>
      </w:r>
      <w:r>
        <w:rPr>
          <w:rFonts w:hint="eastAsia" w:ascii="宋体" w:hAnsi="宋体" w:eastAsia="宋体"/>
          <w:sz w:val="24"/>
          <w:szCs w:val="24"/>
          <w:lang w:eastAsia="zh-CN"/>
        </w:rPr>
        <w:t>，</w:t>
      </w:r>
      <w:r>
        <w:rPr>
          <w:rFonts w:hint="eastAsia" w:ascii="宋体" w:hAnsi="宋体" w:eastAsia="宋体"/>
          <w:sz w:val="24"/>
          <w:szCs w:val="24"/>
        </w:rPr>
        <w:t>详细描述绿色施工建造对生态价值影响的评估步骤和方法</w:t>
      </w:r>
      <w:r>
        <w:rPr>
          <w:rFonts w:hint="eastAsia" w:ascii="宋体" w:hAnsi="宋体" w:eastAsia="宋体"/>
          <w:sz w:val="24"/>
          <w:szCs w:val="24"/>
          <w:lang w:eastAsia="zh-CN"/>
        </w:rPr>
        <w:t>，</w:t>
      </w:r>
      <w:r>
        <w:rPr>
          <w:rFonts w:hint="eastAsia" w:ascii="宋体" w:hAnsi="宋体" w:eastAsia="宋体"/>
          <w:sz w:val="24"/>
          <w:szCs w:val="24"/>
        </w:rPr>
        <w:t>提供评估所需的具体指标和计算公式</w:t>
      </w:r>
      <w:r>
        <w:rPr>
          <w:rFonts w:hint="eastAsia" w:ascii="宋体" w:hAnsi="宋体" w:eastAsia="宋体"/>
          <w:sz w:val="24"/>
          <w:szCs w:val="24"/>
          <w:lang w:val="en-US" w:eastAsia="zh-CN"/>
        </w:rPr>
        <w:t>等</w:t>
      </w:r>
      <w:r>
        <w:rPr>
          <w:rFonts w:hint="eastAsia" w:ascii="宋体" w:hAnsi="宋体" w:eastAsia="宋体"/>
          <w:sz w:val="24"/>
          <w:szCs w:val="24"/>
        </w:rPr>
        <w:t>。</w:t>
      </w:r>
    </w:p>
    <w:p w14:paraId="424E560D">
      <w:pPr>
        <w:numPr>
          <w:ilvl w:val="-1"/>
          <w:numId w:val="0"/>
        </w:numPr>
        <w:spacing w:after="156" w:afterLines="50" w:line="360" w:lineRule="auto"/>
        <w:ind w:firstLine="0" w:firstLineChars="0"/>
        <w:rPr>
          <w:rFonts w:hint="eastAsia"/>
          <w:color w:val="000000" w:themeColor="text1"/>
          <w:sz w:val="24"/>
          <w:lang w:val="en-US" w:eastAsia="zh-CN"/>
          <w14:textFill>
            <w14:solidFill>
              <w14:schemeClr w14:val="tx1"/>
            </w14:solidFill>
          </w14:textFill>
        </w:rPr>
      </w:pPr>
      <w:r>
        <w:rPr>
          <w:rFonts w:hint="eastAsia"/>
          <w:color w:val="000000" w:themeColor="text1"/>
          <w:sz w:val="24"/>
          <w:lang w:val="en-US" w:eastAsia="zh-CN"/>
          <w14:textFill>
            <w14:solidFill>
              <w14:schemeClr w14:val="tx1"/>
            </w14:solidFill>
          </w14:textFill>
        </w:rPr>
        <w:t>3.1.6按照城市新型基础设施的的要求，项目必须结合实际选用适用的数字化技术，提升项目全周期管理水平和管理效率。</w:t>
      </w:r>
    </w:p>
    <w:p w14:paraId="18099F1D">
      <w:pPr>
        <w:snapToGrid w:val="0"/>
        <w:spacing w:line="360" w:lineRule="auto"/>
        <w:rPr>
          <w:rFonts w:hint="eastAsia" w:ascii="宋体" w:hAnsi="宋体" w:eastAsia="宋体" w:cs="宋体"/>
          <w:color w:val="000000" w:themeColor="text1"/>
          <w:sz w:val="24"/>
          <w:lang w:val="en-US" w:eastAsia="zh-CN" w:bidi="ar"/>
          <w14:textFill>
            <w14:solidFill>
              <w14:schemeClr w14:val="tx1"/>
            </w14:solidFill>
          </w14:textFill>
        </w:rPr>
      </w:pPr>
      <w:r>
        <w:rPr>
          <w:rFonts w:hint="eastAsia" w:ascii="宋体" w:hAnsi="宋体" w:eastAsia="宋体" w:cs="宋体"/>
          <w:color w:val="000000" w:themeColor="text1"/>
          <w:sz w:val="24"/>
          <w:lang w:bidi="ar"/>
          <w14:textFill>
            <w14:solidFill>
              <w14:schemeClr w14:val="tx1"/>
            </w14:solidFill>
          </w14:textFill>
        </w:rPr>
        <w:t>3.1.</w:t>
      </w:r>
      <w:r>
        <w:rPr>
          <w:rFonts w:hint="eastAsia" w:ascii="宋体" w:hAnsi="宋体" w:eastAsia="宋体" w:cs="宋体"/>
          <w:color w:val="000000" w:themeColor="text1"/>
          <w:sz w:val="24"/>
          <w:lang w:val="en-US" w:eastAsia="zh-CN" w:bidi="ar"/>
          <w14:textFill>
            <w14:solidFill>
              <w14:schemeClr w14:val="tx1"/>
            </w14:solidFill>
          </w14:textFill>
        </w:rPr>
        <w:t>7采用数字化管理工具，保证数据的真实性与可追溯性，提高项目方数据收集、处理、运维与应用的效率。</w:t>
      </w:r>
    </w:p>
    <w:p w14:paraId="6B6FC224">
      <w:pPr>
        <w:snapToGrid w:val="0"/>
        <w:spacing w:line="360" w:lineRule="auto"/>
        <w:ind w:firstLine="480" w:firstLineChars="200"/>
        <w:rPr>
          <w:rFonts w:hint="eastAsia" w:ascii="宋体" w:hAnsi="宋体" w:eastAsia="宋体" w:cs="宋体"/>
          <w:color w:val="000000" w:themeColor="text1"/>
          <w:sz w:val="24"/>
          <w:lang w:val="en-US" w:eastAsia="zh-CN" w:bidi="ar"/>
          <w14:textFill>
            <w14:solidFill>
              <w14:schemeClr w14:val="tx1"/>
            </w14:solidFill>
          </w14:textFill>
        </w:rPr>
      </w:pPr>
      <w:r>
        <w:rPr>
          <w:rFonts w:hint="eastAsia" w:ascii="宋体" w:hAnsi="宋体" w:eastAsia="宋体" w:cs="宋体"/>
          <w:color w:val="000000" w:themeColor="text1"/>
          <w:sz w:val="24"/>
          <w:lang w:val="en-US" w:eastAsia="zh-CN" w:bidi="ar"/>
          <w14:textFill>
            <w14:solidFill>
              <w14:schemeClr w14:val="tx1"/>
            </w14:solidFill>
          </w14:textFill>
        </w:rPr>
        <w:t>支撑各参与方、各阶段的信息共享与传递。数据台账应按全生命周期分阶段进行统计，并需涵盖项目全部可持续控制目标的内容。分析报告需包括实际值与目标值的的差异原因的分析。</w:t>
      </w:r>
    </w:p>
    <w:p w14:paraId="56255707">
      <w:pPr>
        <w:snapToGrid w:val="0"/>
        <w:spacing w:line="360" w:lineRule="auto"/>
        <w:ind w:firstLine="0" w:firstLineChars="0"/>
        <w:rPr>
          <w:rFonts w:hint="eastAsia" w:ascii="宋体" w:hAnsi="宋体" w:eastAsia="宋体" w:cs="宋体"/>
          <w:color w:val="000000" w:themeColor="text1"/>
          <w:sz w:val="24"/>
          <w:lang w:bidi="ar"/>
          <w14:textFill>
            <w14:solidFill>
              <w14:schemeClr w14:val="tx1"/>
            </w14:solidFill>
          </w14:textFill>
        </w:rPr>
      </w:pPr>
      <w:r>
        <w:rPr>
          <w:rFonts w:hint="eastAsia" w:ascii="宋体" w:hAnsi="宋体" w:eastAsia="宋体" w:cs="宋体"/>
          <w:color w:val="000000" w:themeColor="text1"/>
          <w:sz w:val="24"/>
          <w:lang w:bidi="ar"/>
          <w14:textFill>
            <w14:solidFill>
              <w14:schemeClr w14:val="tx1"/>
            </w14:solidFill>
          </w14:textFill>
        </w:rPr>
        <w:t>3.1.</w:t>
      </w:r>
      <w:r>
        <w:rPr>
          <w:rFonts w:hint="eastAsia" w:ascii="宋体" w:hAnsi="宋体" w:eastAsia="宋体" w:cs="宋体"/>
          <w:color w:val="000000" w:themeColor="text1"/>
          <w:sz w:val="24"/>
          <w:lang w:val="en-US" w:eastAsia="zh-CN" w:bidi="ar"/>
          <w14:textFill>
            <w14:solidFill>
              <w14:schemeClr w14:val="tx1"/>
            </w14:solidFill>
          </w14:textFill>
        </w:rPr>
        <w:t xml:space="preserve">8 </w:t>
      </w:r>
      <w:r>
        <w:rPr>
          <w:rFonts w:hint="eastAsia" w:ascii="宋体" w:hAnsi="宋体" w:eastAsia="宋体" w:cs="宋体"/>
          <w:color w:val="000000" w:themeColor="text1"/>
          <w:sz w:val="24"/>
          <w:lang w:bidi="ar"/>
          <w14:textFill>
            <w14:solidFill>
              <w14:schemeClr w14:val="tx1"/>
            </w14:solidFill>
          </w14:textFill>
        </w:rPr>
        <w:t>数据是项目一切管理和决策的依据。项目的数据安全是企业数据安全的组成部分。因此必须强化项目数据安全保障体系建设，全面加强网络安全和数据安全保护，防范数据安全风险，进而促进企业数字经济持续健康安全发展。</w:t>
      </w:r>
    </w:p>
    <w:p w14:paraId="10AC2377">
      <w:pPr>
        <w:snapToGrid w:val="0"/>
        <w:spacing w:line="360" w:lineRule="auto"/>
        <w:ind w:firstLine="0" w:firstLineChars="0"/>
        <w:rPr>
          <w:rFonts w:hint="eastAsia" w:ascii="宋体" w:hAnsi="宋体" w:eastAsia="宋体" w:cs="宋体"/>
          <w:color w:val="000000" w:themeColor="text1"/>
          <w:sz w:val="24"/>
          <w:lang w:bidi="ar"/>
          <w14:textFill>
            <w14:solidFill>
              <w14:schemeClr w14:val="tx1"/>
            </w14:solidFill>
          </w14:textFill>
        </w:rPr>
      </w:pPr>
      <w:r>
        <w:rPr>
          <w:rFonts w:hint="eastAsia" w:ascii="宋体" w:hAnsi="宋体" w:eastAsia="宋体" w:cs="宋体"/>
          <w:color w:val="000000" w:themeColor="text1"/>
          <w:sz w:val="24"/>
          <w:lang w:bidi="ar"/>
          <w14:textFill>
            <w14:solidFill>
              <w14:schemeClr w14:val="tx1"/>
            </w14:solidFill>
          </w14:textFill>
        </w:rPr>
        <w:t>3.1.9 项目如有安全事故，则视为不可持续。因此项目在评价前，须由监理单位提供加盖公章的无安全事故证明。</w:t>
      </w:r>
    </w:p>
    <w:p w14:paraId="0F702F90">
      <w:pPr>
        <w:snapToGrid w:val="0"/>
        <w:spacing w:line="360" w:lineRule="auto"/>
        <w:jc w:val="center"/>
        <w:outlineLvl w:val="1"/>
        <w:rPr>
          <w:rFonts w:ascii="黑体" w:hAnsi="黑体" w:eastAsia="黑体" w:cs="黑体"/>
          <w:b/>
          <w:bCs/>
          <w:color w:val="000000" w:themeColor="text1"/>
          <w:sz w:val="28"/>
          <w:szCs w:val="28"/>
          <w14:textFill>
            <w14:solidFill>
              <w14:schemeClr w14:val="tx1"/>
            </w14:solidFill>
          </w14:textFill>
        </w:rPr>
      </w:pPr>
      <w:bookmarkStart w:id="688" w:name="_Toc19631"/>
      <w:bookmarkStart w:id="689" w:name="_Toc7868"/>
      <w:bookmarkStart w:id="690" w:name="_Toc24208"/>
      <w:bookmarkStart w:id="691" w:name="_Toc9625"/>
      <w:bookmarkStart w:id="692" w:name="_Toc14221"/>
      <w:bookmarkStart w:id="693" w:name="_Toc18504"/>
      <w:bookmarkStart w:id="694" w:name="_Toc555"/>
      <w:r>
        <w:rPr>
          <w:rFonts w:hint="eastAsia" w:ascii="黑体" w:hAnsi="黑体" w:eastAsia="黑体" w:cs="黑体"/>
          <w:b/>
          <w:bCs/>
          <w:color w:val="000000" w:themeColor="text1"/>
          <w:sz w:val="28"/>
          <w:szCs w:val="28"/>
          <w14:textFill>
            <w14:solidFill>
              <w14:schemeClr w14:val="tx1"/>
            </w14:solidFill>
          </w14:textFill>
        </w:rPr>
        <w:t xml:space="preserve">3.2 </w:t>
      </w:r>
      <w:r>
        <w:rPr>
          <w:rFonts w:hint="eastAsia" w:ascii="黑体" w:hAnsi="黑体" w:eastAsia="黑体" w:cs="黑体"/>
          <w:b/>
          <w:bCs/>
          <w:color w:val="000000" w:themeColor="text1"/>
          <w:sz w:val="28"/>
          <w:szCs w:val="28"/>
          <w:lang w:val="en-US" w:eastAsia="zh-CN"/>
          <w14:textFill>
            <w14:solidFill>
              <w14:schemeClr w14:val="tx1"/>
            </w14:solidFill>
          </w14:textFill>
        </w:rPr>
        <w:t>评价与等级划分</w:t>
      </w:r>
      <w:bookmarkEnd w:id="688"/>
      <w:bookmarkEnd w:id="689"/>
      <w:bookmarkEnd w:id="690"/>
      <w:bookmarkEnd w:id="691"/>
      <w:bookmarkEnd w:id="692"/>
      <w:bookmarkEnd w:id="693"/>
      <w:bookmarkEnd w:id="694"/>
    </w:p>
    <w:p w14:paraId="458BD80E">
      <w:pPr>
        <w:snapToGrid w:val="0"/>
        <w:spacing w:line="360" w:lineRule="auto"/>
        <w:ind w:firstLine="0" w:firstLineChars="0"/>
        <w:rPr>
          <w:rFonts w:hint="eastAsia" w:ascii="宋体" w:hAnsi="宋体" w:eastAsia="宋体" w:cs="宋体"/>
          <w:color w:val="000000" w:themeColor="text1"/>
          <w:sz w:val="24"/>
          <w:highlight w:val="none"/>
          <w:lang w:bidi="ar"/>
          <w14:textFill>
            <w14:solidFill>
              <w14:schemeClr w14:val="tx1"/>
            </w14:solidFill>
          </w14:textFill>
        </w:rPr>
      </w:pPr>
      <w:r>
        <w:rPr>
          <w:rFonts w:hint="eastAsia" w:ascii="宋体" w:hAnsi="宋体" w:eastAsia="宋体" w:cs="宋体"/>
          <w:color w:val="000000" w:themeColor="text1"/>
          <w:sz w:val="24"/>
          <w:highlight w:val="none"/>
          <w:lang w:bidi="ar"/>
          <w14:textFill>
            <w14:solidFill>
              <w14:schemeClr w14:val="tx1"/>
            </w14:solidFill>
          </w14:textFill>
        </w:rPr>
        <w:t>3.2.1</w:t>
      </w:r>
      <w:r>
        <w:rPr>
          <w:rFonts w:hint="eastAsia" w:ascii="宋体" w:hAnsi="宋体" w:eastAsia="宋体" w:cs="宋体"/>
          <w:color w:val="000000" w:themeColor="text1"/>
          <w:sz w:val="24"/>
          <w:highlight w:val="none"/>
          <w:lang w:val="en-US" w:eastAsia="zh-CN" w:bidi="ar"/>
          <w14:textFill>
            <w14:solidFill>
              <w14:schemeClr w14:val="tx1"/>
            </w14:solidFill>
          </w14:textFill>
        </w:rPr>
        <w:t xml:space="preserve"> 本标准旨在助力项目所在地经济社会长期发展，依据本标准进行评价，首先应对影响项目可持续性的因素进行分析。在项目建设前需围绕环境、资源、社会、治理要素，对项目进行可持续性策划和论证，明确具体的工作组织和保障措施，并形成实施计划书。后续实施过程中，可以参照前期策划进行监控，从而更好地促进</w:t>
      </w:r>
      <w:r>
        <w:rPr>
          <w:rFonts w:hint="eastAsia" w:ascii="宋体" w:hAnsi="宋体" w:cs="宋体"/>
          <w:color w:val="000000" w:themeColor="text1"/>
          <w:sz w:val="24"/>
          <w:highlight w:val="none"/>
          <w:lang w:val="en-US" w:eastAsia="zh-CN" w:bidi="ar"/>
          <w14:textFill>
            <w14:solidFill>
              <w14:schemeClr w14:val="tx1"/>
            </w14:solidFill>
          </w14:textFill>
        </w:rPr>
        <w:t>城市新型</w:t>
      </w:r>
      <w:r>
        <w:rPr>
          <w:rFonts w:hint="eastAsia" w:ascii="宋体" w:hAnsi="宋体" w:eastAsia="宋体" w:cs="宋体"/>
          <w:color w:val="000000" w:themeColor="text1"/>
          <w:sz w:val="24"/>
          <w:highlight w:val="none"/>
          <w:lang w:val="en-US" w:eastAsia="zh-CN" w:bidi="ar"/>
          <w14:textFill>
            <w14:solidFill>
              <w14:schemeClr w14:val="tx1"/>
            </w14:solidFill>
          </w14:textFill>
        </w:rPr>
        <w:t>基础设施的可持续发展。</w:t>
      </w:r>
      <w:r>
        <w:rPr>
          <w:rFonts w:hint="eastAsia" w:ascii="宋体" w:hAnsi="宋体" w:eastAsia="宋体" w:cs="宋体"/>
          <w:color w:val="000000" w:themeColor="text1"/>
          <w:sz w:val="24"/>
          <w:highlight w:val="none"/>
          <w:lang w:bidi="ar"/>
          <w14:textFill>
            <w14:solidFill>
              <w14:schemeClr w14:val="tx1"/>
            </w14:solidFill>
          </w14:textFill>
        </w:rPr>
        <w:t xml:space="preserve"> </w:t>
      </w:r>
    </w:p>
    <w:p w14:paraId="2B8E58FA">
      <w:pPr>
        <w:snapToGrid w:val="0"/>
        <w:spacing w:line="360" w:lineRule="auto"/>
        <w:rPr>
          <w:rFonts w:hint="eastAsia" w:ascii="宋体" w:hAnsi="宋体" w:eastAsia="宋体" w:cs="宋体"/>
          <w:color w:val="000000" w:themeColor="text1"/>
          <w:sz w:val="24"/>
          <w:lang w:bidi="ar"/>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3.2.2</w:t>
      </w:r>
      <w:r>
        <w:rPr>
          <w:rFonts w:hint="eastAsia" w:ascii="宋体" w:hAnsi="宋体" w:eastAsia="宋体" w:cs="宋体"/>
          <w:color w:val="000000" w:themeColor="text1"/>
          <w:sz w:val="24"/>
          <w:lang w:bidi="ar"/>
          <w14:textFill>
            <w14:solidFill>
              <w14:schemeClr w14:val="tx1"/>
            </w14:solidFill>
          </w14:textFill>
        </w:rPr>
        <w:t>可持续性评价，可以是对项目全周期的，也可以在项目规划设计阶段评价、施工建造阶段评价、运行阶段评价进行。</w:t>
      </w:r>
    </w:p>
    <w:p w14:paraId="659FD52E">
      <w:pPr>
        <w:snapToGrid w:val="0"/>
        <w:spacing w:line="360" w:lineRule="auto"/>
        <w:ind w:firstLine="480" w:firstLineChars="200"/>
        <w:rPr>
          <w:rFonts w:hint="eastAsia" w:ascii="宋体" w:hAnsi="宋体" w:eastAsia="宋体" w:cs="宋体"/>
          <w:color w:val="000000" w:themeColor="text1"/>
          <w:sz w:val="24"/>
          <w:lang w:bidi="ar"/>
          <w14:textFill>
            <w14:solidFill>
              <w14:schemeClr w14:val="tx1"/>
            </w14:solidFill>
          </w14:textFill>
        </w:rPr>
      </w:pPr>
      <w:r>
        <w:rPr>
          <w:rFonts w:hint="eastAsia" w:ascii="宋体" w:hAnsi="宋体" w:eastAsia="宋体" w:cs="宋体"/>
          <w:color w:val="000000" w:themeColor="text1"/>
          <w:sz w:val="24"/>
          <w:lang w:bidi="ar"/>
          <w14:textFill>
            <w14:solidFill>
              <w14:schemeClr w14:val="tx1"/>
            </w14:solidFill>
          </w14:textFill>
        </w:rPr>
        <w:t>在项目全周期参评时，如果项目在施工建造前进行评价，项目需为未来的实施做出有时限的书面承诺，承诺文件将在时限内进行核验。如果项目在施工和运行期间进行评价，则需追溯证明符合与各早期发展阶段有关的标准条款要求。如果项目无法追溯证明符合相应标准条款，则视为不符合评价资格。</w:t>
      </w:r>
    </w:p>
    <w:p w14:paraId="42C0B16A">
      <w:pPr>
        <w:snapToGrid w:val="0"/>
        <w:spacing w:line="360" w:lineRule="auto"/>
        <w:ind w:firstLine="0"/>
        <w:jc w:val="left"/>
        <w:outlineLvl w:val="9"/>
        <w:rPr>
          <w:rFonts w:hint="eastAsia" w:ascii="宋体" w:hAnsi="宋体" w:eastAsia="宋体" w:cs="宋体"/>
          <w:color w:val="000000" w:themeColor="text1"/>
          <w:sz w:val="24"/>
          <w:lang w:val="en-US" w:eastAsia="zh-CN"/>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3.2.</w:t>
      </w:r>
      <w:r>
        <w:rPr>
          <w:rFonts w:hint="eastAsia" w:ascii="宋体" w:hAnsi="宋体" w:eastAsia="宋体" w:cs="宋体"/>
          <w:color w:val="000000" w:themeColor="text1"/>
          <w:sz w:val="24"/>
          <w:lang w:val="en-US" w:eastAsia="zh-CN"/>
          <w14:textFill>
            <w14:solidFill>
              <w14:schemeClr w14:val="tx1"/>
            </w14:solidFill>
          </w14:textFill>
        </w:rPr>
        <w:t>3 评价首先对全部要素的控制项进行评价，评定结果为满足或不满足。控制项全部满足方能进入评分项进行评价。控制项有一项不满足，则项目为不满足可持续要求。</w:t>
      </w:r>
    </w:p>
    <w:p w14:paraId="24B33EAC">
      <w:pPr>
        <w:snapToGrid/>
        <w:spacing w:after="156" w:afterLines="50" w:line="360" w:lineRule="auto"/>
        <w:ind w:firstLine="480" w:firstLineChars="200"/>
        <w:jc w:val="left"/>
        <w:outlineLvl w:val="9"/>
        <w:rPr>
          <w:rFonts w:hint="eastAsia"/>
          <w:color w:val="000000"/>
          <w:sz w:val="24"/>
          <w:lang w:val="en-US" w:eastAsia="zh-CN"/>
        </w:rPr>
      </w:pPr>
      <w:r>
        <w:rPr>
          <w:rFonts w:hint="eastAsia"/>
          <w:color w:val="000000"/>
          <w:sz w:val="24"/>
          <w:lang w:val="en-US" w:eastAsia="zh-CN"/>
        </w:rPr>
        <w:t>评分过程中，专家根据每项条款的得分情况给出程度得分，形成专家打分表。专家打分表完成后，汇总录入软件平台，结合不同条款权重进行综合打分。</w:t>
      </w:r>
    </w:p>
    <w:p w14:paraId="6B339A08">
      <w:pPr>
        <w:snapToGrid/>
        <w:spacing w:after="156" w:afterLines="50" w:line="360" w:lineRule="auto"/>
        <w:ind w:firstLine="0" w:firstLineChars="0"/>
        <w:jc w:val="left"/>
        <w:outlineLvl w:val="9"/>
        <w:rPr>
          <w:rFonts w:hint="default"/>
          <w:color w:val="000000"/>
          <w:sz w:val="24"/>
          <w:lang w:val="en-US" w:eastAsia="zh-CN"/>
        </w:rPr>
      </w:pPr>
      <w:r>
        <w:rPr>
          <w:rFonts w:hint="eastAsia" w:ascii="宋体" w:hAnsi="宋体" w:eastAsia="宋体" w:cs="宋体"/>
          <w:color w:val="000000" w:themeColor="text1"/>
          <w:sz w:val="24"/>
          <w:lang w:val="en-US" w:eastAsia="zh-CN"/>
          <w14:textFill>
            <w14:solidFill>
              <w14:schemeClr w14:val="tx1"/>
            </w14:solidFill>
          </w14:textFill>
        </w:rPr>
        <w:t>3.2.4 参照《绿色建筑评价标准》 GB/T50378-2019，根据项目实施情况，进行分阶段评价。</w:t>
      </w:r>
      <w:r>
        <w:rPr>
          <w:rFonts w:hint="eastAsia"/>
          <w:color w:val="000000"/>
          <w:sz w:val="24"/>
        </w:rPr>
        <w:t>运行阶段评价在项目运行一年后，按年度进行评价；施工建造阶段评价应在项目开工前</w:t>
      </w:r>
      <w:r>
        <w:rPr>
          <w:rFonts w:hint="eastAsia"/>
          <w:color w:val="000000"/>
          <w:sz w:val="24"/>
          <w:lang w:val="en-US" w:eastAsia="zh-CN"/>
        </w:rPr>
        <w:t>对整体</w:t>
      </w:r>
      <w:r>
        <w:rPr>
          <w:rFonts w:hint="eastAsia"/>
          <w:color w:val="000000"/>
          <w:sz w:val="24"/>
        </w:rPr>
        <w:t>策划</w:t>
      </w:r>
      <w:r>
        <w:rPr>
          <w:rFonts w:hint="eastAsia"/>
          <w:color w:val="000000"/>
          <w:sz w:val="24"/>
          <w:lang w:val="en-US" w:eastAsia="zh-CN"/>
        </w:rPr>
        <w:t>进行一次评价</w:t>
      </w:r>
      <w:r>
        <w:rPr>
          <w:rFonts w:hint="eastAsia"/>
          <w:color w:val="000000"/>
          <w:sz w:val="24"/>
          <w:lang w:eastAsia="zh-CN"/>
        </w:rPr>
        <w:t>，</w:t>
      </w:r>
      <w:r>
        <w:rPr>
          <w:rFonts w:hint="eastAsia"/>
          <w:color w:val="000000"/>
          <w:sz w:val="24"/>
        </w:rPr>
        <w:t>竣工后三个月内开展</w:t>
      </w:r>
      <w:r>
        <w:rPr>
          <w:rFonts w:hint="eastAsia"/>
          <w:color w:val="000000"/>
          <w:sz w:val="24"/>
          <w:lang w:val="en-US" w:eastAsia="zh-CN"/>
        </w:rPr>
        <w:t>一次</w:t>
      </w:r>
      <w:r>
        <w:rPr>
          <w:rFonts w:hint="eastAsia"/>
          <w:color w:val="000000"/>
          <w:sz w:val="24"/>
        </w:rPr>
        <w:t>评价。</w:t>
      </w:r>
    </w:p>
    <w:p w14:paraId="2154248C">
      <w:pPr>
        <w:snapToGrid w:val="0"/>
        <w:spacing w:line="360" w:lineRule="auto"/>
        <w:ind w:firstLine="0"/>
        <w:jc w:val="left"/>
        <w:outlineLvl w:val="9"/>
        <w:rPr>
          <w:rFonts w:hint="eastAsia" w:ascii="宋体" w:hAnsi="宋体" w:eastAsia="宋体" w:cs="宋体"/>
          <w:color w:val="000000" w:themeColor="text1"/>
          <w:sz w:val="24"/>
          <w:lang w:val="en-US" w:eastAsia="zh-CN"/>
          <w14:textFill>
            <w14:solidFill>
              <w14:schemeClr w14:val="tx1"/>
            </w14:solidFill>
          </w14:textFill>
        </w:rPr>
      </w:pPr>
      <w:r>
        <w:rPr>
          <w:rFonts w:hint="eastAsia" w:ascii="宋体" w:hAnsi="宋体" w:eastAsia="宋体" w:cs="宋体"/>
          <w:color w:val="000000" w:themeColor="text1"/>
          <w:sz w:val="24"/>
          <w:lang w:val="en-US" w:eastAsia="zh-CN"/>
          <w14:textFill>
            <w14:solidFill>
              <w14:schemeClr w14:val="tx1"/>
            </w14:solidFill>
          </w14:textFill>
        </w:rPr>
        <w:t>3.2.5 若条款注明适用于多个阶段，如“施工建造和运行阶段”，则同时适用于两个阶段；若条款没有注明评价阶段，则适用于所有阶段。</w:t>
      </w:r>
    </w:p>
    <w:p w14:paraId="424F328D">
      <w:pPr>
        <w:snapToGrid w:val="0"/>
        <w:spacing w:line="360" w:lineRule="auto"/>
        <w:ind w:firstLine="0"/>
        <w:jc w:val="left"/>
        <w:outlineLvl w:val="9"/>
        <w:rPr>
          <w:rFonts w:hint="eastAsia" w:ascii="宋体" w:hAnsi="宋体" w:eastAsia="宋体" w:cs="宋体"/>
          <w:color w:val="000000" w:themeColor="text1"/>
          <w:sz w:val="24"/>
          <w:lang w:val="en-US" w:eastAsia="zh-CN"/>
          <w14:textFill>
            <w14:solidFill>
              <w14:schemeClr w14:val="tx1"/>
            </w14:solidFill>
          </w14:textFill>
        </w:rPr>
      </w:pPr>
      <w:r>
        <w:rPr>
          <w:rFonts w:hint="eastAsia" w:ascii="宋体" w:hAnsi="宋体" w:eastAsia="宋体" w:cs="宋体"/>
          <w:color w:val="000000" w:themeColor="text1"/>
          <w:sz w:val="24"/>
          <w:lang w:val="en-US" w:eastAsia="zh-CN"/>
          <w14:textFill>
            <w14:solidFill>
              <w14:schemeClr w14:val="tx1"/>
            </w14:solidFill>
          </w14:textFill>
        </w:rPr>
        <w:t>3.2.6 本标准对</w:t>
      </w:r>
      <w:r>
        <w:rPr>
          <w:rFonts w:hint="eastAsia" w:ascii="宋体" w:hAnsi="宋体" w:cs="宋体"/>
          <w:color w:val="000000" w:themeColor="text1"/>
          <w:sz w:val="24"/>
          <w:lang w:val="en-US" w:eastAsia="zh-CN"/>
          <w14:textFill>
            <w14:solidFill>
              <w14:schemeClr w14:val="tx1"/>
            </w14:solidFill>
          </w14:textFill>
        </w:rPr>
        <w:t>八</w:t>
      </w:r>
      <w:r>
        <w:rPr>
          <w:rFonts w:hint="eastAsia" w:ascii="宋体" w:hAnsi="宋体" w:eastAsia="宋体" w:cs="宋体"/>
          <w:color w:val="000000" w:themeColor="text1"/>
          <w:sz w:val="24"/>
          <w:lang w:val="en-US" w:eastAsia="zh-CN"/>
          <w14:textFill>
            <w14:solidFill>
              <w14:schemeClr w14:val="tx1"/>
            </w14:solidFill>
          </w14:textFill>
        </w:rPr>
        <w:t>类</w:t>
      </w:r>
      <w:r>
        <w:rPr>
          <w:rFonts w:hint="eastAsia" w:ascii="宋体" w:hAnsi="宋体" w:cs="宋体"/>
          <w:color w:val="000000" w:themeColor="text1"/>
          <w:sz w:val="24"/>
          <w:lang w:val="en-US" w:eastAsia="zh-CN"/>
          <w14:textFill>
            <w14:solidFill>
              <w14:schemeClr w14:val="tx1"/>
            </w14:solidFill>
          </w14:textFill>
        </w:rPr>
        <w:t>城市新型</w:t>
      </w:r>
      <w:r>
        <w:rPr>
          <w:rFonts w:hint="eastAsia" w:ascii="宋体" w:hAnsi="宋体" w:eastAsia="宋体" w:cs="宋体"/>
          <w:color w:val="000000" w:themeColor="text1"/>
          <w:sz w:val="24"/>
          <w:lang w:val="en-US" w:eastAsia="zh-CN"/>
          <w14:textFill>
            <w14:solidFill>
              <w14:schemeClr w14:val="tx1"/>
            </w14:solidFill>
          </w14:textFill>
        </w:rPr>
        <w:t>基础设施项目给出专业评价要求，见附录B。此</w:t>
      </w:r>
      <w:r>
        <w:rPr>
          <w:rFonts w:hint="eastAsia" w:ascii="宋体" w:hAnsi="宋体" w:cs="宋体"/>
          <w:color w:val="000000" w:themeColor="text1"/>
          <w:sz w:val="24"/>
          <w:lang w:val="en-US" w:eastAsia="zh-CN"/>
          <w14:textFill>
            <w14:solidFill>
              <w14:schemeClr w14:val="tx1"/>
            </w14:solidFill>
          </w14:textFill>
        </w:rPr>
        <w:t>八</w:t>
      </w:r>
      <w:r>
        <w:rPr>
          <w:rFonts w:hint="eastAsia" w:ascii="宋体" w:hAnsi="宋体" w:eastAsia="宋体" w:cs="宋体"/>
          <w:color w:val="000000" w:themeColor="text1"/>
          <w:sz w:val="24"/>
          <w:lang w:val="en-US" w:eastAsia="zh-CN"/>
          <w14:textFill>
            <w14:solidFill>
              <w14:schemeClr w14:val="tx1"/>
            </w14:solidFill>
          </w14:textFill>
        </w:rPr>
        <w:t>类项目，在使用正文评价前需按照附录B进行</w:t>
      </w:r>
      <w:r>
        <w:rPr>
          <w:rFonts w:hint="eastAsia" w:ascii="宋体" w:hAnsi="宋体" w:eastAsia="宋体" w:cs="宋体"/>
          <w:color w:val="000000" w:themeColor="text1"/>
          <w:sz w:val="24"/>
          <w:highlight w:val="none"/>
          <w:lang w:val="en-US" w:eastAsia="zh-CN"/>
          <w14:textFill>
            <w14:solidFill>
              <w14:schemeClr w14:val="tx1"/>
            </w14:solidFill>
          </w14:textFill>
        </w:rPr>
        <w:t>专业评价</w:t>
      </w:r>
      <w:r>
        <w:rPr>
          <w:rFonts w:hint="eastAsia" w:ascii="宋体" w:hAnsi="宋体" w:eastAsia="宋体" w:cs="宋体"/>
          <w:color w:val="000000" w:themeColor="text1"/>
          <w:sz w:val="24"/>
          <w:lang w:val="en-US" w:eastAsia="zh-CN"/>
          <w14:textFill>
            <w14:solidFill>
              <w14:schemeClr w14:val="tx1"/>
            </w14:solidFill>
          </w14:textFill>
        </w:rPr>
        <w:t>，且须满足附录B至少60分的得分，项目才可参与正文评价及项目评级。其它类别城市基础设施项目依据本标准</w:t>
      </w:r>
      <w:r>
        <w:rPr>
          <w:rFonts w:hint="eastAsia" w:ascii="宋体" w:hAnsi="宋体" w:eastAsia="宋体" w:cs="宋体"/>
          <w:color w:val="000000" w:themeColor="text1"/>
          <w:sz w:val="24"/>
          <w:highlight w:val="none"/>
          <w:lang w:val="en-US" w:eastAsia="zh-CN"/>
          <w14:textFill>
            <w14:solidFill>
              <w14:schemeClr w14:val="tx1"/>
            </w14:solidFill>
          </w14:textFill>
        </w:rPr>
        <w:t>正文</w:t>
      </w:r>
      <w:r>
        <w:rPr>
          <w:rFonts w:hint="eastAsia" w:ascii="宋体" w:hAnsi="宋体" w:eastAsia="宋体" w:cs="宋体"/>
          <w:color w:val="000000" w:themeColor="text1"/>
          <w:sz w:val="24"/>
          <w:lang w:val="en-US" w:eastAsia="zh-CN"/>
          <w14:textFill>
            <w14:solidFill>
              <w14:schemeClr w14:val="tx1"/>
            </w14:solidFill>
          </w14:textFill>
        </w:rPr>
        <w:t>直接进行评价。</w:t>
      </w:r>
    </w:p>
    <w:p w14:paraId="40FFD031">
      <w:pPr>
        <w:snapToGrid w:val="0"/>
        <w:spacing w:line="360" w:lineRule="auto"/>
        <w:ind w:firstLine="0"/>
        <w:jc w:val="left"/>
        <w:outlineLvl w:val="9"/>
        <w:rPr>
          <w:rFonts w:hint="default" w:ascii="宋体" w:hAnsi="宋体" w:eastAsia="宋体" w:cs="宋体"/>
          <w:color w:val="000000" w:themeColor="text1"/>
          <w:sz w:val="24"/>
          <w:lang w:val="en-US" w:eastAsia="zh-CN"/>
          <w14:textFill>
            <w14:solidFill>
              <w14:schemeClr w14:val="tx1"/>
            </w14:solidFill>
          </w14:textFill>
        </w:rPr>
      </w:pPr>
      <w:r>
        <w:rPr>
          <w:rFonts w:hint="eastAsia" w:ascii="宋体" w:hAnsi="宋体" w:eastAsia="宋体" w:cs="宋体"/>
          <w:color w:val="000000" w:themeColor="text1"/>
          <w:sz w:val="24"/>
          <w:lang w:val="en-US" w:eastAsia="zh-CN"/>
          <w14:textFill>
            <w14:solidFill>
              <w14:schemeClr w14:val="tx1"/>
            </w14:solidFill>
          </w14:textFill>
        </w:rPr>
        <w:t xml:space="preserve">3.2.7 </w:t>
      </w:r>
      <w:r>
        <w:rPr>
          <w:rFonts w:hint="eastAsia"/>
          <w:color w:val="000000"/>
          <w:sz w:val="24"/>
          <w:lang w:eastAsia="zh-CN"/>
        </w:rPr>
        <w:t>城市新型</w:t>
      </w:r>
      <w:r>
        <w:rPr>
          <w:rFonts w:hint="eastAsia"/>
          <w:color w:val="000000"/>
          <w:sz w:val="24"/>
        </w:rPr>
        <w:t>基础设施可持续评价</w:t>
      </w:r>
      <w:r>
        <w:rPr>
          <w:rFonts w:hint="eastAsia"/>
          <w:color w:val="000000"/>
          <w:sz w:val="24"/>
          <w:lang w:val="en-US" w:eastAsia="zh-CN"/>
        </w:rPr>
        <w:t>的</w:t>
      </w:r>
      <w:r>
        <w:rPr>
          <w:rFonts w:hint="eastAsia" w:ascii="宋体" w:hAnsi="宋体" w:eastAsia="宋体" w:cs="宋体"/>
          <w:color w:val="000000" w:themeColor="text1"/>
          <w:sz w:val="24"/>
          <w:lang w:val="en-US" w:eastAsia="zh-CN"/>
          <w14:textFill>
            <w14:solidFill>
              <w14:schemeClr w14:val="tx1"/>
            </w14:solidFill>
          </w14:textFill>
        </w:rPr>
        <w:t>评分模式采用层次分析法，为不同指标层设置权重，各层指标得分与其权重相乘，汇总得到相应分值。</w:t>
      </w:r>
    </w:p>
    <w:p w14:paraId="4282E8BA">
      <w:pPr>
        <w:snapToGrid w:val="0"/>
        <w:spacing w:line="360" w:lineRule="auto"/>
        <w:ind w:firstLine="480"/>
        <w:jc w:val="left"/>
        <w:rPr>
          <w:rFonts w:hint="eastAsia"/>
          <w:strike w:val="0"/>
          <w:color w:val="000000" w:themeColor="text1"/>
          <w:sz w:val="24"/>
          <w:lang w:eastAsia="zh-CN"/>
          <w14:textFill>
            <w14:solidFill>
              <w14:schemeClr w14:val="tx1"/>
            </w14:solidFill>
          </w14:textFill>
        </w:rPr>
      </w:pPr>
    </w:p>
    <w:p w14:paraId="733F1092">
      <w:pPr>
        <w:rPr>
          <w:rFonts w:hint="eastAsia"/>
          <w:strike w:val="0"/>
          <w:color w:val="000000" w:themeColor="text1"/>
          <w:sz w:val="24"/>
          <w14:textFill>
            <w14:solidFill>
              <w14:schemeClr w14:val="tx1"/>
            </w14:solidFill>
          </w14:textFill>
        </w:rPr>
      </w:pPr>
      <w:r>
        <w:rPr>
          <w:rFonts w:hint="eastAsia"/>
          <w:strike w:val="0"/>
          <w:color w:val="000000" w:themeColor="text1"/>
          <w:sz w:val="24"/>
          <w14:textFill>
            <w14:solidFill>
              <w14:schemeClr w14:val="tx1"/>
            </w14:solidFill>
          </w14:textFill>
        </w:rPr>
        <w:br w:type="page"/>
      </w:r>
    </w:p>
    <w:p w14:paraId="4896048E">
      <w:pPr>
        <w:jc w:val="left"/>
        <w:rPr>
          <w:rFonts w:hint="eastAsia" w:asciiTheme="minorHAnsi" w:hAnsiTheme="minorHAnsi" w:eastAsiaTheme="minorEastAsia" w:cstheme="minorBidi"/>
          <w:kern w:val="2"/>
          <w:sz w:val="21"/>
          <w:szCs w:val="24"/>
          <w:lang w:val="en-US" w:eastAsia="zh-CN" w:bidi="ar-SA"/>
        </w:rPr>
      </w:pPr>
    </w:p>
    <w:p w14:paraId="298589B9">
      <w:pPr>
        <w:snapToGrid w:val="0"/>
        <w:spacing w:line="360" w:lineRule="auto"/>
        <w:jc w:val="center"/>
        <w:outlineLvl w:val="0"/>
        <w:rPr>
          <w:rFonts w:ascii="宋体" w:hAnsi="宋体" w:eastAsia="宋体" w:cs="宋体"/>
          <w:b/>
          <w:bCs/>
          <w:color w:val="000000" w:themeColor="text1"/>
          <w:sz w:val="30"/>
          <w:szCs w:val="30"/>
          <w14:textFill>
            <w14:solidFill>
              <w14:schemeClr w14:val="tx1"/>
            </w14:solidFill>
          </w14:textFill>
        </w:rPr>
      </w:pPr>
      <w:bookmarkStart w:id="695" w:name="_Toc5853"/>
      <w:bookmarkStart w:id="696" w:name="_Toc1718"/>
      <w:bookmarkStart w:id="697" w:name="_Toc5908"/>
      <w:bookmarkStart w:id="698" w:name="_Toc21760"/>
      <w:bookmarkStart w:id="699" w:name="_Toc11597"/>
      <w:bookmarkStart w:id="700" w:name="_Toc24002"/>
      <w:bookmarkStart w:id="701" w:name="_Toc22052"/>
      <w:r>
        <w:rPr>
          <w:rFonts w:hint="eastAsia" w:ascii="宋体" w:hAnsi="宋体" w:eastAsia="宋体" w:cs="宋体"/>
          <w:b/>
          <w:bCs/>
          <w:color w:val="000000" w:themeColor="text1"/>
          <w:sz w:val="30"/>
          <w:szCs w:val="30"/>
          <w14:textFill>
            <w14:solidFill>
              <w14:schemeClr w14:val="tx1"/>
            </w14:solidFill>
          </w14:textFill>
        </w:rPr>
        <w:t>4 环境可持续</w:t>
      </w:r>
      <w:bookmarkEnd w:id="695"/>
      <w:bookmarkEnd w:id="696"/>
      <w:bookmarkEnd w:id="697"/>
      <w:bookmarkEnd w:id="698"/>
      <w:bookmarkEnd w:id="699"/>
      <w:bookmarkEnd w:id="700"/>
      <w:bookmarkEnd w:id="701"/>
    </w:p>
    <w:p w14:paraId="3466A9D6">
      <w:pPr>
        <w:snapToGrid w:val="0"/>
        <w:spacing w:line="360" w:lineRule="auto"/>
        <w:jc w:val="center"/>
        <w:outlineLvl w:val="1"/>
        <w:rPr>
          <w:rFonts w:ascii="黑体" w:hAnsi="黑体" w:eastAsia="黑体" w:cs="黑体"/>
          <w:b/>
          <w:bCs/>
          <w:color w:val="000000" w:themeColor="text1"/>
          <w:sz w:val="28"/>
          <w:szCs w:val="28"/>
          <w14:textFill>
            <w14:solidFill>
              <w14:schemeClr w14:val="tx1"/>
            </w14:solidFill>
          </w14:textFill>
        </w:rPr>
      </w:pPr>
      <w:bookmarkStart w:id="702" w:name="_Toc32064"/>
      <w:bookmarkStart w:id="703" w:name="_Toc24292"/>
      <w:bookmarkStart w:id="704" w:name="_Toc4725"/>
      <w:bookmarkStart w:id="705" w:name="_Toc5507"/>
      <w:bookmarkStart w:id="706" w:name="_Toc16863"/>
      <w:bookmarkStart w:id="707" w:name="_Toc17865"/>
      <w:bookmarkStart w:id="708" w:name="_Toc23805"/>
      <w:r>
        <w:rPr>
          <w:rFonts w:hint="eastAsia" w:ascii="黑体" w:hAnsi="黑体" w:eastAsia="黑体" w:cs="黑体"/>
          <w:b/>
          <w:bCs/>
          <w:color w:val="000000" w:themeColor="text1"/>
          <w:sz w:val="28"/>
          <w:szCs w:val="28"/>
          <w14:textFill>
            <w14:solidFill>
              <w14:schemeClr w14:val="tx1"/>
            </w14:solidFill>
          </w14:textFill>
        </w:rPr>
        <w:t>4.1 控制项</w:t>
      </w:r>
      <w:bookmarkEnd w:id="702"/>
      <w:bookmarkEnd w:id="703"/>
      <w:bookmarkEnd w:id="704"/>
      <w:bookmarkEnd w:id="705"/>
      <w:bookmarkEnd w:id="706"/>
      <w:bookmarkEnd w:id="707"/>
      <w:bookmarkEnd w:id="708"/>
    </w:p>
    <w:p w14:paraId="3A3AD16F">
      <w:pPr>
        <w:snapToGrid w:val="0"/>
        <w:spacing w:line="360" w:lineRule="auto"/>
        <w:rPr>
          <w:rFonts w:hint="eastAsia" w:ascii="宋体" w:hAnsi="宋体" w:eastAsia="宋体" w:cs="宋体"/>
          <w:color w:val="000000" w:themeColor="text1"/>
          <w:sz w:val="24"/>
          <w:lang w:val="en-US" w:eastAsia="zh-CN" w:bidi="ar"/>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4.1.1</w:t>
      </w:r>
      <w:r>
        <w:rPr>
          <w:rFonts w:hint="eastAsia" w:ascii="宋体" w:hAnsi="宋体" w:eastAsia="宋体" w:cs="宋体"/>
          <w:color w:val="000000" w:themeColor="text1"/>
          <w:sz w:val="24"/>
          <w:lang w:val="en-US" w:eastAsia="zh-CN" w:bidi="ar"/>
          <w14:textFill>
            <w14:solidFill>
              <w14:schemeClr w14:val="tx1"/>
            </w14:solidFill>
          </w14:textFill>
        </w:rPr>
        <w:t xml:space="preserve"> 上位规划是指国家、地方规划、政策等对包括环境、资源等各方面的要求。项目所在场界范围环境因素重点关注污染防治、温室气体排放、生态系统保护等。</w:t>
      </w:r>
    </w:p>
    <w:p w14:paraId="733C4EF3">
      <w:pPr>
        <w:snapToGrid w:val="0"/>
        <w:spacing w:line="360" w:lineRule="auto"/>
        <w:ind w:firstLine="480" w:firstLineChars="200"/>
        <w:rPr>
          <w:rFonts w:hint="eastAsia" w:ascii="宋体" w:hAnsi="宋体" w:eastAsia="宋体" w:cs="宋体"/>
          <w:color w:val="000000" w:themeColor="text1"/>
          <w:sz w:val="24"/>
          <w:lang w:val="en-US" w:eastAsia="zh-CN" w:bidi="ar"/>
          <w14:textFill>
            <w14:solidFill>
              <w14:schemeClr w14:val="tx1"/>
            </w14:solidFill>
          </w14:textFill>
        </w:rPr>
      </w:pPr>
      <w:r>
        <w:rPr>
          <w:rFonts w:hint="eastAsia" w:ascii="宋体" w:hAnsi="宋体" w:eastAsia="宋体" w:cs="宋体"/>
          <w:color w:val="000000" w:themeColor="text1"/>
          <w:sz w:val="24"/>
          <w:lang w:val="en-US" w:eastAsia="zh-CN" w:bidi="ar"/>
          <w14:textFill>
            <w14:solidFill>
              <w14:schemeClr w14:val="tx1"/>
            </w14:solidFill>
          </w14:textFill>
        </w:rPr>
        <w:t>环境质量监测与控制方案需明确环境可持续具体控制目标，包括污染控制、碳排放控制和生态保护定量指标和定性目标；明确监测与控制方法。</w:t>
      </w:r>
    </w:p>
    <w:p w14:paraId="2CF45BA1">
      <w:pPr>
        <w:snapToGrid w:val="0"/>
        <w:spacing w:line="360" w:lineRule="auto"/>
        <w:ind w:firstLine="480" w:firstLineChars="200"/>
        <w:rPr>
          <w:rFonts w:hint="eastAsia" w:ascii="宋体" w:hAnsi="宋体" w:eastAsia="宋体" w:cs="宋体"/>
          <w:color w:val="000000" w:themeColor="text1"/>
          <w:sz w:val="24"/>
          <w:lang w:val="en-US" w:eastAsia="zh-CN" w:bidi="ar"/>
          <w14:textFill>
            <w14:solidFill>
              <w14:schemeClr w14:val="tx1"/>
            </w14:solidFill>
          </w14:textFill>
        </w:rPr>
      </w:pPr>
      <w:r>
        <w:rPr>
          <w:rFonts w:hint="eastAsia" w:ascii="宋体" w:hAnsi="宋体" w:eastAsia="宋体" w:cs="宋体"/>
          <w:color w:val="000000" w:themeColor="text1"/>
          <w:sz w:val="24"/>
          <w:lang w:val="en-US" w:eastAsia="zh-CN" w:bidi="ar"/>
          <w14:textFill>
            <w14:solidFill>
              <w14:schemeClr w14:val="tx1"/>
            </w14:solidFill>
          </w14:textFill>
        </w:rPr>
        <w:t>考量内容：（1）环境质量监测与控制方案；（2）各项控制指标。</w:t>
      </w:r>
    </w:p>
    <w:p w14:paraId="36CBF785">
      <w:pPr>
        <w:snapToGrid w:val="0"/>
        <w:spacing w:line="360" w:lineRule="auto"/>
        <w:rPr>
          <w:rFonts w:hint="eastAsia" w:ascii="宋体" w:hAnsi="宋体" w:eastAsia="宋体" w:cs="宋体"/>
          <w:color w:val="000000" w:themeColor="text1"/>
          <w:sz w:val="24"/>
          <w:lang w:bidi="ar"/>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4.1.2</w:t>
      </w:r>
      <w:r>
        <w:rPr>
          <w:rFonts w:hint="eastAsia" w:ascii="宋体" w:hAnsi="宋体" w:eastAsia="宋体" w:cs="宋体"/>
          <w:color w:val="000000" w:themeColor="text1"/>
          <w:sz w:val="24"/>
          <w:lang w:bidi="ar"/>
          <w14:textFill>
            <w14:solidFill>
              <w14:schemeClr w14:val="tx1"/>
            </w14:solidFill>
          </w14:textFill>
        </w:rPr>
        <w:t xml:space="preserve"> 选择绿色低碳技术或措施，支撑环境质量控制指标的实现。</w:t>
      </w:r>
    </w:p>
    <w:p w14:paraId="692A036A">
      <w:pPr>
        <w:snapToGrid w:val="0"/>
        <w:spacing w:line="360" w:lineRule="auto"/>
        <w:ind w:firstLine="480" w:firstLineChars="200"/>
        <w:rPr>
          <w:rFonts w:hint="eastAsia" w:ascii="宋体" w:hAnsi="宋体" w:eastAsia="宋体" w:cs="宋体"/>
          <w:color w:val="000000" w:themeColor="text1"/>
          <w:sz w:val="24"/>
          <w:lang w:bidi="ar"/>
          <w14:textFill>
            <w14:solidFill>
              <w14:schemeClr w14:val="tx1"/>
            </w14:solidFill>
          </w14:textFill>
        </w:rPr>
      </w:pPr>
      <w:r>
        <w:rPr>
          <w:rFonts w:hint="eastAsia" w:ascii="宋体" w:hAnsi="宋体" w:eastAsia="宋体" w:cs="宋体"/>
          <w:color w:val="000000" w:themeColor="text1"/>
          <w:sz w:val="24"/>
          <w:lang w:bidi="ar"/>
          <w14:textFill>
            <w14:solidFill>
              <w14:schemeClr w14:val="tx1"/>
            </w14:solidFill>
          </w14:textFill>
        </w:rPr>
        <w:t>考量内容：采用的绿色低碳技术或措施</w:t>
      </w:r>
      <w:r>
        <w:rPr>
          <w:rFonts w:hint="eastAsia" w:ascii="宋体" w:hAnsi="宋体" w:eastAsia="宋体" w:cs="宋体"/>
          <w:color w:val="000000" w:themeColor="text1"/>
          <w:sz w:val="24"/>
          <w:lang w:eastAsia="zh-CN" w:bidi="ar"/>
          <w14:textFill>
            <w14:solidFill>
              <w14:schemeClr w14:val="tx1"/>
            </w14:solidFill>
          </w14:textFill>
        </w:rPr>
        <w:t>。</w:t>
      </w:r>
    </w:p>
    <w:p w14:paraId="3786558D">
      <w:pPr>
        <w:snapToGrid w:val="0"/>
        <w:spacing w:line="360" w:lineRule="auto"/>
        <w:ind w:firstLine="0" w:firstLineChars="0"/>
        <w:rPr>
          <w:rFonts w:hint="eastAsia"/>
          <w:color w:val="000000" w:themeColor="text1"/>
          <w:sz w:val="24"/>
          <w:lang w:val="en-US" w:eastAsia="zh-CN"/>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4.1.3</w:t>
      </w:r>
      <w:r>
        <w:rPr>
          <w:rFonts w:hint="eastAsia"/>
          <w:color w:val="000000" w:themeColor="text1"/>
          <w:sz w:val="24"/>
          <w:lang w:val="en-US" w:eastAsia="zh-CN"/>
          <w14:textFill>
            <w14:solidFill>
              <w14:schemeClr w14:val="tx1"/>
            </w14:solidFill>
          </w14:textFill>
        </w:rPr>
        <w:t>控制</w:t>
      </w:r>
      <w:r>
        <w:rPr>
          <w:rFonts w:hint="eastAsia"/>
          <w:color w:val="000000" w:themeColor="text1"/>
          <w:sz w:val="24"/>
          <w14:textFill>
            <w14:solidFill>
              <w14:schemeClr w14:val="tx1"/>
            </w14:solidFill>
          </w14:textFill>
        </w:rPr>
        <w:t>单元</w:t>
      </w:r>
      <w:r>
        <w:rPr>
          <w:rFonts w:hint="eastAsia"/>
          <w:color w:val="000000" w:themeColor="text1"/>
          <w:sz w:val="24"/>
          <w:lang w:val="en-US" w:eastAsia="zh-CN"/>
          <w14:textFill>
            <w14:solidFill>
              <w14:schemeClr w14:val="tx1"/>
            </w14:solidFill>
          </w14:textFill>
        </w:rPr>
        <w:t>是指根据项目情况拆分后的目标控制范围。包含按照不同阶段、不同区域、不同顺序等方式的拆分，例如运行按照时间顺序，施工按照施工不同的阶段等。</w:t>
      </w:r>
    </w:p>
    <w:p w14:paraId="74CC6A47">
      <w:pPr>
        <w:snapToGrid w:val="0"/>
        <w:spacing w:line="360" w:lineRule="auto"/>
        <w:ind w:firstLine="480" w:firstLineChars="200"/>
        <w:rPr>
          <w:rFonts w:hint="eastAsia" w:ascii="宋体" w:hAnsi="宋体" w:eastAsia="宋体" w:cs="宋体"/>
          <w:color w:val="000000" w:themeColor="text1"/>
          <w:sz w:val="24"/>
          <w:lang w:bidi="ar"/>
          <w14:textFill>
            <w14:solidFill>
              <w14:schemeClr w14:val="tx1"/>
            </w14:solidFill>
          </w14:textFill>
        </w:rPr>
      </w:pPr>
      <w:r>
        <w:rPr>
          <w:rFonts w:hint="eastAsia" w:ascii="宋体" w:hAnsi="宋体" w:eastAsia="宋体" w:cs="宋体"/>
          <w:color w:val="000000" w:themeColor="text1"/>
          <w:sz w:val="24"/>
          <w:highlight w:val="none"/>
          <w:lang w:eastAsia="zh-CN" w:bidi="ar"/>
          <w14:textFill>
            <w14:solidFill>
              <w14:schemeClr w14:val="tx1"/>
            </w14:solidFill>
          </w14:textFill>
        </w:rPr>
        <w:t>规划设计</w:t>
      </w:r>
      <w:r>
        <w:rPr>
          <w:rFonts w:hint="eastAsia" w:ascii="宋体" w:hAnsi="宋体" w:eastAsia="宋体" w:cs="宋体"/>
          <w:color w:val="000000" w:themeColor="text1"/>
          <w:sz w:val="24"/>
          <w:highlight w:val="none"/>
          <w:lang w:bidi="ar"/>
          <w14:textFill>
            <w14:solidFill>
              <w14:schemeClr w14:val="tx1"/>
            </w14:solidFill>
          </w14:textFill>
        </w:rPr>
        <w:t>阶段应设计能减少项目</w:t>
      </w:r>
      <w:r>
        <w:rPr>
          <w:rFonts w:hint="eastAsia" w:ascii="宋体" w:hAnsi="宋体" w:eastAsia="宋体" w:cs="宋体"/>
          <w:color w:val="000000" w:themeColor="text1"/>
          <w:sz w:val="24"/>
          <w:highlight w:val="none"/>
          <w:lang w:val="en-US" w:eastAsia="zh-CN" w:bidi="ar"/>
          <w14:textFill>
            <w14:solidFill>
              <w14:schemeClr w14:val="tx1"/>
            </w14:solidFill>
          </w14:textFill>
        </w:rPr>
        <w:t>碳</w:t>
      </w:r>
      <w:r>
        <w:rPr>
          <w:rFonts w:hint="eastAsia" w:ascii="宋体" w:hAnsi="宋体" w:eastAsia="宋体" w:cs="宋体"/>
          <w:color w:val="000000" w:themeColor="text1"/>
          <w:sz w:val="24"/>
          <w:highlight w:val="none"/>
          <w:lang w:bidi="ar"/>
          <w14:textFill>
            <w14:solidFill>
              <w14:schemeClr w14:val="tx1"/>
            </w14:solidFill>
          </w14:textFill>
        </w:rPr>
        <w:t>排放</w:t>
      </w:r>
      <w:r>
        <w:rPr>
          <w:rFonts w:hint="eastAsia" w:ascii="宋体" w:hAnsi="宋体" w:eastAsia="宋体" w:cs="宋体"/>
          <w:color w:val="000000" w:themeColor="text1"/>
          <w:sz w:val="24"/>
          <w:highlight w:val="none"/>
          <w:lang w:val="en-US" w:eastAsia="zh-CN" w:bidi="ar"/>
          <w14:textFill>
            <w14:solidFill>
              <w14:schemeClr w14:val="tx1"/>
            </w14:solidFill>
          </w14:textFill>
        </w:rPr>
        <w:t>总量和降低碳排放强度</w:t>
      </w:r>
      <w:r>
        <w:rPr>
          <w:rFonts w:hint="eastAsia" w:ascii="宋体" w:hAnsi="宋体" w:eastAsia="宋体" w:cs="宋体"/>
          <w:color w:val="000000" w:themeColor="text1"/>
          <w:sz w:val="24"/>
          <w:highlight w:val="none"/>
          <w:lang w:bidi="ar"/>
          <w14:textFill>
            <w14:solidFill>
              <w14:schemeClr w14:val="tx1"/>
            </w14:solidFill>
          </w14:textFill>
        </w:rPr>
        <w:t>的方案，</w:t>
      </w:r>
      <w:r>
        <w:rPr>
          <w:rFonts w:hint="eastAsia" w:ascii="宋体" w:hAnsi="宋体" w:eastAsia="宋体" w:cs="宋体"/>
          <w:color w:val="000000" w:themeColor="text1"/>
          <w:sz w:val="24"/>
          <w:lang w:bidi="ar"/>
          <w14:textFill>
            <w14:solidFill>
              <w14:schemeClr w14:val="tx1"/>
            </w14:solidFill>
          </w14:textFill>
        </w:rPr>
        <w:t>包括采用可再生</w:t>
      </w:r>
      <w:r>
        <w:rPr>
          <w:rFonts w:hint="eastAsia" w:ascii="宋体" w:hAnsi="宋体" w:eastAsia="宋体" w:cs="宋体"/>
          <w:color w:val="000000" w:themeColor="text1"/>
          <w:sz w:val="24"/>
          <w:lang w:val="en-US" w:eastAsia="zh-CN" w:bidi="ar"/>
          <w14:textFill>
            <w14:solidFill>
              <w14:schemeClr w14:val="tx1"/>
            </w14:solidFill>
          </w14:textFill>
        </w:rPr>
        <w:t>能源</w:t>
      </w:r>
      <w:r>
        <w:rPr>
          <w:rFonts w:hint="eastAsia" w:ascii="宋体" w:hAnsi="宋体" w:eastAsia="宋体" w:cs="宋体"/>
          <w:color w:val="000000" w:themeColor="text1"/>
          <w:sz w:val="24"/>
          <w:lang w:bidi="ar"/>
          <w14:textFill>
            <w14:solidFill>
              <w14:schemeClr w14:val="tx1"/>
            </w14:solidFill>
          </w14:textFill>
        </w:rPr>
        <w:t>或低碳能源、海绵景观等举措；例如通过海绵城市可与景观设计结合的技术措施，可降低项目场地环境的热岛效应，减少二氧化碳排放。施工</w:t>
      </w:r>
      <w:r>
        <w:rPr>
          <w:rFonts w:hint="eastAsia" w:ascii="宋体" w:hAnsi="宋体" w:eastAsia="宋体" w:cs="宋体"/>
          <w:color w:val="000000" w:themeColor="text1"/>
          <w:sz w:val="24"/>
          <w:lang w:val="en-US" w:eastAsia="zh-CN" w:bidi="ar"/>
          <w14:textFill>
            <w14:solidFill>
              <w14:schemeClr w14:val="tx1"/>
            </w14:solidFill>
          </w14:textFill>
        </w:rPr>
        <w:t>建造阶段</w:t>
      </w:r>
      <w:r>
        <w:rPr>
          <w:rFonts w:hint="eastAsia" w:ascii="宋体" w:hAnsi="宋体" w:eastAsia="宋体" w:cs="宋体"/>
          <w:color w:val="000000" w:themeColor="text1"/>
          <w:sz w:val="24"/>
          <w:lang w:eastAsia="zh-CN" w:bidi="ar"/>
          <w14:textFill>
            <w14:solidFill>
              <w14:schemeClr w14:val="tx1"/>
            </w14:solidFill>
          </w14:textFill>
        </w:rPr>
        <w:t>、</w:t>
      </w:r>
      <w:r>
        <w:rPr>
          <w:rFonts w:hint="eastAsia" w:ascii="宋体" w:hAnsi="宋体" w:eastAsia="宋体" w:cs="宋体"/>
          <w:color w:val="000000" w:themeColor="text1"/>
          <w:sz w:val="24"/>
          <w:lang w:bidi="ar"/>
          <w14:textFill>
            <w14:solidFill>
              <w14:schemeClr w14:val="tx1"/>
            </w14:solidFill>
          </w14:textFill>
        </w:rPr>
        <w:t>运行阶段应通过提高能源</w:t>
      </w:r>
      <w:r>
        <w:rPr>
          <w:rFonts w:hint="eastAsia" w:ascii="宋体" w:hAnsi="宋体" w:eastAsia="宋体" w:cs="宋体"/>
          <w:color w:val="000000" w:themeColor="text1"/>
          <w:sz w:val="24"/>
          <w:lang w:val="en-US" w:eastAsia="zh-CN" w:bidi="ar"/>
          <w14:textFill>
            <w14:solidFill>
              <w14:schemeClr w14:val="tx1"/>
            </w14:solidFill>
          </w14:textFill>
        </w:rPr>
        <w:t>利用</w:t>
      </w:r>
      <w:r>
        <w:rPr>
          <w:rFonts w:hint="eastAsia" w:ascii="宋体" w:hAnsi="宋体" w:eastAsia="宋体" w:cs="宋体"/>
          <w:color w:val="000000" w:themeColor="text1"/>
          <w:sz w:val="24"/>
          <w:lang w:bidi="ar"/>
          <w14:textFill>
            <w14:solidFill>
              <w14:schemeClr w14:val="tx1"/>
            </w14:solidFill>
          </w14:textFill>
        </w:rPr>
        <w:t>效率</w:t>
      </w:r>
      <w:r>
        <w:rPr>
          <w:rFonts w:hint="eastAsia" w:ascii="宋体" w:hAnsi="宋体" w:eastAsia="宋体" w:cs="宋体"/>
          <w:color w:val="000000" w:themeColor="text1"/>
          <w:sz w:val="24"/>
          <w:lang w:eastAsia="zh-CN" w:bidi="ar"/>
          <w14:textFill>
            <w14:solidFill>
              <w14:schemeClr w14:val="tx1"/>
            </w14:solidFill>
          </w14:textFill>
        </w:rPr>
        <w:t>，</w:t>
      </w:r>
      <w:r>
        <w:rPr>
          <w:rFonts w:hint="eastAsia" w:ascii="宋体" w:hAnsi="宋体" w:eastAsia="宋体" w:cs="宋体"/>
          <w:color w:val="000000" w:themeColor="text1"/>
          <w:sz w:val="24"/>
          <w:lang w:val="en-US" w:eastAsia="zh-CN" w:bidi="ar"/>
          <w14:textFill>
            <w14:solidFill>
              <w14:schemeClr w14:val="tx1"/>
            </w14:solidFill>
          </w14:textFill>
        </w:rPr>
        <w:t>使用可再生能源来</w:t>
      </w:r>
      <w:r>
        <w:rPr>
          <w:rFonts w:hint="eastAsia" w:ascii="宋体" w:hAnsi="宋体" w:eastAsia="宋体" w:cs="宋体"/>
          <w:color w:val="000000" w:themeColor="text1"/>
          <w:sz w:val="24"/>
          <w:lang w:bidi="ar"/>
          <w14:textFill>
            <w14:solidFill>
              <w14:schemeClr w14:val="tx1"/>
            </w14:solidFill>
          </w14:textFill>
        </w:rPr>
        <w:t>减少化石燃料的消耗与二氧化碳排放。</w:t>
      </w:r>
    </w:p>
    <w:p w14:paraId="1CD38BC3">
      <w:pPr>
        <w:snapToGrid w:val="0"/>
        <w:spacing w:line="360" w:lineRule="auto"/>
        <w:ind w:firstLine="480" w:firstLineChars="200"/>
        <w:rPr>
          <w:rFonts w:hint="eastAsia" w:ascii="宋体" w:hAnsi="宋体" w:eastAsia="宋体" w:cs="宋体"/>
          <w:color w:val="000000" w:themeColor="text1"/>
          <w:sz w:val="24"/>
          <w:lang w:bidi="ar"/>
          <w14:textFill>
            <w14:solidFill>
              <w14:schemeClr w14:val="tx1"/>
            </w14:solidFill>
          </w14:textFill>
        </w:rPr>
      </w:pPr>
      <w:r>
        <w:rPr>
          <w:rFonts w:hint="eastAsia" w:ascii="宋体" w:hAnsi="宋体" w:eastAsia="宋体" w:cs="宋体"/>
          <w:color w:val="000000" w:themeColor="text1"/>
          <w:sz w:val="24"/>
          <w:lang w:bidi="ar"/>
          <w14:textFill>
            <w14:solidFill>
              <w14:schemeClr w14:val="tx1"/>
            </w14:solidFill>
          </w14:textFill>
        </w:rPr>
        <w:t>考量内容：（1）</w:t>
      </w:r>
      <w:r>
        <w:rPr>
          <w:rFonts w:hint="eastAsia" w:ascii="宋体" w:hAnsi="宋体" w:eastAsia="宋体" w:cs="宋体"/>
          <w:color w:val="000000" w:themeColor="text1"/>
          <w:sz w:val="24"/>
          <w:lang w:val="en-US" w:eastAsia="zh-CN" w:bidi="ar"/>
          <w14:textFill>
            <w14:solidFill>
              <w14:schemeClr w14:val="tx1"/>
            </w14:solidFill>
          </w14:textFill>
        </w:rPr>
        <w:t>碳</w:t>
      </w:r>
      <w:r>
        <w:rPr>
          <w:rFonts w:hint="eastAsia" w:ascii="宋体" w:hAnsi="宋体" w:eastAsia="宋体" w:cs="宋体"/>
          <w:color w:val="000000" w:themeColor="text1"/>
          <w:sz w:val="24"/>
          <w:lang w:bidi="ar"/>
          <w14:textFill>
            <w14:solidFill>
              <w14:schemeClr w14:val="tx1"/>
            </w14:solidFill>
          </w14:textFill>
        </w:rPr>
        <w:t>减排方案；（2）单位产值二氧化碳排放</w:t>
      </w:r>
      <w:r>
        <w:rPr>
          <w:rFonts w:hint="eastAsia" w:ascii="宋体" w:hAnsi="宋体" w:eastAsia="宋体" w:cs="宋体"/>
          <w:color w:val="000000" w:themeColor="text1"/>
          <w:sz w:val="24"/>
          <w:lang w:val="en-US" w:eastAsia="zh-CN" w:bidi="ar"/>
          <w14:textFill>
            <w14:solidFill>
              <w14:schemeClr w14:val="tx1"/>
            </w14:solidFill>
          </w14:textFill>
        </w:rPr>
        <w:t>当</w:t>
      </w:r>
      <w:r>
        <w:rPr>
          <w:rFonts w:hint="eastAsia" w:ascii="宋体" w:hAnsi="宋体" w:eastAsia="宋体" w:cs="宋体"/>
          <w:color w:val="000000" w:themeColor="text1"/>
          <w:sz w:val="24"/>
          <w:lang w:bidi="ar"/>
          <w14:textFill>
            <w14:solidFill>
              <w14:schemeClr w14:val="tx1"/>
            </w14:solidFill>
          </w14:textFill>
        </w:rPr>
        <w:t>量</w:t>
      </w:r>
      <w:r>
        <w:rPr>
          <w:rFonts w:hint="eastAsia" w:ascii="宋体" w:hAnsi="宋体" w:eastAsia="宋体" w:cs="宋体"/>
          <w:color w:val="000000" w:themeColor="text1"/>
          <w:sz w:val="24"/>
          <w:lang w:val="en-US" w:eastAsia="zh-CN" w:bidi="ar"/>
          <w14:textFill>
            <w14:solidFill>
              <w14:schemeClr w14:val="tx1"/>
            </w14:solidFill>
          </w14:textFill>
        </w:rPr>
        <w:t>指标</w:t>
      </w:r>
      <w:r>
        <w:rPr>
          <w:rFonts w:hint="eastAsia" w:ascii="宋体" w:hAnsi="宋体" w:eastAsia="宋体" w:cs="宋体"/>
          <w:color w:val="000000" w:themeColor="text1"/>
          <w:sz w:val="24"/>
          <w:lang w:bidi="ar"/>
          <w14:textFill>
            <w14:solidFill>
              <w14:schemeClr w14:val="tx1"/>
            </w14:solidFill>
          </w14:textFill>
        </w:rPr>
        <w:t>；</w:t>
      </w:r>
      <w:r>
        <w:rPr>
          <w:rFonts w:hint="eastAsia" w:ascii="宋体" w:hAnsi="宋体" w:eastAsia="宋体" w:cs="宋体"/>
          <w:color w:val="000000" w:themeColor="text1"/>
          <w:sz w:val="24"/>
          <w:lang w:eastAsia="zh-CN" w:bidi="ar"/>
          <w14:textFill>
            <w14:solidFill>
              <w14:schemeClr w14:val="tx1"/>
            </w14:solidFill>
          </w14:textFill>
        </w:rPr>
        <w:t>（</w:t>
      </w:r>
      <w:r>
        <w:rPr>
          <w:rFonts w:hint="eastAsia" w:ascii="宋体" w:hAnsi="宋体" w:eastAsia="宋体" w:cs="宋体"/>
          <w:color w:val="000000" w:themeColor="text1"/>
          <w:sz w:val="24"/>
          <w:lang w:val="en-US" w:eastAsia="zh-CN" w:bidi="ar"/>
          <w14:textFill>
            <w14:solidFill>
              <w14:schemeClr w14:val="tx1"/>
            </w14:solidFill>
          </w14:textFill>
        </w:rPr>
        <w:t>3</w:t>
      </w:r>
      <w:r>
        <w:rPr>
          <w:rFonts w:hint="eastAsia" w:ascii="宋体" w:hAnsi="宋体" w:eastAsia="宋体" w:cs="宋体"/>
          <w:color w:val="000000" w:themeColor="text1"/>
          <w:sz w:val="24"/>
          <w:lang w:eastAsia="zh-CN" w:bidi="ar"/>
          <w14:textFill>
            <w14:solidFill>
              <w14:schemeClr w14:val="tx1"/>
            </w14:solidFill>
          </w14:textFill>
        </w:rPr>
        <w:t>）</w:t>
      </w:r>
      <w:r>
        <w:rPr>
          <w:rFonts w:hint="eastAsia" w:ascii="宋体" w:hAnsi="宋体" w:eastAsia="宋体" w:cs="宋体"/>
          <w:color w:val="000000" w:themeColor="text1"/>
          <w:sz w:val="24"/>
          <w:lang w:bidi="ar"/>
          <w14:textFill>
            <w14:solidFill>
              <w14:schemeClr w14:val="tx1"/>
            </w14:solidFill>
          </w14:textFill>
        </w:rPr>
        <w:t>单位</w:t>
      </w:r>
      <w:r>
        <w:rPr>
          <w:rFonts w:hint="eastAsia" w:ascii="宋体" w:hAnsi="宋体" w:eastAsia="宋体" w:cs="宋体"/>
          <w:color w:val="000000" w:themeColor="text1"/>
          <w:sz w:val="24"/>
          <w:lang w:val="en-US" w:eastAsia="zh-CN" w:bidi="ar"/>
          <w14:textFill>
            <w14:solidFill>
              <w14:schemeClr w14:val="tx1"/>
            </w14:solidFill>
          </w14:textFill>
        </w:rPr>
        <w:t>面积</w:t>
      </w:r>
      <w:r>
        <w:rPr>
          <w:rFonts w:hint="eastAsia" w:ascii="宋体" w:hAnsi="宋体" w:eastAsia="宋体" w:cs="宋体"/>
          <w:color w:val="000000" w:themeColor="text1"/>
          <w:sz w:val="24"/>
          <w:lang w:bidi="ar"/>
          <w14:textFill>
            <w14:solidFill>
              <w14:schemeClr w14:val="tx1"/>
            </w14:solidFill>
          </w14:textFill>
        </w:rPr>
        <w:t>二氧化碳排放</w:t>
      </w:r>
      <w:r>
        <w:rPr>
          <w:rFonts w:hint="eastAsia" w:ascii="宋体" w:hAnsi="宋体" w:eastAsia="宋体" w:cs="宋体"/>
          <w:color w:val="000000" w:themeColor="text1"/>
          <w:sz w:val="24"/>
          <w:lang w:val="en-US" w:eastAsia="zh-CN" w:bidi="ar"/>
          <w14:textFill>
            <w14:solidFill>
              <w14:schemeClr w14:val="tx1"/>
            </w14:solidFill>
          </w14:textFill>
        </w:rPr>
        <w:t>当</w:t>
      </w:r>
      <w:r>
        <w:rPr>
          <w:rFonts w:hint="eastAsia" w:ascii="宋体" w:hAnsi="宋体" w:eastAsia="宋体" w:cs="宋体"/>
          <w:color w:val="000000" w:themeColor="text1"/>
          <w:sz w:val="24"/>
          <w:lang w:bidi="ar"/>
          <w14:textFill>
            <w14:solidFill>
              <w14:schemeClr w14:val="tx1"/>
            </w14:solidFill>
          </w14:textFill>
        </w:rPr>
        <w:t>量</w:t>
      </w:r>
      <w:r>
        <w:rPr>
          <w:rFonts w:hint="eastAsia" w:ascii="宋体" w:hAnsi="宋体" w:eastAsia="宋体" w:cs="宋体"/>
          <w:color w:val="000000" w:themeColor="text1"/>
          <w:sz w:val="24"/>
          <w:lang w:val="en-US" w:eastAsia="zh-CN" w:bidi="ar"/>
          <w14:textFill>
            <w14:solidFill>
              <w14:schemeClr w14:val="tx1"/>
            </w14:solidFill>
          </w14:textFill>
        </w:rPr>
        <w:t>指标；</w:t>
      </w:r>
      <w:r>
        <w:rPr>
          <w:rFonts w:hint="eastAsia" w:ascii="宋体" w:hAnsi="宋体" w:eastAsia="宋体" w:cs="宋体"/>
          <w:color w:val="000000" w:themeColor="text1"/>
          <w:sz w:val="24"/>
          <w:lang w:bidi="ar"/>
          <w14:textFill>
            <w14:solidFill>
              <w14:schemeClr w14:val="tx1"/>
            </w14:solidFill>
          </w14:textFill>
        </w:rPr>
        <w:t>（</w:t>
      </w:r>
      <w:r>
        <w:rPr>
          <w:rFonts w:hint="eastAsia" w:ascii="宋体" w:hAnsi="宋体" w:eastAsia="宋体" w:cs="宋体"/>
          <w:color w:val="000000" w:themeColor="text1"/>
          <w:sz w:val="24"/>
          <w:lang w:val="en-US" w:eastAsia="zh-CN" w:bidi="ar"/>
          <w14:textFill>
            <w14:solidFill>
              <w14:schemeClr w14:val="tx1"/>
            </w14:solidFill>
          </w14:textFill>
        </w:rPr>
        <w:t>4</w:t>
      </w:r>
      <w:r>
        <w:rPr>
          <w:rFonts w:hint="eastAsia" w:ascii="宋体" w:hAnsi="宋体" w:eastAsia="宋体" w:cs="宋体"/>
          <w:color w:val="000000" w:themeColor="text1"/>
          <w:sz w:val="24"/>
          <w:lang w:bidi="ar"/>
          <w14:textFill>
            <w14:solidFill>
              <w14:schemeClr w14:val="tx1"/>
            </w14:solidFill>
          </w14:textFill>
        </w:rPr>
        <w:t>）碳排放下降比率</w:t>
      </w:r>
      <w:r>
        <w:rPr>
          <w:rFonts w:hint="eastAsia" w:ascii="宋体" w:hAnsi="宋体" w:eastAsia="宋体" w:cs="宋体"/>
          <w:color w:val="000000" w:themeColor="text1"/>
          <w:sz w:val="24"/>
          <w:lang w:val="en-US" w:eastAsia="zh-CN" w:bidi="ar"/>
          <w14:textFill>
            <w14:solidFill>
              <w14:schemeClr w14:val="tx1"/>
            </w14:solidFill>
          </w14:textFill>
        </w:rPr>
        <w:t>指标</w:t>
      </w:r>
      <w:r>
        <w:rPr>
          <w:rFonts w:hint="eastAsia" w:ascii="宋体" w:hAnsi="宋体" w:eastAsia="宋体" w:cs="宋体"/>
          <w:color w:val="000000" w:themeColor="text1"/>
          <w:sz w:val="24"/>
          <w:lang w:bidi="ar"/>
          <w14:textFill>
            <w14:solidFill>
              <w14:schemeClr w14:val="tx1"/>
            </w14:solidFill>
          </w14:textFill>
        </w:rPr>
        <w:t>。</w:t>
      </w:r>
    </w:p>
    <w:p w14:paraId="5F0CC075">
      <w:pPr>
        <w:snapToGrid w:val="0"/>
        <w:spacing w:line="360" w:lineRule="auto"/>
        <w:rPr>
          <w:rFonts w:hint="eastAsia" w:ascii="宋体" w:hAnsi="宋体" w:eastAsia="宋体" w:cs="宋体"/>
          <w:color w:val="000000" w:themeColor="text1"/>
          <w:sz w:val="24"/>
          <w:lang w:val="en-US" w:eastAsia="zh-CN"/>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4.1.4</w:t>
      </w:r>
      <w:r>
        <w:rPr>
          <w:rFonts w:hint="eastAsia" w:ascii="宋体" w:hAnsi="宋体" w:eastAsia="宋体" w:cs="宋体"/>
          <w:color w:val="000000" w:themeColor="text1"/>
          <w:sz w:val="24"/>
          <w:lang w:val="en-US" w:eastAsia="zh-CN"/>
          <w14:textFill>
            <w14:solidFill>
              <w14:schemeClr w14:val="tx1"/>
            </w14:solidFill>
          </w14:textFill>
        </w:rPr>
        <w:t>在施工建造阶段、运行阶段，通过信息化、智能化技术应用，对污染控制、碳排放控制和生态保护效果实施监测和评估。</w:t>
      </w:r>
    </w:p>
    <w:p w14:paraId="5329904A">
      <w:pPr>
        <w:snapToGrid w:val="0"/>
        <w:spacing w:line="360" w:lineRule="auto"/>
        <w:ind w:firstLine="480" w:firstLineChars="200"/>
        <w:rPr>
          <w:rFonts w:hint="eastAsia" w:ascii="宋体" w:hAnsi="宋体" w:eastAsia="宋体" w:cs="宋体"/>
          <w:color w:val="000000" w:themeColor="text1"/>
          <w:sz w:val="24"/>
          <w:lang w:val="en-US" w:eastAsia="zh-CN"/>
          <w14:textFill>
            <w14:solidFill>
              <w14:schemeClr w14:val="tx1"/>
            </w14:solidFill>
          </w14:textFill>
        </w:rPr>
      </w:pPr>
      <w:r>
        <w:rPr>
          <w:rFonts w:hint="eastAsia" w:ascii="宋体" w:hAnsi="宋体" w:eastAsia="宋体" w:cs="宋体"/>
          <w:color w:val="000000" w:themeColor="text1"/>
          <w:sz w:val="24"/>
          <w:lang w:val="en-US" w:eastAsia="zh-CN"/>
          <w14:textFill>
            <w14:solidFill>
              <w14:schemeClr w14:val="tx1"/>
            </w14:solidFill>
          </w14:textFill>
        </w:rPr>
        <w:t>考量内容：（1）环境质量监测系统（软硬件）；（2）记录台账；（3）环境质量控制指标验证说明。</w:t>
      </w:r>
    </w:p>
    <w:p w14:paraId="38709095">
      <w:pPr>
        <w:snapToGrid w:val="0"/>
        <w:spacing w:line="360" w:lineRule="auto"/>
        <w:ind w:firstLine="0" w:firstLineChars="0"/>
        <w:jc w:val="left"/>
        <w:outlineLvl w:val="9"/>
        <w:rPr>
          <w:rFonts w:hint="eastAsia" w:ascii="宋体" w:hAnsi="宋体" w:eastAsia="宋体" w:cs="宋体"/>
          <w:color w:val="000000" w:themeColor="text1"/>
          <w:sz w:val="24"/>
          <w:lang w:eastAsia="zh-CN" w:bidi="ar"/>
          <w14:textFill>
            <w14:solidFill>
              <w14:schemeClr w14:val="tx1"/>
            </w14:solidFill>
          </w14:textFill>
        </w:rPr>
      </w:pPr>
      <w:r>
        <w:rPr>
          <w:rFonts w:hint="eastAsia" w:ascii="宋体" w:hAnsi="宋体" w:eastAsia="宋体" w:cs="宋体"/>
          <w:color w:val="000000" w:themeColor="text1"/>
          <w:sz w:val="24"/>
          <w:lang w:bidi="ar"/>
          <w14:textFill>
            <w14:solidFill>
              <w14:schemeClr w14:val="tx1"/>
            </w14:solidFill>
          </w14:textFill>
        </w:rPr>
        <w:t>4.1</w:t>
      </w:r>
      <w:r>
        <w:rPr>
          <w:rFonts w:hint="eastAsia" w:ascii="宋体" w:hAnsi="宋体" w:eastAsia="宋体" w:cs="宋体"/>
          <w:color w:val="000000" w:themeColor="text1"/>
          <w:sz w:val="24"/>
          <w:lang w:val="en-US" w:eastAsia="zh-CN" w:bidi="ar"/>
          <w14:textFill>
            <w14:solidFill>
              <w14:schemeClr w14:val="tx1"/>
            </w14:solidFill>
          </w14:textFill>
        </w:rPr>
        <w:t>.5</w:t>
      </w:r>
      <w:r>
        <w:rPr>
          <w:rFonts w:hint="eastAsia" w:ascii="宋体" w:hAnsi="宋体" w:eastAsia="宋体" w:cs="宋体"/>
          <w:color w:val="000000" w:themeColor="text1"/>
          <w:sz w:val="24"/>
          <w:lang w:eastAsia="zh-CN" w:bidi="ar"/>
          <w14:textFill>
            <w14:solidFill>
              <w14:schemeClr w14:val="tx1"/>
            </w14:solidFill>
          </w14:textFill>
        </w:rPr>
        <w:t>项目设计阶段，按照设计图纸编制项目预计碳排放报告；施工建造</w:t>
      </w:r>
      <w:r>
        <w:rPr>
          <w:rFonts w:hint="eastAsia" w:ascii="宋体" w:hAnsi="宋体" w:eastAsia="宋体" w:cs="宋体"/>
          <w:color w:val="000000" w:themeColor="text1"/>
          <w:sz w:val="24"/>
          <w:lang w:val="en-US" w:eastAsia="zh-CN" w:bidi="ar"/>
          <w14:textFill>
            <w14:solidFill>
              <w14:schemeClr w14:val="tx1"/>
            </w14:solidFill>
          </w14:textFill>
        </w:rPr>
        <w:t>阶段，</w:t>
      </w:r>
      <w:r>
        <w:rPr>
          <w:rFonts w:hint="eastAsia" w:ascii="宋体" w:hAnsi="宋体" w:eastAsia="宋体" w:cs="宋体"/>
          <w:color w:val="000000" w:themeColor="text1"/>
          <w:sz w:val="24"/>
          <w:lang w:eastAsia="zh-CN" w:bidi="ar"/>
          <w14:textFill>
            <w14:solidFill>
              <w14:schemeClr w14:val="tx1"/>
            </w14:solidFill>
          </w14:textFill>
        </w:rPr>
        <w:t xml:space="preserve">在项目实施过程中进行碳排放监测与核算，在项目竣工后编制完整的施工建造阶段碳排放报告；运行阶段，需要在项目运行满一年后，按照年度编制项目碳排放报告。 </w:t>
      </w:r>
    </w:p>
    <w:p w14:paraId="706BD814">
      <w:pPr>
        <w:snapToGrid w:val="0"/>
        <w:spacing w:line="360" w:lineRule="auto"/>
        <w:ind w:firstLine="480" w:firstLineChars="200"/>
        <w:rPr>
          <w:rFonts w:hint="eastAsia" w:ascii="宋体" w:hAnsi="宋体" w:eastAsia="宋体" w:cs="宋体"/>
          <w:color w:val="000000" w:themeColor="text1"/>
          <w:sz w:val="24"/>
          <w:lang w:eastAsia="zh-CN" w:bidi="ar"/>
          <w14:textFill>
            <w14:solidFill>
              <w14:schemeClr w14:val="tx1"/>
            </w14:solidFill>
          </w14:textFill>
        </w:rPr>
      </w:pPr>
      <w:r>
        <w:rPr>
          <w:rFonts w:hint="eastAsia" w:ascii="宋体" w:hAnsi="宋体" w:eastAsia="宋体" w:cs="宋体"/>
          <w:color w:val="000000" w:themeColor="text1"/>
          <w:sz w:val="24"/>
          <w:lang w:eastAsia="zh-CN" w:bidi="ar"/>
          <w14:textFill>
            <w14:solidFill>
              <w14:schemeClr w14:val="tx1"/>
            </w14:solidFill>
          </w14:textFill>
        </w:rPr>
        <w:t>考量内容：项目碳排放报告。</w:t>
      </w:r>
    </w:p>
    <w:p w14:paraId="672D528C">
      <w:pPr>
        <w:snapToGrid w:val="0"/>
        <w:spacing w:line="360" w:lineRule="auto"/>
        <w:ind w:firstLine="480" w:firstLineChars="200"/>
        <w:rPr>
          <w:rFonts w:hint="eastAsia" w:ascii="宋体" w:hAnsi="宋体" w:eastAsia="宋体" w:cs="宋体"/>
          <w:color w:val="000000" w:themeColor="text1"/>
          <w:sz w:val="24"/>
          <w:lang w:eastAsia="zh-CN" w:bidi="ar"/>
          <w14:textFill>
            <w14:solidFill>
              <w14:schemeClr w14:val="tx1"/>
            </w14:solidFill>
          </w14:textFill>
        </w:rPr>
      </w:pPr>
    </w:p>
    <w:p w14:paraId="4854F0D0">
      <w:pPr>
        <w:snapToGrid w:val="0"/>
        <w:spacing w:line="360" w:lineRule="auto"/>
        <w:jc w:val="center"/>
        <w:outlineLvl w:val="1"/>
        <w:rPr>
          <w:rFonts w:ascii="黑体" w:hAnsi="黑体" w:eastAsia="黑体" w:cs="黑体"/>
          <w:b/>
          <w:bCs/>
          <w:color w:val="000000" w:themeColor="text1"/>
          <w:sz w:val="28"/>
          <w:szCs w:val="28"/>
          <w14:textFill>
            <w14:solidFill>
              <w14:schemeClr w14:val="tx1"/>
            </w14:solidFill>
          </w14:textFill>
        </w:rPr>
      </w:pPr>
      <w:bookmarkStart w:id="709" w:name="_Toc29813"/>
      <w:bookmarkStart w:id="710" w:name="_Toc20621"/>
      <w:bookmarkStart w:id="711" w:name="_Toc15583"/>
      <w:bookmarkStart w:id="712" w:name="_Toc4932"/>
      <w:bookmarkStart w:id="713" w:name="_Toc15085"/>
      <w:bookmarkStart w:id="714" w:name="_Toc12708"/>
      <w:bookmarkStart w:id="715" w:name="_Toc23553"/>
      <w:r>
        <w:rPr>
          <w:rFonts w:hint="eastAsia" w:ascii="黑体" w:hAnsi="黑体" w:eastAsia="黑体" w:cs="黑体"/>
          <w:b/>
          <w:bCs/>
          <w:color w:val="000000" w:themeColor="text1"/>
          <w:sz w:val="28"/>
          <w:szCs w:val="28"/>
          <w14:textFill>
            <w14:solidFill>
              <w14:schemeClr w14:val="tx1"/>
            </w14:solidFill>
          </w14:textFill>
        </w:rPr>
        <w:t>4.2 评分项</w:t>
      </w:r>
      <w:bookmarkEnd w:id="709"/>
      <w:bookmarkEnd w:id="710"/>
      <w:bookmarkEnd w:id="711"/>
      <w:bookmarkEnd w:id="712"/>
      <w:bookmarkEnd w:id="713"/>
      <w:bookmarkEnd w:id="714"/>
      <w:bookmarkEnd w:id="715"/>
    </w:p>
    <w:p w14:paraId="2B79B59A">
      <w:pPr>
        <w:snapToGrid w:val="0"/>
        <w:spacing w:line="360" w:lineRule="auto"/>
        <w:jc w:val="center"/>
        <w:outlineLvl w:val="2"/>
        <w:rPr>
          <w:rFonts w:ascii="仿宋" w:hAnsi="仿宋" w:eastAsia="仿宋" w:cs="仿宋"/>
          <w:color w:val="000000" w:themeColor="text1"/>
          <w:sz w:val="28"/>
          <w:szCs w:val="28"/>
          <w14:textFill>
            <w14:solidFill>
              <w14:schemeClr w14:val="tx1"/>
            </w14:solidFill>
          </w14:textFill>
        </w:rPr>
      </w:pPr>
      <w:bookmarkStart w:id="716" w:name="_Toc4706"/>
      <w:bookmarkStart w:id="717" w:name="_Toc31872"/>
      <w:bookmarkStart w:id="718" w:name="_Toc25518"/>
      <w:bookmarkStart w:id="719" w:name="_Toc20785"/>
      <w:bookmarkStart w:id="720" w:name="_Toc28007"/>
      <w:r>
        <w:rPr>
          <w:rFonts w:hint="eastAsia" w:ascii="仿宋" w:hAnsi="仿宋" w:eastAsia="仿宋" w:cs="仿宋"/>
          <w:color w:val="000000" w:themeColor="text1"/>
          <w:sz w:val="28"/>
          <w:szCs w:val="28"/>
          <w14:textFill>
            <w14:solidFill>
              <w14:schemeClr w14:val="tx1"/>
            </w14:solidFill>
          </w14:textFill>
        </w:rPr>
        <w:t>Ⅰ 污染防治</w:t>
      </w:r>
      <w:bookmarkEnd w:id="716"/>
      <w:bookmarkEnd w:id="717"/>
      <w:bookmarkEnd w:id="718"/>
      <w:bookmarkEnd w:id="719"/>
      <w:bookmarkEnd w:id="720"/>
    </w:p>
    <w:p w14:paraId="6AE6C60A">
      <w:pPr>
        <w:widowControl/>
        <w:snapToGrid w:val="0"/>
        <w:spacing w:line="360" w:lineRule="auto"/>
        <w:jc w:val="left"/>
        <w:rPr>
          <w:rFonts w:ascii="宋体" w:hAnsi="宋体" w:eastAsia="宋体" w:cs="宋体"/>
          <w:color w:val="000000" w:themeColor="text1"/>
          <w:kern w:val="0"/>
          <w:sz w:val="24"/>
          <w:lang w:bidi="ar"/>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4.2.1</w:t>
      </w:r>
      <w:r>
        <w:rPr>
          <w:rFonts w:hint="eastAsia" w:ascii="宋体" w:hAnsi="宋体" w:eastAsia="宋体" w:cs="宋体"/>
          <w:color w:val="000000" w:themeColor="text1"/>
          <w:kern w:val="0"/>
          <w:sz w:val="24"/>
          <w:lang w:bidi="ar"/>
          <w14:textFill>
            <w14:solidFill>
              <w14:schemeClr w14:val="tx1"/>
            </w14:solidFill>
          </w14:textFill>
        </w:rPr>
        <w:t>本条</w:t>
      </w:r>
      <w:r>
        <w:rPr>
          <w:rFonts w:hint="eastAsia" w:ascii="宋体" w:hAnsi="宋体" w:eastAsia="宋体" w:cs="宋体"/>
          <w:color w:val="000000" w:themeColor="text1"/>
          <w:kern w:val="0"/>
          <w:sz w:val="24"/>
          <w:lang w:val="en-US" w:eastAsia="zh-CN" w:bidi="ar"/>
          <w14:textFill>
            <w14:solidFill>
              <w14:schemeClr w14:val="tx1"/>
            </w14:solidFill>
          </w14:textFill>
        </w:rPr>
        <w:t>款</w:t>
      </w:r>
      <w:r>
        <w:rPr>
          <w:rFonts w:hint="eastAsia" w:ascii="宋体" w:hAnsi="宋体" w:eastAsia="宋体" w:cs="宋体"/>
          <w:color w:val="000000" w:themeColor="text1"/>
          <w:kern w:val="0"/>
          <w:sz w:val="24"/>
          <w:lang w:bidi="ar"/>
          <w14:textFill>
            <w14:solidFill>
              <w14:schemeClr w14:val="tx1"/>
            </w14:solidFill>
          </w14:textFill>
        </w:rPr>
        <w:t>适用于基础设施项目</w:t>
      </w:r>
      <w:r>
        <w:rPr>
          <w:rFonts w:hint="eastAsia" w:ascii="宋体" w:hAnsi="宋体" w:eastAsia="宋体" w:cs="宋体"/>
          <w:color w:val="000000" w:themeColor="text1"/>
          <w:kern w:val="0"/>
          <w:sz w:val="24"/>
          <w:lang w:val="en-US" w:eastAsia="zh-CN" w:bidi="ar"/>
          <w14:textFill>
            <w14:solidFill>
              <w14:schemeClr w14:val="tx1"/>
            </w14:solidFill>
          </w14:textFill>
        </w:rPr>
        <w:t>规划</w:t>
      </w:r>
      <w:r>
        <w:rPr>
          <w:rFonts w:hint="eastAsia" w:ascii="宋体" w:hAnsi="宋体" w:eastAsia="宋体" w:cs="宋体"/>
          <w:color w:val="000000" w:themeColor="text1"/>
          <w:kern w:val="0"/>
          <w:sz w:val="24"/>
          <w:lang w:bidi="ar"/>
          <w14:textFill>
            <w14:solidFill>
              <w14:schemeClr w14:val="tx1"/>
            </w14:solidFill>
          </w14:textFill>
        </w:rPr>
        <w:t>设计</w:t>
      </w:r>
      <w:r>
        <w:rPr>
          <w:rFonts w:hint="eastAsia" w:ascii="宋体" w:hAnsi="宋体" w:eastAsia="宋体" w:cs="宋体"/>
          <w:color w:val="000000" w:themeColor="text1"/>
          <w:kern w:val="0"/>
          <w:sz w:val="24"/>
          <w:lang w:val="en-US" w:eastAsia="zh-CN" w:bidi="ar"/>
          <w14:textFill>
            <w14:solidFill>
              <w14:schemeClr w14:val="tx1"/>
            </w14:solidFill>
          </w14:textFill>
        </w:rPr>
        <w:t>阶段</w:t>
      </w:r>
      <w:r>
        <w:rPr>
          <w:rFonts w:hint="eastAsia" w:ascii="宋体" w:hAnsi="宋体" w:eastAsia="宋体" w:cs="宋体"/>
          <w:color w:val="000000" w:themeColor="text1"/>
          <w:kern w:val="0"/>
          <w:sz w:val="24"/>
          <w:lang w:bidi="ar"/>
          <w14:textFill>
            <w14:solidFill>
              <w14:schemeClr w14:val="tx1"/>
            </w14:solidFill>
          </w14:textFill>
        </w:rPr>
        <w:t>、施工</w:t>
      </w:r>
      <w:r>
        <w:rPr>
          <w:rFonts w:hint="eastAsia" w:ascii="宋体" w:hAnsi="宋体" w:eastAsia="宋体" w:cs="宋体"/>
          <w:color w:val="000000" w:themeColor="text1"/>
          <w:kern w:val="0"/>
          <w:sz w:val="24"/>
          <w:lang w:val="en-US" w:eastAsia="zh-CN" w:bidi="ar"/>
          <w14:textFill>
            <w14:solidFill>
              <w14:schemeClr w14:val="tx1"/>
            </w14:solidFill>
          </w14:textFill>
        </w:rPr>
        <w:t>建造阶段</w:t>
      </w:r>
      <w:r>
        <w:rPr>
          <w:rFonts w:hint="eastAsia" w:ascii="宋体" w:hAnsi="宋体" w:eastAsia="宋体" w:cs="宋体"/>
          <w:color w:val="000000" w:themeColor="text1"/>
          <w:kern w:val="0"/>
          <w:sz w:val="24"/>
          <w:lang w:bidi="ar"/>
          <w14:textFill>
            <w14:solidFill>
              <w14:schemeClr w14:val="tx1"/>
            </w14:solidFill>
          </w14:textFill>
        </w:rPr>
        <w:t>、运行</w:t>
      </w:r>
      <w:r>
        <w:rPr>
          <w:rFonts w:hint="eastAsia" w:ascii="宋体" w:hAnsi="宋体" w:eastAsia="宋体" w:cs="宋体"/>
          <w:color w:val="000000" w:themeColor="text1"/>
          <w:kern w:val="0"/>
          <w:sz w:val="24"/>
          <w:lang w:val="en-US" w:eastAsia="zh-CN" w:bidi="ar"/>
          <w14:textFill>
            <w14:solidFill>
              <w14:schemeClr w14:val="tx1"/>
            </w14:solidFill>
          </w14:textFill>
        </w:rPr>
        <w:t>阶段</w:t>
      </w:r>
      <w:r>
        <w:rPr>
          <w:rFonts w:hint="eastAsia" w:ascii="宋体" w:hAnsi="宋体" w:eastAsia="宋体" w:cs="宋体"/>
          <w:color w:val="000000" w:themeColor="text1"/>
          <w:kern w:val="0"/>
          <w:sz w:val="24"/>
          <w:lang w:bidi="ar"/>
          <w14:textFill>
            <w14:solidFill>
              <w14:schemeClr w14:val="tx1"/>
            </w14:solidFill>
          </w14:textFill>
        </w:rPr>
        <w:t>的评价</w:t>
      </w:r>
      <w:r>
        <w:rPr>
          <w:rFonts w:hint="eastAsia" w:ascii="宋体" w:hAnsi="宋体" w:eastAsia="宋体" w:cs="宋体"/>
          <w:color w:val="000000" w:themeColor="text1"/>
          <w:kern w:val="0"/>
          <w:sz w:val="24"/>
          <w:lang w:eastAsia="zh-CN" w:bidi="ar"/>
          <w14:textFill>
            <w14:solidFill>
              <w14:schemeClr w14:val="tx1"/>
            </w14:solidFill>
          </w14:textFill>
        </w:rPr>
        <w:t>。</w:t>
      </w:r>
      <w:r>
        <w:rPr>
          <w:rFonts w:hint="eastAsia" w:ascii="宋体" w:hAnsi="宋体" w:eastAsia="宋体" w:cs="宋体"/>
          <w:color w:val="000000" w:themeColor="text1"/>
          <w:kern w:val="0"/>
          <w:sz w:val="24"/>
          <w:lang w:bidi="ar"/>
          <w14:textFill>
            <w14:solidFill>
              <w14:schemeClr w14:val="tx1"/>
            </w14:solidFill>
          </w14:textFill>
        </w:rPr>
        <w:t xml:space="preserve"> </w:t>
      </w:r>
    </w:p>
    <w:p w14:paraId="2BD99191">
      <w:pPr>
        <w:keepNext w:val="0"/>
        <w:keepLines w:val="0"/>
        <w:widowControl/>
        <w:suppressLineNumbers w:val="0"/>
        <w:shd w:val="clear" w:fill="FFFFFF"/>
        <w:snapToGrid w:val="0"/>
        <w:spacing w:before="0" w:beforeAutospacing="0" w:after="180" w:afterAutospacing="0" w:line="360" w:lineRule="auto"/>
        <w:ind w:left="0" w:right="0" w:firstLine="480" w:firstLineChars="200"/>
        <w:rPr>
          <w:rFonts w:hint="default" w:ascii="宋体" w:hAnsi="宋体" w:cs="宋体" w:eastAsiaTheme="minorEastAsia"/>
          <w:i w:val="0"/>
          <w:iCs w:val="0"/>
          <w:caps w:val="0"/>
          <w:color w:val="000000" w:themeColor="text1"/>
          <w:spacing w:val="0"/>
          <w:kern w:val="0"/>
          <w:sz w:val="24"/>
          <w:szCs w:val="24"/>
          <w:shd w:val="clear" w:fill="FFFFFF"/>
          <w:lang w:val="en-US" w:eastAsia="zh-CN" w:bidi="ar"/>
          <w14:textFill>
            <w14:solidFill>
              <w14:schemeClr w14:val="tx1"/>
            </w14:solidFill>
          </w14:textFill>
        </w:rPr>
      </w:pPr>
      <m:oMathPara>
        <m:oMath>
          <m:r>
            <m:rPr>
              <m:sty m:val="p"/>
            </m:rPr>
            <w:rPr>
              <w:rFonts w:hint="eastAsia" w:ascii="Cambria Math" w:hAnsi="Cambria Math" w:cs="宋体"/>
              <w:caps w:val="0"/>
              <w:color w:val="000000" w:themeColor="text1"/>
              <w:spacing w:val="0"/>
              <w:kern w:val="0"/>
              <w:sz w:val="24"/>
              <w:szCs w:val="24"/>
              <w:shd w:val="clear" w:fill="FFFFFF"/>
              <w:lang w:val="en-US" w:eastAsia="zh-CN" w:bidi="ar"/>
              <w14:textFill>
                <w14:solidFill>
                  <w14:schemeClr w14:val="tx1"/>
                </w14:solidFill>
              </w14:textFill>
            </w:rPr>
            <m:t>废水排放强度</m:t>
          </m:r>
          <m:r>
            <m:rPr/>
            <w:rPr>
              <w:rFonts w:ascii="Cambria Math" w:hAnsi="Cambria Math" w:cs="宋体"/>
              <w:caps w:val="0"/>
              <w:color w:val="000000" w:themeColor="text1"/>
              <w:spacing w:val="0"/>
              <w:kern w:val="0"/>
              <w:sz w:val="24"/>
              <w:szCs w:val="24"/>
              <w:shd w:val="clear" w:fill="FFFFFF"/>
              <w:lang w:bidi="ar"/>
              <w14:textFill>
                <w14:solidFill>
                  <w14:schemeClr w14:val="tx1"/>
                </w14:solidFill>
              </w14:textFill>
            </w:rPr>
            <m:t>=</m:t>
          </m:r>
          <m:f>
            <m:fPr>
              <m:ctrlPr>
                <w:rPr>
                  <w:rFonts w:ascii="Cambria Math" w:hAnsi="Cambria Math" w:cs="宋体"/>
                  <w:i w:val="0"/>
                  <w:iCs/>
                  <w:caps w:val="0"/>
                  <w:color w:val="000000" w:themeColor="text1"/>
                  <w:spacing w:val="0"/>
                  <w:kern w:val="0"/>
                  <w:sz w:val="24"/>
                  <w:szCs w:val="24"/>
                  <w:shd w:val="clear" w:fill="FFFFFF"/>
                  <w:lang w:bidi="ar"/>
                  <w14:textFill>
                    <w14:solidFill>
                      <w14:schemeClr w14:val="tx1"/>
                    </w14:solidFill>
                  </w14:textFill>
                </w:rPr>
              </m:ctrlPr>
            </m:fPr>
            <m:num>
              <m:r>
                <m:rPr>
                  <m:sty m:val="p"/>
                </m:rPr>
                <w:rPr>
                  <w:rFonts w:hint="eastAsia" w:ascii="Cambria Math" w:hAnsi="Cambria Math" w:cs="宋体"/>
                  <w:caps w:val="0"/>
                  <w:color w:val="000000" w:themeColor="text1"/>
                  <w:spacing w:val="0"/>
                  <w:kern w:val="0"/>
                  <w:sz w:val="24"/>
                  <w:szCs w:val="24"/>
                  <w:shd w:val="clear" w:fill="FFFFFF"/>
                  <w:lang w:val="en-US" w:eastAsia="zh-CN" w:bidi="ar"/>
                  <w14:textFill>
                    <w14:solidFill>
                      <w14:schemeClr w14:val="tx1"/>
                    </w14:solidFill>
                  </w14:textFill>
                </w:rPr>
                <m:t>废水排放总量</m:t>
              </m:r>
              <m:ctrlPr>
                <w:rPr>
                  <w:rFonts w:ascii="Cambria Math" w:hAnsi="Cambria Math" w:cs="宋体"/>
                  <w:i w:val="0"/>
                  <w:iCs/>
                  <w:caps w:val="0"/>
                  <w:color w:val="000000" w:themeColor="text1"/>
                  <w:spacing w:val="0"/>
                  <w:kern w:val="0"/>
                  <w:sz w:val="24"/>
                  <w:szCs w:val="24"/>
                  <w:shd w:val="clear" w:fill="FFFFFF"/>
                  <w:lang w:bidi="ar"/>
                  <w14:textFill>
                    <w14:solidFill>
                      <w14:schemeClr w14:val="tx1"/>
                    </w14:solidFill>
                  </w14:textFill>
                </w:rPr>
              </m:ctrlPr>
            </m:num>
            <m:den>
              <m:r>
                <m:rPr>
                  <m:sty m:val="p"/>
                </m:rPr>
                <w:rPr>
                  <w:rFonts w:hint="eastAsia" w:ascii="Cambria Math" w:hAnsi="Cambria Math" w:cs="宋体"/>
                  <w:caps w:val="0"/>
                  <w:color w:val="000000" w:themeColor="text1"/>
                  <w:spacing w:val="0"/>
                  <w:kern w:val="0"/>
                  <w:sz w:val="24"/>
                  <w:szCs w:val="24"/>
                  <w:shd w:val="clear" w:fill="FFFFFF"/>
                  <w:lang w:val="en-US" w:eastAsia="zh-CN" w:bidi="ar"/>
                  <w14:textFill>
                    <w14:solidFill>
                      <w14:schemeClr w14:val="tx1"/>
                    </w14:solidFill>
                  </w14:textFill>
                </w:rPr>
                <m:t>总面积</m:t>
              </m:r>
              <m:ctrlPr>
                <w:rPr>
                  <w:rFonts w:ascii="Cambria Math" w:hAnsi="Cambria Math" w:cs="宋体"/>
                  <w:i w:val="0"/>
                  <w:iCs/>
                  <w:caps w:val="0"/>
                  <w:color w:val="000000" w:themeColor="text1"/>
                  <w:spacing w:val="0"/>
                  <w:kern w:val="0"/>
                  <w:sz w:val="24"/>
                  <w:szCs w:val="24"/>
                  <w:shd w:val="clear" w:fill="FFFFFF"/>
                  <w:lang w:bidi="ar"/>
                  <w14:textFill>
                    <w14:solidFill>
                      <w14:schemeClr w14:val="tx1"/>
                    </w14:solidFill>
                  </w14:textFill>
                </w:rPr>
              </m:ctrlPr>
            </m:den>
          </m:f>
        </m:oMath>
      </m:oMathPara>
    </w:p>
    <w:p w14:paraId="118BA61D">
      <w:pPr>
        <w:keepNext w:val="0"/>
        <w:keepLines w:val="0"/>
        <w:widowControl/>
        <w:suppressLineNumbers w:val="0"/>
        <w:shd w:val="clear" w:fill="FFFFFF"/>
        <w:snapToGrid w:val="0"/>
        <w:spacing w:before="0" w:beforeAutospacing="0" w:after="180" w:afterAutospacing="0" w:line="360" w:lineRule="auto"/>
        <w:ind w:left="0" w:right="0" w:firstLine="0" w:firstLineChars="0"/>
        <w:rPr>
          <w:rFonts w:hint="eastAsia" w:ascii="宋体" w:hAnsi="宋体" w:eastAsia="宋体" w:cs="宋体"/>
          <w:i w:val="0"/>
          <w:iCs w:val="0"/>
          <w:caps w:val="0"/>
          <w:color w:val="000000" w:themeColor="text1"/>
          <w:spacing w:val="0"/>
          <w:kern w:val="0"/>
          <w:sz w:val="24"/>
          <w:szCs w:val="24"/>
          <w:shd w:val="clear" w:fill="FFFFFF"/>
          <w:lang w:bidi="ar"/>
          <w14:textFill>
            <w14:solidFill>
              <w14:schemeClr w14:val="tx1"/>
            </w14:solidFill>
          </w14:textFill>
        </w:rPr>
      </w:pPr>
      <w:r>
        <w:rPr>
          <w:rFonts w:hint="eastAsia" w:ascii="宋体" w:hAnsi="宋体" w:eastAsia="宋体" w:cs="宋体"/>
          <w:i w:val="0"/>
          <w:iCs w:val="0"/>
          <w:caps w:val="0"/>
          <w:color w:val="000000" w:themeColor="text1"/>
          <w:spacing w:val="0"/>
          <w:kern w:val="0"/>
          <w:sz w:val="24"/>
          <w:szCs w:val="24"/>
          <w:shd w:val="clear" w:fill="FFFFFF"/>
          <w:lang w:bidi="ar"/>
          <w14:textFill>
            <w14:solidFill>
              <w14:schemeClr w14:val="tx1"/>
            </w14:solidFill>
          </w14:textFill>
        </w:rPr>
        <w:t>其中：</w:t>
      </w:r>
    </w:p>
    <w:p w14:paraId="38FEA68E">
      <w:pPr>
        <w:keepNext w:val="0"/>
        <w:keepLines w:val="0"/>
        <w:widowControl/>
        <w:numPr>
          <w:ilvl w:val="-1"/>
          <w:numId w:val="0"/>
        </w:numPr>
        <w:suppressLineNumbers w:val="0"/>
        <w:snapToGrid w:val="0"/>
        <w:spacing w:before="0" w:beforeAutospacing="0" w:after="0" w:afterAutospacing="0" w:line="360" w:lineRule="auto"/>
        <w:ind w:left="0" w:firstLine="480" w:firstLineChars="200"/>
        <w:rPr>
          <w:rFonts w:hint="eastAsia" w:ascii="宋体" w:hAnsi="宋体" w:eastAsia="宋体" w:cs="宋体"/>
          <w:color w:val="000000" w:themeColor="text1"/>
          <w:spacing w:val="0"/>
          <w:kern w:val="0"/>
          <w:sz w:val="24"/>
          <w:lang w:bidi="ar"/>
          <w14:textFill>
            <w14:solidFill>
              <w14:schemeClr w14:val="tx1"/>
            </w14:solidFill>
          </w14:textFill>
        </w:rPr>
      </w:pPr>
      <w:r>
        <w:rPr>
          <w:rFonts w:hint="eastAsia" w:ascii="宋体" w:hAnsi="宋体" w:eastAsia="宋体" w:cs="宋体"/>
          <w:i w:val="0"/>
          <w:iCs w:val="0"/>
          <w:caps w:val="0"/>
          <w:color w:val="000000" w:themeColor="text1"/>
          <w:spacing w:val="0"/>
          <w:kern w:val="0"/>
          <w:sz w:val="24"/>
          <w:szCs w:val="24"/>
          <w:shd w:val="clear" w:fill="auto"/>
          <w:lang w:bidi="ar"/>
          <w14:textFill>
            <w14:solidFill>
              <w14:schemeClr w14:val="tx1"/>
            </w14:solidFill>
          </w14:textFill>
        </w:rPr>
        <w:t>废水排放总量：在一定时间内排放的废水总体积，通常以立方米（m³）为单位。</w:t>
      </w:r>
    </w:p>
    <w:p w14:paraId="2E5A5688">
      <w:pPr>
        <w:keepNext w:val="0"/>
        <w:keepLines w:val="0"/>
        <w:widowControl/>
        <w:numPr>
          <w:ilvl w:val="-1"/>
          <w:numId w:val="0"/>
        </w:numPr>
        <w:suppressLineNumbers w:val="0"/>
        <w:snapToGrid w:val="0"/>
        <w:spacing w:before="0" w:beforeAutospacing="0" w:after="0" w:afterAutospacing="0" w:line="360" w:lineRule="auto"/>
        <w:ind w:left="0" w:firstLine="480" w:firstLineChars="200"/>
        <w:rPr>
          <w:rFonts w:hint="eastAsia" w:ascii="宋体" w:hAnsi="宋体" w:eastAsia="宋体" w:cs="宋体"/>
          <w:color w:val="000000" w:themeColor="text1"/>
          <w:spacing w:val="0"/>
          <w:kern w:val="0"/>
          <w:sz w:val="24"/>
          <w:lang w:bidi="ar"/>
          <w14:textFill>
            <w14:solidFill>
              <w14:schemeClr w14:val="tx1"/>
            </w14:solidFill>
          </w14:textFill>
        </w:rPr>
      </w:pPr>
      <w:r>
        <w:rPr>
          <w:rFonts w:hint="eastAsia" w:ascii="宋体" w:hAnsi="宋体" w:eastAsia="宋体" w:cs="宋体"/>
          <w:i w:val="0"/>
          <w:iCs w:val="0"/>
          <w:caps w:val="0"/>
          <w:color w:val="000000" w:themeColor="text1"/>
          <w:spacing w:val="0"/>
          <w:kern w:val="0"/>
          <w:sz w:val="24"/>
          <w:szCs w:val="24"/>
          <w:shd w:val="clear" w:fill="auto"/>
          <w:lang w:bidi="ar"/>
          <w14:textFill>
            <w14:solidFill>
              <w14:schemeClr w14:val="tx1"/>
            </w14:solidFill>
          </w14:textFill>
        </w:rPr>
        <w:t>面积：如果废水排放与土地使用相关，面积是土地面积，</w:t>
      </w:r>
      <w:r>
        <w:rPr>
          <w:rFonts w:hint="eastAsia" w:ascii="宋体" w:hAnsi="宋体" w:eastAsia="宋体" w:cs="宋体"/>
          <w:i w:val="0"/>
          <w:iCs w:val="0"/>
          <w:caps w:val="0"/>
          <w:color w:val="000000" w:themeColor="text1"/>
          <w:spacing w:val="0"/>
          <w:kern w:val="0"/>
          <w:sz w:val="24"/>
          <w:szCs w:val="24"/>
          <w:shd w:val="clear" w:fill="auto"/>
          <w:lang w:val="en-US" w:eastAsia="zh-CN" w:bidi="ar"/>
          <w14:textFill>
            <w14:solidFill>
              <w14:schemeClr w14:val="tx1"/>
            </w14:solidFill>
          </w14:textFill>
        </w:rPr>
        <w:t>单位</w:t>
      </w:r>
      <w:r>
        <w:rPr>
          <w:rFonts w:hint="eastAsia" w:ascii="宋体" w:hAnsi="宋体" w:eastAsia="宋体" w:cs="宋体"/>
          <w:i w:val="0"/>
          <w:iCs w:val="0"/>
          <w:caps w:val="0"/>
          <w:color w:val="000000" w:themeColor="text1"/>
          <w:spacing w:val="0"/>
          <w:kern w:val="0"/>
          <w:sz w:val="24"/>
          <w:szCs w:val="24"/>
          <w:shd w:val="clear" w:fill="auto"/>
          <w:lang w:bidi="ar"/>
          <w14:textFill>
            <w14:solidFill>
              <w14:schemeClr w14:val="tx1"/>
            </w14:solidFill>
          </w14:textFill>
        </w:rPr>
        <w:t>平方米（m²）。</w:t>
      </w:r>
    </w:p>
    <w:p w14:paraId="0D423B5F">
      <w:pPr>
        <w:keepNext w:val="0"/>
        <w:keepLines w:val="0"/>
        <w:widowControl/>
        <w:numPr>
          <w:ilvl w:val="0"/>
          <w:numId w:val="0"/>
        </w:numPr>
        <w:suppressLineNumbers w:val="0"/>
        <w:shd w:val="clear" w:fill="FFFFFF"/>
        <w:snapToGrid w:val="0"/>
        <w:spacing w:before="0" w:beforeAutospacing="0" w:after="0" w:afterAutospacing="0" w:line="360" w:lineRule="auto"/>
        <w:ind w:left="0" w:right="0" w:firstLine="480" w:firstLineChars="200"/>
        <w:rPr>
          <w:rFonts w:hint="default" w:ascii="宋体" w:hAnsi="宋体" w:cs="宋体" w:eastAsiaTheme="minorEastAsia"/>
          <w:i w:val="0"/>
          <w:iCs/>
          <w:caps w:val="0"/>
          <w:color w:val="000000" w:themeColor="text1"/>
          <w:spacing w:val="0"/>
          <w:kern w:val="0"/>
          <w:sz w:val="24"/>
          <w:szCs w:val="24"/>
          <w:highlight w:val="none"/>
          <w:shd w:val="clear" w:fill="FFFFFF"/>
          <w:lang w:val="en-US" w:eastAsia="zh-CN" w:bidi="ar"/>
          <w14:textFill>
            <w14:solidFill>
              <w14:schemeClr w14:val="tx1"/>
            </w14:solidFill>
          </w14:textFill>
        </w:rPr>
      </w:pPr>
      <m:oMathPara>
        <m:oMath>
          <m:r>
            <m:rPr>
              <m:sty m:val="p"/>
            </m:rPr>
            <w:rPr>
              <w:rFonts w:hint="eastAsia" w:ascii="Cambria Math" w:hAnsi="Cambria Math" w:cs="宋体"/>
              <w:caps w:val="0"/>
              <w:color w:val="000000" w:themeColor="text1"/>
              <w:spacing w:val="0"/>
              <w:kern w:val="0"/>
              <w:sz w:val="24"/>
              <w:szCs w:val="24"/>
              <w:highlight w:val="none"/>
              <w:shd w:val="clear" w:fill="FFFFFF"/>
              <w:lang w:val="en-US" w:eastAsia="zh-CN" w:bidi="ar"/>
              <w14:textFill>
                <w14:solidFill>
                  <w14:schemeClr w14:val="tx1"/>
                </w14:solidFill>
              </w14:textFill>
            </w:rPr>
            <m:t>废水</m:t>
          </m:r>
          <m:r>
            <m:rPr>
              <m:sty m:val="p"/>
            </m:rPr>
            <w:rPr>
              <w:rFonts w:hint="default" w:ascii="Cambria Math" w:hAnsi="Cambria Math" w:cs="宋体"/>
              <w:caps w:val="0"/>
              <w:color w:val="000000" w:themeColor="text1"/>
              <w:spacing w:val="0"/>
              <w:kern w:val="0"/>
              <w:sz w:val="24"/>
              <w:szCs w:val="24"/>
              <w:highlight w:val="none"/>
              <w:shd w:val="clear" w:fill="FFFFFF"/>
              <w:lang w:val="en-US" w:eastAsia="zh-CN" w:bidi="ar"/>
              <w14:textFill>
                <w14:solidFill>
                  <w14:schemeClr w14:val="tx1"/>
                </w14:solidFill>
              </w14:textFill>
            </w:rPr>
            <m:t>回收</m:t>
          </m:r>
          <m:r>
            <m:rPr>
              <m:sty m:val="p"/>
            </m:rPr>
            <w:rPr>
              <w:rFonts w:hint="eastAsia" w:ascii="Cambria Math" w:hAnsi="Cambria Math" w:cs="宋体"/>
              <w:caps w:val="0"/>
              <w:color w:val="000000" w:themeColor="text1"/>
              <w:spacing w:val="0"/>
              <w:kern w:val="0"/>
              <w:sz w:val="24"/>
              <w:szCs w:val="24"/>
              <w:highlight w:val="none"/>
              <w:shd w:val="clear" w:fill="FFFFFF"/>
              <w:lang w:val="en-US" w:eastAsia="zh-CN" w:bidi="ar"/>
              <w14:textFill>
                <w14:solidFill>
                  <w14:schemeClr w14:val="tx1"/>
                </w14:solidFill>
              </w14:textFill>
            </w:rPr>
            <m:t>利用率（</m:t>
          </m:r>
          <m:r>
            <m:rPr>
              <m:sty m:val="p"/>
            </m:rPr>
            <w:rPr>
              <w:rFonts w:hint="default" w:ascii="Cambria Math" w:hAnsi="Cambria Math" w:cs="宋体"/>
              <w:caps w:val="0"/>
              <w:color w:val="000000" w:themeColor="text1"/>
              <w:spacing w:val="0"/>
              <w:kern w:val="0"/>
              <w:sz w:val="24"/>
              <w:szCs w:val="24"/>
              <w:highlight w:val="none"/>
              <w:shd w:val="clear" w:fill="FFFFFF"/>
              <w:lang w:val="en-US" w:eastAsia="zh-CN" w:bidi="ar"/>
              <w14:textFill>
                <w14:solidFill>
                  <w14:schemeClr w14:val="tx1"/>
                </w14:solidFill>
              </w14:textFill>
            </w:rPr>
            <m:t>%</m:t>
          </m:r>
          <m:r>
            <m:rPr>
              <m:sty m:val="p"/>
            </m:rPr>
            <w:rPr>
              <w:rFonts w:hint="eastAsia" w:ascii="Cambria Math" w:hAnsi="Cambria Math" w:cs="宋体"/>
              <w:caps w:val="0"/>
              <w:color w:val="000000" w:themeColor="text1"/>
              <w:spacing w:val="0"/>
              <w:kern w:val="0"/>
              <w:sz w:val="24"/>
              <w:szCs w:val="24"/>
              <w:highlight w:val="none"/>
              <w:shd w:val="clear" w:fill="FFFFFF"/>
              <w:lang w:val="en-US" w:eastAsia="zh-CN" w:bidi="ar"/>
              <w14:textFill>
                <w14:solidFill>
                  <w14:schemeClr w14:val="tx1"/>
                </w14:solidFill>
              </w14:textFill>
            </w:rPr>
            <m:t>）</m:t>
          </m:r>
          <m:r>
            <m:rPr>
              <m:sty m:val="p"/>
            </m:rPr>
            <w:rPr>
              <w:rFonts w:ascii="Cambria Math" w:hAnsi="Cambria Math" w:cs="宋体"/>
              <w:caps w:val="0"/>
              <w:color w:val="000000" w:themeColor="text1"/>
              <w:spacing w:val="0"/>
              <w:kern w:val="0"/>
              <w:sz w:val="24"/>
              <w:szCs w:val="24"/>
              <w:highlight w:val="none"/>
              <w:shd w:val="clear" w:fill="FFFFFF"/>
              <w:lang w:bidi="ar"/>
              <w14:textFill>
                <w14:solidFill>
                  <w14:schemeClr w14:val="tx1"/>
                </w14:solidFill>
              </w14:textFill>
            </w:rPr>
            <m:t>=</m:t>
          </m:r>
          <m:f>
            <m:fPr>
              <m:ctrlPr>
                <w:rPr>
                  <w:rFonts w:ascii="Cambria Math" w:hAnsi="Cambria Math" w:cs="宋体"/>
                  <w:i w:val="0"/>
                  <w:iCs/>
                  <w:caps w:val="0"/>
                  <w:color w:val="000000" w:themeColor="text1"/>
                  <w:spacing w:val="0"/>
                  <w:kern w:val="0"/>
                  <w:sz w:val="24"/>
                  <w:szCs w:val="24"/>
                  <w:highlight w:val="none"/>
                  <w:shd w:val="clear" w:fill="FFFFFF"/>
                  <w:lang w:bidi="ar"/>
                  <w14:textFill>
                    <w14:solidFill>
                      <w14:schemeClr w14:val="tx1"/>
                    </w14:solidFill>
                  </w14:textFill>
                </w:rPr>
              </m:ctrlPr>
            </m:fPr>
            <m:num>
              <m:r>
                <m:rPr>
                  <m:sty m:val="p"/>
                </m:rPr>
                <w:rPr>
                  <w:rFonts w:hint="eastAsia" w:ascii="Cambria Math" w:hAnsi="Cambria Math" w:cs="宋体"/>
                  <w:caps w:val="0"/>
                  <w:color w:val="000000" w:themeColor="text1"/>
                  <w:spacing w:val="0"/>
                  <w:kern w:val="0"/>
                  <w:sz w:val="24"/>
                  <w:szCs w:val="24"/>
                  <w:highlight w:val="none"/>
                  <w:shd w:val="clear" w:fill="FFFFFF"/>
                  <w:lang w:val="en-US" w:eastAsia="zh-CN" w:bidi="ar"/>
                  <w14:textFill>
                    <w14:solidFill>
                      <w14:schemeClr w14:val="tx1"/>
                    </w14:solidFill>
                  </w14:textFill>
                </w:rPr>
                <m:t>废水回收量</m:t>
              </m:r>
              <m:ctrlPr>
                <w:rPr>
                  <w:rFonts w:ascii="Cambria Math" w:hAnsi="Cambria Math" w:cs="宋体"/>
                  <w:i w:val="0"/>
                  <w:iCs/>
                  <w:caps w:val="0"/>
                  <w:color w:val="000000" w:themeColor="text1"/>
                  <w:spacing w:val="0"/>
                  <w:kern w:val="0"/>
                  <w:sz w:val="24"/>
                  <w:szCs w:val="24"/>
                  <w:highlight w:val="none"/>
                  <w:shd w:val="clear" w:fill="FFFFFF"/>
                  <w:lang w:bidi="ar"/>
                  <w14:textFill>
                    <w14:solidFill>
                      <w14:schemeClr w14:val="tx1"/>
                    </w14:solidFill>
                  </w14:textFill>
                </w:rPr>
              </m:ctrlPr>
            </m:num>
            <m:den>
              <m:r>
                <m:rPr>
                  <m:sty m:val="p"/>
                </m:rPr>
                <w:rPr>
                  <w:rFonts w:hint="eastAsia" w:ascii="Cambria Math" w:hAnsi="Cambria Math" w:cs="宋体"/>
                  <w:caps w:val="0"/>
                  <w:color w:val="000000" w:themeColor="text1"/>
                  <w:spacing w:val="0"/>
                  <w:kern w:val="0"/>
                  <w:sz w:val="24"/>
                  <w:szCs w:val="24"/>
                  <w:highlight w:val="none"/>
                  <w:shd w:val="clear" w:fill="FFFFFF"/>
                  <w:lang w:val="en-US" w:eastAsia="zh-CN" w:bidi="ar"/>
                  <w14:textFill>
                    <w14:solidFill>
                      <w14:schemeClr w14:val="tx1"/>
                    </w14:solidFill>
                  </w14:textFill>
                </w:rPr>
                <m:t>废水总产生量</m:t>
              </m:r>
              <m:ctrlPr>
                <w:rPr>
                  <w:rFonts w:ascii="Cambria Math" w:hAnsi="Cambria Math" w:cs="宋体"/>
                  <w:i w:val="0"/>
                  <w:iCs/>
                  <w:caps w:val="0"/>
                  <w:color w:val="000000" w:themeColor="text1"/>
                  <w:spacing w:val="0"/>
                  <w:kern w:val="0"/>
                  <w:sz w:val="24"/>
                  <w:szCs w:val="24"/>
                  <w:highlight w:val="none"/>
                  <w:shd w:val="clear" w:fill="FFFFFF"/>
                  <w:lang w:bidi="ar"/>
                  <w14:textFill>
                    <w14:solidFill>
                      <w14:schemeClr w14:val="tx1"/>
                    </w14:solidFill>
                  </w14:textFill>
                </w:rPr>
              </m:ctrlPr>
            </m:den>
          </m:f>
          <m:r>
            <m:rPr>
              <m:sty m:val="p"/>
            </m:rPr>
            <w:rPr>
              <w:rFonts w:hint="eastAsia" w:ascii="Cambria Math" w:hAnsi="Cambria Math" w:cs="宋体"/>
              <w:caps w:val="0"/>
              <w:color w:val="000000" w:themeColor="text1"/>
              <w:spacing w:val="0"/>
              <w:kern w:val="0"/>
              <w:sz w:val="24"/>
              <w:szCs w:val="24"/>
              <w:highlight w:val="none"/>
              <w:shd w:val="clear" w:fill="FFFFFF"/>
              <w:lang w:val="en-US" w:eastAsia="zh-CN" w:bidi="ar"/>
              <w14:textFill>
                <w14:solidFill>
                  <w14:schemeClr w14:val="tx1"/>
                </w14:solidFill>
              </w14:textFill>
            </w:rPr>
            <m:t>×</m:t>
          </m:r>
          <m:r>
            <m:rPr>
              <m:sty m:val="p"/>
            </m:rPr>
            <w:rPr>
              <w:rFonts w:hint="default" w:ascii="Cambria Math" w:hAnsi="Cambria Math" w:cs="宋体"/>
              <w:caps w:val="0"/>
              <w:color w:val="000000" w:themeColor="text1"/>
              <w:spacing w:val="0"/>
              <w:kern w:val="0"/>
              <w:sz w:val="24"/>
              <w:szCs w:val="24"/>
              <w:highlight w:val="none"/>
              <w:shd w:val="clear" w:fill="FFFFFF"/>
              <w:lang w:val="en-US" w:eastAsia="zh-CN" w:bidi="ar"/>
              <w14:textFill>
                <w14:solidFill>
                  <w14:schemeClr w14:val="tx1"/>
                </w14:solidFill>
              </w14:textFill>
            </w:rPr>
            <m:t>100%</m:t>
          </m:r>
        </m:oMath>
      </m:oMathPara>
    </w:p>
    <w:p w14:paraId="2F2275DB">
      <w:pPr>
        <w:keepNext w:val="0"/>
        <w:keepLines w:val="0"/>
        <w:widowControl/>
        <w:numPr>
          <w:ilvl w:val="0"/>
          <w:numId w:val="0"/>
        </w:numPr>
        <w:suppressLineNumbers w:val="0"/>
        <w:shd w:val="clear" w:fill="FFFFFF"/>
        <w:snapToGrid w:val="0"/>
        <w:spacing w:before="0" w:beforeAutospacing="0" w:after="0" w:afterAutospacing="0" w:line="360" w:lineRule="auto"/>
        <w:ind w:left="0" w:right="0" w:firstLine="0" w:firstLineChars="0"/>
        <w:rPr>
          <w:rFonts w:hint="eastAsia" w:ascii="宋体" w:hAnsi="宋体" w:eastAsia="宋体" w:cs="宋体"/>
          <w:i w:val="0"/>
          <w:iCs w:val="0"/>
          <w:caps w:val="0"/>
          <w:color w:val="000000" w:themeColor="text1"/>
          <w:spacing w:val="0"/>
          <w:kern w:val="0"/>
          <w:sz w:val="24"/>
          <w:szCs w:val="24"/>
          <w:lang w:bidi="ar"/>
          <w14:textFill>
            <w14:solidFill>
              <w14:schemeClr w14:val="tx1"/>
            </w14:solidFill>
          </w14:textFill>
        </w:rPr>
      </w:pPr>
      <w:r>
        <w:rPr>
          <w:rFonts w:hint="eastAsia" w:ascii="宋体" w:hAnsi="宋体" w:eastAsia="宋体" w:cs="宋体"/>
          <w:i w:val="0"/>
          <w:iCs w:val="0"/>
          <w:caps w:val="0"/>
          <w:color w:val="000000" w:themeColor="text1"/>
          <w:spacing w:val="0"/>
          <w:kern w:val="0"/>
          <w:sz w:val="24"/>
          <w:szCs w:val="24"/>
          <w:shd w:val="clear" w:fill="FFFFFF"/>
          <w:lang w:bidi="ar"/>
          <w14:textFill>
            <w14:solidFill>
              <w14:schemeClr w14:val="tx1"/>
            </w14:solidFill>
          </w14:textFill>
        </w:rPr>
        <w:t>其中：</w:t>
      </w:r>
    </w:p>
    <w:p w14:paraId="54F65924">
      <w:pPr>
        <w:keepNext w:val="0"/>
        <w:keepLines w:val="0"/>
        <w:widowControl/>
        <w:numPr>
          <w:ilvl w:val="-1"/>
          <w:numId w:val="0"/>
        </w:numPr>
        <w:suppressLineNumbers w:val="0"/>
        <w:snapToGrid w:val="0"/>
        <w:spacing w:before="0" w:beforeAutospacing="0" w:after="0" w:afterAutospacing="0" w:line="360" w:lineRule="auto"/>
        <w:ind w:left="0" w:firstLine="480" w:firstLineChars="200"/>
        <w:rPr>
          <w:rFonts w:hint="eastAsia" w:ascii="宋体" w:hAnsi="宋体" w:eastAsia="宋体" w:cs="宋体"/>
          <w:color w:val="000000" w:themeColor="text1"/>
          <w:spacing w:val="0"/>
          <w:kern w:val="0"/>
          <w:sz w:val="24"/>
          <w:lang w:bidi="ar"/>
          <w14:textFill>
            <w14:solidFill>
              <w14:schemeClr w14:val="tx1"/>
            </w14:solidFill>
          </w14:textFill>
        </w:rPr>
      </w:pPr>
      <w:r>
        <w:rPr>
          <w:rFonts w:hint="eastAsia" w:ascii="宋体" w:hAnsi="宋体" w:eastAsia="宋体" w:cs="宋体"/>
          <w:i w:val="0"/>
          <w:iCs w:val="0"/>
          <w:caps w:val="0"/>
          <w:color w:val="000000" w:themeColor="text1"/>
          <w:spacing w:val="0"/>
          <w:kern w:val="0"/>
          <w:sz w:val="24"/>
          <w:szCs w:val="24"/>
          <w:shd w:val="clear" w:fill="auto"/>
          <w:lang w:bidi="ar"/>
          <w14:textFill>
            <w14:solidFill>
              <w14:schemeClr w14:val="tx1"/>
            </w14:solidFill>
          </w14:textFill>
        </w:rPr>
        <w:t>回收量：在一定时间内回收的资源量，单位以吨</w:t>
      </w:r>
      <w:r>
        <w:rPr>
          <w:rFonts w:hint="eastAsia" w:ascii="宋体" w:hAnsi="宋体" w:eastAsia="宋体" w:cs="宋体"/>
          <w:i w:val="0"/>
          <w:iCs w:val="0"/>
          <w:caps w:val="0"/>
          <w:color w:val="000000" w:themeColor="text1"/>
          <w:spacing w:val="0"/>
          <w:kern w:val="0"/>
          <w:sz w:val="24"/>
          <w:szCs w:val="24"/>
          <w:shd w:val="clear" w:fill="auto"/>
          <w:lang w:val="en-US" w:eastAsia="zh-CN" w:bidi="ar"/>
          <w14:textFill>
            <w14:solidFill>
              <w14:schemeClr w14:val="tx1"/>
            </w14:solidFill>
          </w14:textFill>
        </w:rPr>
        <w:t>计算</w:t>
      </w:r>
      <w:r>
        <w:rPr>
          <w:rFonts w:hint="eastAsia" w:ascii="宋体" w:hAnsi="宋体" w:eastAsia="宋体" w:cs="宋体"/>
          <w:i w:val="0"/>
          <w:iCs w:val="0"/>
          <w:caps w:val="0"/>
          <w:color w:val="000000" w:themeColor="text1"/>
          <w:spacing w:val="0"/>
          <w:kern w:val="0"/>
          <w:sz w:val="24"/>
          <w:szCs w:val="24"/>
          <w:shd w:val="clear" w:fill="auto"/>
          <w:lang w:bidi="ar"/>
          <w14:textFill>
            <w14:solidFill>
              <w14:schemeClr w14:val="tx1"/>
            </w14:solidFill>
          </w14:textFill>
        </w:rPr>
        <w:t>。</w:t>
      </w:r>
    </w:p>
    <w:p w14:paraId="1B9083C7">
      <w:pPr>
        <w:keepNext w:val="0"/>
        <w:keepLines w:val="0"/>
        <w:widowControl/>
        <w:numPr>
          <w:ilvl w:val="-1"/>
          <w:numId w:val="0"/>
        </w:numPr>
        <w:suppressLineNumbers w:val="0"/>
        <w:snapToGrid w:val="0"/>
        <w:spacing w:before="0" w:beforeAutospacing="0" w:after="0" w:afterAutospacing="0" w:line="360" w:lineRule="auto"/>
        <w:ind w:left="0" w:firstLine="480" w:firstLineChars="200"/>
        <w:rPr>
          <w:rFonts w:hint="eastAsia" w:ascii="宋体" w:hAnsi="宋体" w:eastAsia="宋体" w:cs="宋体"/>
          <w:color w:val="000000" w:themeColor="text1"/>
          <w:spacing w:val="0"/>
          <w:kern w:val="0"/>
          <w:sz w:val="24"/>
          <w:lang w:bidi="ar"/>
          <w14:textFill>
            <w14:solidFill>
              <w14:schemeClr w14:val="tx1"/>
            </w14:solidFill>
          </w14:textFill>
        </w:rPr>
      </w:pPr>
      <w:r>
        <w:rPr>
          <w:rFonts w:hint="eastAsia" w:ascii="宋体" w:hAnsi="宋体" w:eastAsia="宋体" w:cs="宋体"/>
          <w:i w:val="0"/>
          <w:iCs w:val="0"/>
          <w:caps w:val="0"/>
          <w:color w:val="000000" w:themeColor="text1"/>
          <w:spacing w:val="0"/>
          <w:kern w:val="0"/>
          <w:sz w:val="24"/>
          <w:szCs w:val="24"/>
          <w:shd w:val="clear" w:fill="auto"/>
          <w:lang w:bidi="ar"/>
          <w14:textFill>
            <w14:solidFill>
              <w14:schemeClr w14:val="tx1"/>
            </w14:solidFill>
          </w14:textFill>
        </w:rPr>
        <w:t>总产生量：在相同时间内产生的资源总量，单位应与回收量一致。</w:t>
      </w:r>
    </w:p>
    <w:p w14:paraId="4F80422E">
      <w:pPr>
        <w:widowControl/>
        <w:snapToGrid w:val="0"/>
        <w:spacing w:line="360" w:lineRule="auto"/>
        <w:ind w:firstLine="480" w:firstLineChars="200"/>
        <w:jc w:val="left"/>
        <w:rPr>
          <w:rFonts w:hint="eastAsia" w:ascii="宋体" w:hAnsi="宋体" w:eastAsia="宋体" w:cs="宋体"/>
          <w:color w:val="000000" w:themeColor="text1"/>
          <w:kern w:val="0"/>
          <w:sz w:val="24"/>
          <w:lang w:bidi="ar"/>
          <w14:textFill>
            <w14:solidFill>
              <w14:schemeClr w14:val="tx1"/>
            </w14:solidFill>
          </w14:textFill>
        </w:rPr>
      </w:pPr>
      <w:r>
        <w:rPr>
          <w:rFonts w:hint="eastAsia" w:ascii="宋体" w:hAnsi="宋体" w:eastAsia="宋体" w:cs="宋体"/>
          <w:color w:val="000000" w:themeColor="text1"/>
          <w:kern w:val="0"/>
          <w:sz w:val="24"/>
          <w:lang w:bidi="ar"/>
          <w14:textFill>
            <w14:solidFill>
              <w14:schemeClr w14:val="tx1"/>
            </w14:solidFill>
          </w14:textFill>
        </w:rPr>
        <w:t>重点排污单位名录</w:t>
      </w:r>
      <w:r>
        <w:rPr>
          <w:rFonts w:hint="eastAsia" w:ascii="宋体" w:hAnsi="宋体" w:eastAsia="宋体" w:cs="宋体"/>
          <w:color w:val="000000" w:themeColor="text1"/>
          <w:kern w:val="0"/>
          <w:sz w:val="24"/>
          <w:lang w:val="en-US" w:eastAsia="zh-CN" w:bidi="ar"/>
          <w14:textFill>
            <w14:solidFill>
              <w14:schemeClr w14:val="tx1"/>
            </w14:solidFill>
          </w14:textFill>
        </w:rPr>
        <w:t>来自于当年</w:t>
      </w:r>
      <w:r>
        <w:rPr>
          <w:rFonts w:hint="eastAsia" w:ascii="宋体" w:hAnsi="宋体" w:eastAsia="宋体" w:cs="宋体"/>
          <w:color w:val="000000" w:themeColor="text1"/>
          <w:kern w:val="0"/>
          <w:sz w:val="24"/>
          <w:lang w:bidi="ar"/>
          <w14:textFill>
            <w14:solidFill>
              <w14:schemeClr w14:val="tx1"/>
            </w14:solidFill>
          </w14:textFill>
        </w:rPr>
        <w:t>生态环境部《环境监管重点单位名录管理办法》相应</w:t>
      </w:r>
      <w:r>
        <w:rPr>
          <w:rFonts w:hint="eastAsia" w:ascii="宋体" w:hAnsi="宋体" w:eastAsia="宋体" w:cs="宋体"/>
          <w:color w:val="000000" w:themeColor="text1"/>
          <w:kern w:val="0"/>
          <w:sz w:val="24"/>
          <w:lang w:val="en-US" w:eastAsia="zh-CN" w:bidi="ar"/>
          <w14:textFill>
            <w14:solidFill>
              <w14:schemeClr w14:val="tx1"/>
            </w14:solidFill>
          </w14:textFill>
        </w:rPr>
        <w:t>规定</w:t>
      </w:r>
      <w:r>
        <w:rPr>
          <w:rFonts w:hint="eastAsia" w:ascii="宋体" w:hAnsi="宋体" w:eastAsia="宋体" w:cs="宋体"/>
          <w:color w:val="000000" w:themeColor="text1"/>
          <w:kern w:val="0"/>
          <w:sz w:val="24"/>
          <w:lang w:bidi="ar"/>
          <w14:textFill>
            <w14:solidFill>
              <w14:schemeClr w14:val="tx1"/>
            </w14:solidFill>
          </w14:textFill>
        </w:rPr>
        <w:t xml:space="preserve">。 </w:t>
      </w:r>
    </w:p>
    <w:p w14:paraId="671716A5">
      <w:pPr>
        <w:widowControl/>
        <w:snapToGrid w:val="0"/>
        <w:spacing w:line="360" w:lineRule="auto"/>
        <w:ind w:firstLine="480" w:firstLineChars="200"/>
        <w:jc w:val="left"/>
        <w:rPr>
          <w:rFonts w:hint="eastAsia" w:ascii="宋体" w:hAnsi="宋体" w:eastAsia="宋体" w:cs="宋体"/>
          <w:color w:val="000000" w:themeColor="text1"/>
          <w:kern w:val="0"/>
          <w:sz w:val="24"/>
          <w:lang w:bidi="ar"/>
          <w14:textFill>
            <w14:solidFill>
              <w14:schemeClr w14:val="tx1"/>
            </w14:solidFill>
          </w14:textFill>
        </w:rPr>
      </w:pPr>
      <w:r>
        <w:rPr>
          <w:rFonts w:hint="eastAsia" w:ascii="宋体" w:hAnsi="宋体" w:eastAsia="宋体" w:cs="宋体"/>
          <w:color w:val="000000" w:themeColor="text1"/>
          <w:kern w:val="0"/>
          <w:sz w:val="24"/>
          <w:lang w:bidi="ar"/>
          <w14:textFill>
            <w14:solidFill>
              <w14:schemeClr w14:val="tx1"/>
            </w14:solidFill>
          </w14:textFill>
        </w:rPr>
        <w:t>考量内容：（1）项目降低污废水</w:t>
      </w:r>
      <w:r>
        <w:rPr>
          <w:rFonts w:hint="eastAsia" w:ascii="宋体" w:hAnsi="宋体" w:eastAsia="宋体" w:cs="宋体"/>
          <w:color w:val="000000" w:themeColor="text1"/>
          <w:kern w:val="0"/>
          <w:sz w:val="24"/>
          <w:lang w:val="en-US" w:eastAsia="zh-CN" w:bidi="ar"/>
          <w14:textFill>
            <w14:solidFill>
              <w14:schemeClr w14:val="tx1"/>
            </w14:solidFill>
          </w14:textFill>
        </w:rPr>
        <w:t>污染控制设计方案和</w:t>
      </w:r>
      <w:r>
        <w:rPr>
          <w:rFonts w:hint="eastAsia" w:ascii="宋体" w:hAnsi="宋体" w:eastAsia="宋体" w:cs="宋体"/>
          <w:color w:val="000000" w:themeColor="text1"/>
          <w:kern w:val="0"/>
          <w:sz w:val="24"/>
          <w:lang w:bidi="ar"/>
          <w14:textFill>
            <w14:solidFill>
              <w14:schemeClr w14:val="tx1"/>
            </w14:solidFill>
          </w14:textFill>
        </w:rPr>
        <w:t>措施方案；（2）污废水</w:t>
      </w:r>
      <w:r>
        <w:rPr>
          <w:rFonts w:hint="eastAsia" w:ascii="宋体" w:hAnsi="宋体" w:eastAsia="宋体" w:cs="宋体"/>
          <w:color w:val="000000" w:themeColor="text1"/>
          <w:kern w:val="0"/>
          <w:sz w:val="24"/>
          <w:lang w:val="en-US" w:eastAsia="zh-CN" w:bidi="ar"/>
          <w14:textFill>
            <w14:solidFill>
              <w14:schemeClr w14:val="tx1"/>
            </w14:solidFill>
          </w14:textFill>
        </w:rPr>
        <w:t>排放轻度及回收利用目标</w:t>
      </w:r>
      <w:r>
        <w:rPr>
          <w:rFonts w:hint="eastAsia" w:ascii="宋体" w:hAnsi="宋体" w:eastAsia="宋体" w:cs="宋体"/>
          <w:color w:val="000000" w:themeColor="text1"/>
          <w:kern w:val="0"/>
          <w:sz w:val="24"/>
          <w:lang w:bidi="ar"/>
          <w14:textFill>
            <w14:solidFill>
              <w14:schemeClr w14:val="tx1"/>
            </w14:solidFill>
          </w14:textFill>
        </w:rPr>
        <w:t>；（3）各类污废水污染物的排放量监测数据；（</w:t>
      </w:r>
      <w:r>
        <w:rPr>
          <w:rFonts w:hint="eastAsia" w:ascii="宋体" w:hAnsi="宋体" w:eastAsia="宋体" w:cs="宋体"/>
          <w:color w:val="000000" w:themeColor="text1"/>
          <w:kern w:val="0"/>
          <w:sz w:val="24"/>
          <w:lang w:val="en-US" w:eastAsia="zh-CN" w:bidi="ar"/>
          <w14:textFill>
            <w14:solidFill>
              <w14:schemeClr w14:val="tx1"/>
            </w14:solidFill>
          </w14:textFill>
        </w:rPr>
        <w:t>4</w:t>
      </w:r>
      <w:r>
        <w:rPr>
          <w:rFonts w:hint="eastAsia" w:ascii="宋体" w:hAnsi="宋体" w:eastAsia="宋体" w:cs="宋体"/>
          <w:color w:val="000000" w:themeColor="text1"/>
          <w:kern w:val="0"/>
          <w:sz w:val="24"/>
          <w:lang w:bidi="ar"/>
          <w14:textFill>
            <w14:solidFill>
              <w14:schemeClr w14:val="tx1"/>
            </w14:solidFill>
          </w14:textFill>
        </w:rPr>
        <w:t>）</w:t>
      </w:r>
      <w:r>
        <w:rPr>
          <w:rFonts w:hint="eastAsia" w:ascii="宋体" w:hAnsi="宋体" w:eastAsia="宋体" w:cs="宋体"/>
          <w:color w:val="000000" w:themeColor="text1"/>
          <w:kern w:val="0"/>
          <w:sz w:val="24"/>
          <w:lang w:val="en-US" w:eastAsia="zh-CN" w:bidi="ar"/>
          <w14:textFill>
            <w14:solidFill>
              <w14:schemeClr w14:val="tx1"/>
            </w14:solidFill>
          </w14:textFill>
        </w:rPr>
        <w:t>地下水污染控制措施；</w:t>
      </w:r>
      <w:r>
        <w:rPr>
          <w:rFonts w:hint="eastAsia" w:ascii="宋体" w:hAnsi="宋体" w:eastAsia="宋体" w:cs="宋体"/>
          <w:color w:val="000000" w:themeColor="text1"/>
          <w:kern w:val="0"/>
          <w:sz w:val="24"/>
          <w:lang w:bidi="ar"/>
          <w14:textFill>
            <w14:solidFill>
              <w14:schemeClr w14:val="tx1"/>
            </w14:solidFill>
          </w14:textFill>
        </w:rPr>
        <w:t>（</w:t>
      </w:r>
      <w:r>
        <w:rPr>
          <w:rFonts w:hint="eastAsia" w:ascii="宋体" w:hAnsi="宋体" w:eastAsia="宋体" w:cs="宋体"/>
          <w:color w:val="000000" w:themeColor="text1"/>
          <w:kern w:val="0"/>
          <w:sz w:val="24"/>
          <w:lang w:val="en-US" w:eastAsia="zh-CN" w:bidi="ar"/>
          <w14:textFill>
            <w14:solidFill>
              <w14:schemeClr w14:val="tx1"/>
            </w14:solidFill>
          </w14:textFill>
        </w:rPr>
        <w:t>5</w:t>
      </w:r>
      <w:r>
        <w:rPr>
          <w:rFonts w:hint="eastAsia" w:ascii="宋体" w:hAnsi="宋体" w:eastAsia="宋体" w:cs="宋体"/>
          <w:color w:val="000000" w:themeColor="text1"/>
          <w:kern w:val="0"/>
          <w:sz w:val="24"/>
          <w:lang w:bidi="ar"/>
          <w14:textFill>
            <w14:solidFill>
              <w14:schemeClr w14:val="tx1"/>
            </w14:solidFill>
          </w14:textFill>
        </w:rPr>
        <w:t>）污水处理率。</w:t>
      </w:r>
    </w:p>
    <w:p w14:paraId="599BF2F2">
      <w:pPr>
        <w:widowControl/>
        <w:snapToGrid w:val="0"/>
        <w:spacing w:line="360" w:lineRule="auto"/>
        <w:jc w:val="left"/>
        <w:rPr>
          <w:rFonts w:hint="eastAsia" w:ascii="宋体" w:hAnsi="宋体" w:eastAsia="宋体" w:cs="宋体"/>
          <w:color w:val="000000" w:themeColor="text1"/>
          <w:kern w:val="0"/>
          <w:sz w:val="24"/>
          <w:lang w:bidi="ar"/>
          <w14:textFill>
            <w14:solidFill>
              <w14:schemeClr w14:val="tx1"/>
            </w14:solidFill>
          </w14:textFill>
        </w:rPr>
      </w:pPr>
      <w:r>
        <w:rPr>
          <w:rFonts w:hint="eastAsia" w:ascii="宋体" w:hAnsi="宋体" w:eastAsia="宋体" w:cs="宋体"/>
          <w:color w:val="000000" w:themeColor="text1"/>
          <w:kern w:val="0"/>
          <w:sz w:val="24"/>
          <w:lang w:bidi="ar"/>
          <w14:textFill>
            <w14:solidFill>
              <w14:schemeClr w14:val="tx1"/>
            </w14:solidFill>
          </w14:textFill>
        </w:rPr>
        <w:t>4.2.2本条款适用于基础设施项目规划设计阶段、施工建造阶段、运行阶段</w:t>
      </w:r>
      <w:r>
        <w:rPr>
          <w:rFonts w:hint="eastAsia" w:ascii="宋体" w:hAnsi="宋体" w:eastAsia="宋体" w:cs="宋体"/>
          <w:color w:val="000000" w:themeColor="text1"/>
          <w:kern w:val="0"/>
          <w:sz w:val="24"/>
          <w:lang w:val="en-US" w:eastAsia="zh-CN" w:bidi="ar"/>
          <w14:textFill>
            <w14:solidFill>
              <w14:schemeClr w14:val="tx1"/>
            </w14:solidFill>
          </w14:textFill>
        </w:rPr>
        <w:t>的</w:t>
      </w:r>
      <w:r>
        <w:rPr>
          <w:rFonts w:hint="eastAsia" w:ascii="宋体" w:hAnsi="宋体" w:eastAsia="宋体" w:cs="宋体"/>
          <w:color w:val="000000" w:themeColor="text1"/>
          <w:kern w:val="0"/>
          <w:sz w:val="24"/>
          <w:lang w:bidi="ar"/>
          <w14:textFill>
            <w14:solidFill>
              <w14:schemeClr w14:val="tx1"/>
            </w14:solidFill>
          </w14:textFill>
        </w:rPr>
        <w:t xml:space="preserve">评价。 </w:t>
      </w:r>
    </w:p>
    <w:p w14:paraId="37551FFE">
      <w:pPr>
        <w:widowControl/>
        <w:snapToGrid w:val="0"/>
        <w:spacing w:line="360" w:lineRule="auto"/>
        <w:ind w:firstLine="480" w:firstLineChars="200"/>
        <w:jc w:val="left"/>
        <w:rPr>
          <w:rFonts w:hint="eastAsia" w:ascii="宋体" w:hAnsi="宋体" w:eastAsia="宋体" w:cs="宋体"/>
          <w:color w:val="000000" w:themeColor="text1"/>
          <w:kern w:val="0"/>
          <w:sz w:val="24"/>
          <w:lang w:bidi="ar"/>
          <w14:textFill>
            <w14:solidFill>
              <w14:schemeClr w14:val="tx1"/>
            </w14:solidFill>
          </w14:textFill>
        </w:rPr>
      </w:pPr>
      <w:r>
        <w:rPr>
          <w:rFonts w:hint="eastAsia" w:ascii="宋体" w:hAnsi="宋体" w:eastAsia="宋体" w:cs="宋体"/>
          <w:color w:val="000000" w:themeColor="text1"/>
          <w:kern w:val="0"/>
          <w:sz w:val="24"/>
          <w:lang w:bidi="ar"/>
          <w14:textFill>
            <w14:solidFill>
              <w14:schemeClr w14:val="tx1"/>
            </w14:solidFill>
          </w14:textFill>
        </w:rPr>
        <w:t>考量内容：（1）降低废气污染物排放的规划设计方案；（2）重点废气污染物（如氮氧化物NOx、二氧化硫、颗粒物等）排放总量（千克）；（3）各类污染物排放量（千克）监测数据</w:t>
      </w:r>
      <w:r>
        <w:rPr>
          <w:rFonts w:hint="eastAsia" w:ascii="宋体" w:hAnsi="宋体" w:eastAsia="宋体" w:cs="宋体"/>
          <w:color w:val="000000" w:themeColor="text1"/>
          <w:kern w:val="0"/>
          <w:sz w:val="24"/>
          <w:lang w:eastAsia="zh-CN" w:bidi="ar"/>
          <w14:textFill>
            <w14:solidFill>
              <w14:schemeClr w14:val="tx1"/>
            </w14:solidFill>
          </w14:textFill>
        </w:rPr>
        <w:t>；（</w:t>
      </w:r>
      <w:r>
        <w:rPr>
          <w:rFonts w:hint="eastAsia" w:ascii="宋体" w:hAnsi="宋体" w:eastAsia="宋体" w:cs="宋体"/>
          <w:color w:val="000000" w:themeColor="text1"/>
          <w:kern w:val="0"/>
          <w:sz w:val="24"/>
          <w:lang w:val="en-US" w:eastAsia="zh-CN" w:bidi="ar"/>
          <w14:textFill>
            <w14:solidFill>
              <w14:schemeClr w14:val="tx1"/>
            </w14:solidFill>
          </w14:textFill>
        </w:rPr>
        <w:t>4）</w:t>
      </w:r>
      <w:r>
        <w:rPr>
          <w:rFonts w:hint="eastAsia" w:ascii="宋体" w:hAnsi="宋体" w:eastAsia="宋体" w:cs="宋体"/>
          <w:color w:val="000000" w:themeColor="text1"/>
          <w:kern w:val="0"/>
          <w:sz w:val="24"/>
          <w:lang w:eastAsia="zh-CN" w:bidi="ar"/>
          <w14:textFill>
            <w14:solidFill>
              <w14:schemeClr w14:val="tx1"/>
            </w14:solidFill>
          </w14:textFill>
        </w:rPr>
        <w:t>废气排放许可证</w:t>
      </w:r>
      <w:r>
        <w:rPr>
          <w:rFonts w:hint="eastAsia" w:ascii="宋体" w:hAnsi="宋体" w:eastAsia="宋体" w:cs="宋体"/>
          <w:color w:val="000000" w:themeColor="text1"/>
          <w:kern w:val="0"/>
          <w:sz w:val="24"/>
          <w:lang w:bidi="ar"/>
          <w14:textFill>
            <w14:solidFill>
              <w14:schemeClr w14:val="tx1"/>
            </w14:solidFill>
          </w14:textFill>
        </w:rPr>
        <w:t>。</w:t>
      </w:r>
    </w:p>
    <w:p w14:paraId="33467A48">
      <w:pPr>
        <w:widowControl/>
        <w:snapToGrid w:val="0"/>
        <w:spacing w:line="360" w:lineRule="auto"/>
        <w:jc w:val="left"/>
        <w:rPr>
          <w:rFonts w:hint="eastAsia" w:ascii="宋体" w:hAnsi="宋体" w:eastAsia="宋体" w:cs="宋体"/>
          <w:color w:val="000000" w:themeColor="text1"/>
          <w:kern w:val="0"/>
          <w:sz w:val="24"/>
          <w:lang w:bidi="ar"/>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4.2.3</w:t>
      </w:r>
      <w:r>
        <w:rPr>
          <w:rFonts w:hint="eastAsia" w:ascii="宋体" w:hAnsi="宋体" w:eastAsia="宋体" w:cs="宋体"/>
          <w:color w:val="000000" w:themeColor="text1"/>
          <w:kern w:val="0"/>
          <w:sz w:val="24"/>
          <w:lang w:bidi="ar"/>
          <w14:textFill>
            <w14:solidFill>
              <w14:schemeClr w14:val="tx1"/>
            </w14:solidFill>
          </w14:textFill>
        </w:rPr>
        <w:t xml:space="preserve">本条款适用于基础设施项目的规划设计阶段、施工建造阶段、运行阶段的评价。 </w:t>
      </w:r>
    </w:p>
    <w:p w14:paraId="5A1372D9">
      <w:pPr>
        <w:widowControl/>
        <w:snapToGrid w:val="0"/>
        <w:spacing w:line="360" w:lineRule="auto"/>
        <w:ind w:firstLine="480" w:firstLineChars="200"/>
        <w:jc w:val="left"/>
        <w:rPr>
          <w:rFonts w:hint="eastAsia" w:ascii="宋体" w:hAnsi="宋体" w:eastAsia="宋体" w:cs="宋体"/>
          <w:color w:val="000000" w:themeColor="text1"/>
          <w:kern w:val="0"/>
          <w:sz w:val="24"/>
          <w:lang w:bidi="ar"/>
          <w14:textFill>
            <w14:solidFill>
              <w14:schemeClr w14:val="tx1"/>
            </w14:solidFill>
          </w14:textFill>
        </w:rPr>
      </w:pPr>
      <w:r>
        <w:rPr>
          <w:rFonts w:hint="eastAsia" w:ascii="宋体" w:hAnsi="宋体" w:eastAsia="宋体" w:cs="宋体"/>
          <w:color w:val="000000" w:themeColor="text1"/>
          <w:kern w:val="0"/>
          <w:sz w:val="24"/>
          <w:lang w:bidi="ar"/>
          <w14:textFill>
            <w14:solidFill>
              <w14:schemeClr w14:val="tx1"/>
            </w14:solidFill>
          </w14:textFill>
        </w:rPr>
        <w:t>施工现场应采取有效措施控制扬尘，满足渣土堆放清运要求。符合《中华人民共和国大气污染防治法》关于防治施工扬尘污染的规定，并符合《绿色施工导则》建质〔2007〕223号扬尘控制措施。需对裸露场地、物料堆放、渣土堆场等区域实施封闭式管理，通过覆盖防尘网、设置围挡或进行绿化，并定期开展清扫和洒水作业以抑制扬尘。同时，渣土运输车辆必须采用密闭覆盖方式，并配备喷淋降尘设施，以减少扬尘扩散。遵循《建设工程施工现场环境与卫生标准》JGJ 146-2013</w:t>
      </w:r>
      <w:r>
        <w:rPr>
          <w:rFonts w:hint="eastAsia" w:ascii="宋体" w:hAnsi="宋体" w:eastAsia="宋体" w:cs="宋体"/>
          <w:color w:val="000000" w:themeColor="text1"/>
          <w:kern w:val="0"/>
          <w:sz w:val="24"/>
          <w:lang w:eastAsia="zh-CN" w:bidi="ar"/>
          <w14:textFill>
            <w14:solidFill>
              <w14:schemeClr w14:val="tx1"/>
            </w14:solidFill>
          </w14:textFill>
        </w:rPr>
        <w:t>、</w:t>
      </w:r>
      <w:r>
        <w:rPr>
          <w:rFonts w:hint="eastAsia" w:ascii="宋体" w:hAnsi="宋体" w:eastAsia="宋体" w:cs="宋体"/>
          <w:color w:val="000000" w:themeColor="text1"/>
          <w:kern w:val="0"/>
          <w:sz w:val="24"/>
          <w:lang w:bidi="ar"/>
          <w14:textFill>
            <w14:solidFill>
              <w14:schemeClr w14:val="tx1"/>
            </w14:solidFill>
          </w14:textFill>
        </w:rPr>
        <w:t>《城市建筑垃圾管理规定》建设部令第139号，降低施工活动对周边环境的影响，符合城市轨道交通工程施工现场环境保护的相关标准，确保施工过程的绿色、环保与可持续性。</w:t>
      </w:r>
    </w:p>
    <w:p w14:paraId="2CF8FABB">
      <w:pPr>
        <w:widowControl/>
        <w:snapToGrid w:val="0"/>
        <w:spacing w:line="360" w:lineRule="auto"/>
        <w:ind w:firstLine="480" w:firstLineChars="200"/>
        <w:jc w:val="left"/>
        <w:rPr>
          <w:rFonts w:hint="eastAsia" w:ascii="宋体" w:hAnsi="宋体" w:eastAsia="宋体" w:cs="宋体"/>
          <w:color w:val="000000" w:themeColor="text1"/>
          <w:kern w:val="0"/>
          <w:sz w:val="24"/>
          <w:lang w:bidi="ar"/>
          <w14:textFill>
            <w14:solidFill>
              <w14:schemeClr w14:val="tx1"/>
            </w14:solidFill>
          </w14:textFill>
        </w:rPr>
      </w:pPr>
      <w:r>
        <w:rPr>
          <w:rFonts w:hint="eastAsia" w:ascii="宋体" w:hAnsi="宋体" w:eastAsia="宋体" w:cs="宋体"/>
          <w:color w:val="000000" w:themeColor="text1"/>
          <w:kern w:val="0"/>
          <w:sz w:val="24"/>
          <w:lang w:bidi="ar"/>
          <w14:textFill>
            <w14:solidFill>
              <w14:schemeClr w14:val="tx1"/>
            </w14:solidFill>
          </w14:textFill>
        </w:rPr>
        <w:t>考量内容：（1）施工组织设计；（2）现场PM2.5监测数据；（3）环境影响评价报告；（4）渣土清运合规性文件等。</w:t>
      </w:r>
    </w:p>
    <w:p w14:paraId="0DB9FE94">
      <w:pPr>
        <w:widowControl/>
        <w:snapToGrid w:val="0"/>
        <w:spacing w:line="360" w:lineRule="auto"/>
        <w:ind w:left="0" w:firstLine="0" w:firstLineChars="0"/>
        <w:jc w:val="left"/>
        <w:rPr>
          <w:rFonts w:hint="eastAsia" w:ascii="宋体" w:hAnsi="宋体" w:eastAsia="宋体" w:cs="宋体"/>
          <w:color w:val="000000" w:themeColor="text1"/>
          <w:kern w:val="0"/>
          <w:sz w:val="24"/>
          <w:lang w:val="en-US" w:eastAsia="zh-CN" w:bidi="ar"/>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4.2.4</w:t>
      </w:r>
      <w:r>
        <w:rPr>
          <w:rFonts w:hint="eastAsia" w:ascii="宋体" w:hAnsi="宋体" w:eastAsia="宋体" w:cs="宋体"/>
          <w:color w:val="000000" w:themeColor="text1"/>
          <w:kern w:val="0"/>
          <w:sz w:val="24"/>
          <w:lang w:bidi="ar"/>
          <w14:textFill>
            <w14:solidFill>
              <w14:schemeClr w14:val="tx1"/>
            </w14:solidFill>
          </w14:textFill>
        </w:rPr>
        <w:t>本条</w:t>
      </w:r>
      <w:r>
        <w:rPr>
          <w:rFonts w:hint="eastAsia" w:ascii="宋体" w:hAnsi="宋体" w:eastAsia="宋体" w:cs="宋体"/>
          <w:color w:val="000000" w:themeColor="text1"/>
          <w:kern w:val="0"/>
          <w:sz w:val="24"/>
          <w:lang w:val="en-US" w:eastAsia="zh-CN" w:bidi="ar"/>
          <w14:textFill>
            <w14:solidFill>
              <w14:schemeClr w14:val="tx1"/>
            </w14:solidFill>
          </w14:textFill>
        </w:rPr>
        <w:t>款</w:t>
      </w:r>
      <w:r>
        <w:rPr>
          <w:rFonts w:hint="eastAsia" w:ascii="宋体" w:hAnsi="宋体" w:eastAsia="宋体" w:cs="宋体"/>
          <w:color w:val="000000" w:themeColor="text1"/>
          <w:kern w:val="0"/>
          <w:sz w:val="24"/>
          <w:lang w:bidi="ar"/>
          <w14:textFill>
            <w14:solidFill>
              <w14:schemeClr w14:val="tx1"/>
            </w14:solidFill>
          </w14:textFill>
        </w:rPr>
        <w:t>适用于基础设施项目</w:t>
      </w:r>
      <w:r>
        <w:rPr>
          <w:rFonts w:hint="eastAsia" w:ascii="宋体" w:hAnsi="宋体" w:eastAsia="宋体" w:cs="宋体"/>
          <w:color w:val="000000" w:themeColor="text1"/>
          <w:kern w:val="0"/>
          <w:sz w:val="24"/>
          <w:lang w:eastAsia="zh-CN" w:bidi="ar"/>
          <w14:textFill>
            <w14:solidFill>
              <w14:schemeClr w14:val="tx1"/>
            </w14:solidFill>
          </w14:textFill>
        </w:rPr>
        <w:t>规划设计</w:t>
      </w:r>
      <w:r>
        <w:rPr>
          <w:rFonts w:hint="eastAsia" w:ascii="宋体" w:hAnsi="宋体" w:eastAsia="宋体" w:cs="宋体"/>
          <w:color w:val="000000" w:themeColor="text1"/>
          <w:kern w:val="0"/>
          <w:sz w:val="24"/>
          <w:lang w:val="en-US" w:eastAsia="zh-CN" w:bidi="ar"/>
          <w14:textFill>
            <w14:solidFill>
              <w14:schemeClr w14:val="tx1"/>
            </w14:solidFill>
          </w14:textFill>
        </w:rPr>
        <w:t>阶段</w:t>
      </w:r>
      <w:r>
        <w:rPr>
          <w:rFonts w:hint="eastAsia" w:ascii="宋体" w:hAnsi="宋体" w:eastAsia="宋体" w:cs="宋体"/>
          <w:color w:val="000000" w:themeColor="text1"/>
          <w:kern w:val="0"/>
          <w:sz w:val="24"/>
          <w:lang w:bidi="ar"/>
          <w14:textFill>
            <w14:solidFill>
              <w14:schemeClr w14:val="tx1"/>
            </w14:solidFill>
          </w14:textFill>
        </w:rPr>
        <w:t>、</w:t>
      </w:r>
      <w:r>
        <w:rPr>
          <w:rFonts w:hint="eastAsia" w:ascii="宋体" w:hAnsi="宋体" w:eastAsia="宋体" w:cs="宋体"/>
          <w:color w:val="000000" w:themeColor="text1"/>
          <w:kern w:val="0"/>
          <w:sz w:val="24"/>
          <w:lang w:eastAsia="zh-CN" w:bidi="ar"/>
          <w14:textFill>
            <w14:solidFill>
              <w14:schemeClr w14:val="tx1"/>
            </w14:solidFill>
          </w14:textFill>
        </w:rPr>
        <w:t>施工建造</w:t>
      </w:r>
      <w:r>
        <w:rPr>
          <w:rFonts w:hint="eastAsia" w:ascii="宋体" w:hAnsi="宋体" w:eastAsia="宋体" w:cs="宋体"/>
          <w:color w:val="000000" w:themeColor="text1"/>
          <w:kern w:val="0"/>
          <w:sz w:val="24"/>
          <w:lang w:val="en-US" w:eastAsia="zh-CN" w:bidi="ar"/>
          <w14:textFill>
            <w14:solidFill>
              <w14:schemeClr w14:val="tx1"/>
            </w14:solidFill>
          </w14:textFill>
        </w:rPr>
        <w:t>阶段</w:t>
      </w:r>
      <w:r>
        <w:rPr>
          <w:rFonts w:hint="eastAsia" w:ascii="宋体" w:hAnsi="宋体" w:eastAsia="宋体" w:cs="宋体"/>
          <w:color w:val="000000" w:themeColor="text1"/>
          <w:kern w:val="0"/>
          <w:sz w:val="24"/>
          <w:lang w:eastAsia="zh-CN" w:bidi="ar"/>
          <w14:textFill>
            <w14:solidFill>
              <w14:schemeClr w14:val="tx1"/>
            </w14:solidFill>
          </w14:textFill>
        </w:rPr>
        <w:t>、</w:t>
      </w:r>
      <w:r>
        <w:rPr>
          <w:rFonts w:hint="eastAsia" w:ascii="宋体" w:hAnsi="宋体" w:eastAsia="宋体" w:cs="宋体"/>
          <w:color w:val="000000" w:themeColor="text1"/>
          <w:kern w:val="0"/>
          <w:sz w:val="24"/>
          <w:lang w:bidi="ar"/>
          <w14:textFill>
            <w14:solidFill>
              <w14:schemeClr w14:val="tx1"/>
            </w14:solidFill>
          </w14:textFill>
        </w:rPr>
        <w:t>运行</w:t>
      </w:r>
      <w:r>
        <w:rPr>
          <w:rFonts w:hint="eastAsia" w:ascii="宋体" w:hAnsi="宋体" w:eastAsia="宋体" w:cs="宋体"/>
          <w:color w:val="000000" w:themeColor="text1"/>
          <w:kern w:val="0"/>
          <w:sz w:val="24"/>
          <w:lang w:val="en-US" w:eastAsia="zh-CN" w:bidi="ar"/>
          <w14:textFill>
            <w14:solidFill>
              <w14:schemeClr w14:val="tx1"/>
            </w14:solidFill>
          </w14:textFill>
        </w:rPr>
        <w:t>阶段</w:t>
      </w:r>
      <w:r>
        <w:rPr>
          <w:rFonts w:hint="eastAsia" w:ascii="宋体" w:hAnsi="宋体" w:eastAsia="宋体" w:cs="宋体"/>
          <w:color w:val="000000" w:themeColor="text1"/>
          <w:kern w:val="0"/>
          <w:sz w:val="24"/>
          <w:lang w:bidi="ar"/>
          <w14:textFill>
            <w14:solidFill>
              <w14:schemeClr w14:val="tx1"/>
            </w14:solidFill>
          </w14:textFill>
        </w:rPr>
        <w:t>的评价</w:t>
      </w:r>
      <w:r>
        <w:rPr>
          <w:rFonts w:hint="eastAsia" w:ascii="宋体" w:hAnsi="宋体" w:eastAsia="宋体" w:cs="宋体"/>
          <w:color w:val="000000" w:themeColor="text1"/>
          <w:kern w:val="0"/>
          <w:sz w:val="24"/>
          <w:lang w:eastAsia="zh-CN" w:bidi="ar"/>
          <w14:textFill>
            <w14:solidFill>
              <w14:schemeClr w14:val="tx1"/>
            </w14:solidFill>
          </w14:textFill>
        </w:rPr>
        <w:t>。</w:t>
      </w:r>
    </w:p>
    <w:p w14:paraId="4BBF4645">
      <w:pPr>
        <w:widowControl/>
        <w:snapToGrid w:val="0"/>
        <w:spacing w:line="360" w:lineRule="auto"/>
        <w:ind w:firstLine="480" w:firstLineChars="200"/>
        <w:jc w:val="left"/>
        <w:rPr>
          <w:rFonts w:hint="eastAsia" w:ascii="宋体" w:hAnsi="宋体" w:eastAsia="宋体" w:cs="宋体"/>
          <w:color w:val="000000" w:themeColor="text1"/>
          <w:kern w:val="0"/>
          <w:sz w:val="24"/>
          <w:lang w:bidi="ar"/>
          <w14:textFill>
            <w14:solidFill>
              <w14:schemeClr w14:val="tx1"/>
            </w14:solidFill>
          </w14:textFill>
        </w:rPr>
      </w:pPr>
      <w:r>
        <w:rPr>
          <w:rFonts w:hint="eastAsia" w:ascii="宋体" w:hAnsi="宋体" w:eastAsia="宋体" w:cs="宋体"/>
          <w:color w:val="000000" w:themeColor="text1"/>
          <w:kern w:val="0"/>
          <w:sz w:val="24"/>
          <w:lang w:bidi="ar"/>
          <w14:textFill>
            <w14:solidFill>
              <w14:schemeClr w14:val="tx1"/>
            </w14:solidFill>
          </w14:textFill>
        </w:rPr>
        <w:t xml:space="preserve">噪声敏感区指以疗养处所、医院、学校、机关、科研单位、集中居住区等为主，需要保持相对安静的区域。 </w:t>
      </w:r>
    </w:p>
    <w:p w14:paraId="4D0209A2">
      <w:pPr>
        <w:widowControl/>
        <w:snapToGrid w:val="0"/>
        <w:spacing w:line="360" w:lineRule="auto"/>
        <w:ind w:firstLine="480" w:firstLineChars="200"/>
        <w:jc w:val="left"/>
        <w:outlineLvl w:val="9"/>
        <w:rPr>
          <w:rFonts w:hint="eastAsia" w:ascii="宋体" w:hAnsi="宋体" w:eastAsia="宋体" w:cs="宋体"/>
          <w:color w:val="000000" w:themeColor="text1"/>
          <w:sz w:val="24"/>
          <w:lang w:val="en-US" w:eastAsia="zh-CN"/>
          <w14:textFill>
            <w14:solidFill>
              <w14:schemeClr w14:val="tx1"/>
            </w14:solidFill>
          </w14:textFill>
        </w:rPr>
      </w:pPr>
      <w:r>
        <w:rPr>
          <w:rFonts w:hint="eastAsia" w:ascii="宋体" w:hAnsi="宋体" w:eastAsia="宋体" w:cs="宋体"/>
          <w:color w:val="000000" w:themeColor="text1"/>
          <w:sz w:val="24"/>
          <w:lang w:val="en-US" w:eastAsia="zh-CN"/>
          <w14:textFill>
            <w14:solidFill>
              <w14:schemeClr w14:val="tx1"/>
            </w14:solidFill>
          </w14:textFill>
        </w:rPr>
        <w:t>位于城市区域的基础设施项目，在运行过程中应控制其产生的噪声水平，包括设备噪音，确保噪声排放不对周边居民和环境造成不良影响。评估所采取噪声控制措施的有效性，如隔音墙、消声器、减震垫等设备的使用情况，以及这些措施在实际操作中的效果。同时，考虑是否存在改进空间以提高噪声控制效果。定期进行合规性审查，确保噪声控制持续符合相关环保法规和标准要求。包括内部审核、第三方检测和监管机构的检查。</w:t>
      </w:r>
    </w:p>
    <w:p w14:paraId="6B5EA20A">
      <w:pPr>
        <w:widowControl/>
        <w:snapToGrid w:val="0"/>
        <w:spacing w:line="360" w:lineRule="auto"/>
        <w:ind w:firstLine="480" w:firstLineChars="200"/>
        <w:jc w:val="left"/>
        <w:rPr>
          <w:rFonts w:hint="eastAsia" w:ascii="宋体" w:hAnsi="宋体" w:eastAsia="宋体" w:cs="宋体"/>
          <w:color w:val="000000" w:themeColor="text1"/>
          <w:kern w:val="0"/>
          <w:sz w:val="24"/>
          <w:lang w:bidi="ar"/>
          <w14:textFill>
            <w14:solidFill>
              <w14:schemeClr w14:val="tx1"/>
            </w14:solidFill>
          </w14:textFill>
        </w:rPr>
      </w:pPr>
      <w:r>
        <w:rPr>
          <w:rFonts w:hint="eastAsia" w:ascii="宋体" w:hAnsi="宋体" w:eastAsia="宋体" w:cs="宋体"/>
          <w:color w:val="000000" w:themeColor="text1"/>
          <w:kern w:val="0"/>
          <w:sz w:val="24"/>
          <w:lang w:bidi="ar"/>
          <w14:textFill>
            <w14:solidFill>
              <w14:schemeClr w14:val="tx1"/>
            </w14:solidFill>
          </w14:textFill>
        </w:rPr>
        <w:t>考量内容：（1）降低噪声污染</w:t>
      </w:r>
      <w:r>
        <w:rPr>
          <w:rFonts w:hint="eastAsia" w:ascii="宋体" w:hAnsi="宋体" w:eastAsia="宋体" w:cs="宋体"/>
          <w:color w:val="000000" w:themeColor="text1"/>
          <w:kern w:val="0"/>
          <w:sz w:val="24"/>
          <w:lang w:val="en-US" w:eastAsia="zh-CN" w:bidi="ar"/>
          <w14:textFill>
            <w14:solidFill>
              <w14:schemeClr w14:val="tx1"/>
            </w14:solidFill>
          </w14:textFill>
        </w:rPr>
        <w:t>设计方案或</w:t>
      </w:r>
      <w:r>
        <w:rPr>
          <w:rFonts w:hint="eastAsia" w:ascii="宋体" w:hAnsi="宋体" w:eastAsia="宋体" w:cs="宋体"/>
          <w:color w:val="000000" w:themeColor="text1"/>
          <w:kern w:val="0"/>
          <w:sz w:val="24"/>
          <w:lang w:bidi="ar"/>
          <w14:textFill>
            <w14:solidFill>
              <w14:schemeClr w14:val="tx1"/>
            </w14:solidFill>
          </w14:textFill>
        </w:rPr>
        <w:t>措施</w:t>
      </w:r>
      <w:r>
        <w:rPr>
          <w:rFonts w:hint="eastAsia" w:ascii="宋体" w:hAnsi="宋体" w:eastAsia="宋体" w:cs="宋体"/>
          <w:color w:val="000000" w:themeColor="text1"/>
          <w:kern w:val="0"/>
          <w:sz w:val="24"/>
          <w:lang w:val="en-US" w:eastAsia="zh-CN" w:bidi="ar"/>
          <w14:textFill>
            <w14:solidFill>
              <w14:schemeClr w14:val="tx1"/>
            </w14:solidFill>
          </w14:textFill>
        </w:rPr>
        <w:t>方案</w:t>
      </w:r>
      <w:r>
        <w:rPr>
          <w:rFonts w:hint="eastAsia" w:ascii="宋体" w:hAnsi="宋体" w:eastAsia="宋体" w:cs="宋体"/>
          <w:color w:val="000000" w:themeColor="text1"/>
          <w:kern w:val="0"/>
          <w:sz w:val="24"/>
          <w:lang w:bidi="ar"/>
          <w14:textFill>
            <w14:solidFill>
              <w14:schemeClr w14:val="tx1"/>
            </w14:solidFill>
          </w14:textFill>
        </w:rPr>
        <w:t>；（2）噪声监测点布设情况；（3）噪声值监测数据</w:t>
      </w:r>
      <w:r>
        <w:rPr>
          <w:rFonts w:hint="eastAsia" w:ascii="宋体" w:hAnsi="宋体" w:eastAsia="宋体" w:cs="宋体"/>
          <w:color w:val="000000" w:themeColor="text1"/>
          <w:kern w:val="0"/>
          <w:sz w:val="24"/>
          <w:lang w:eastAsia="zh-CN" w:bidi="ar"/>
          <w14:textFill>
            <w14:solidFill>
              <w14:schemeClr w14:val="tx1"/>
            </w14:solidFill>
          </w14:textFill>
        </w:rPr>
        <w:t>；</w:t>
      </w:r>
      <w:r>
        <w:rPr>
          <w:rFonts w:hint="eastAsia" w:ascii="宋体" w:hAnsi="宋体" w:eastAsia="宋体" w:cs="宋体"/>
          <w:color w:val="000000" w:themeColor="text1"/>
          <w:sz w:val="24"/>
          <w:lang w:val="en-US" w:eastAsia="zh-CN"/>
          <w14:textFill>
            <w14:solidFill>
              <w14:schemeClr w14:val="tx1"/>
            </w14:solidFill>
          </w14:textFill>
        </w:rPr>
        <w:t>（4）热线或居民投诉意见记录。</w:t>
      </w:r>
    </w:p>
    <w:p w14:paraId="56D1FE8B">
      <w:pPr>
        <w:widowControl/>
        <w:snapToGrid w:val="0"/>
        <w:spacing w:line="360" w:lineRule="auto"/>
        <w:jc w:val="left"/>
        <w:rPr>
          <w:rFonts w:ascii="宋体" w:hAnsi="宋体" w:eastAsia="宋体" w:cs="宋体"/>
          <w:color w:val="000000" w:themeColor="text1"/>
          <w:kern w:val="0"/>
          <w:sz w:val="24"/>
          <w:lang w:bidi="ar"/>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4.2.5</w:t>
      </w:r>
      <w:r>
        <w:rPr>
          <w:rFonts w:hint="eastAsia" w:ascii="宋体" w:hAnsi="宋体" w:eastAsia="宋体" w:cs="宋体"/>
          <w:color w:val="000000" w:themeColor="text1"/>
          <w:kern w:val="0"/>
          <w:sz w:val="24"/>
          <w:lang w:bidi="ar"/>
          <w14:textFill>
            <w14:solidFill>
              <w14:schemeClr w14:val="tx1"/>
            </w14:solidFill>
          </w14:textFill>
        </w:rPr>
        <w:t>本条</w:t>
      </w:r>
      <w:r>
        <w:rPr>
          <w:rFonts w:hint="eastAsia" w:ascii="宋体" w:hAnsi="宋体" w:eastAsia="宋体" w:cs="宋体"/>
          <w:color w:val="000000" w:themeColor="text1"/>
          <w:kern w:val="0"/>
          <w:sz w:val="24"/>
          <w:lang w:val="en-US" w:eastAsia="zh-CN" w:bidi="ar"/>
          <w14:textFill>
            <w14:solidFill>
              <w14:schemeClr w14:val="tx1"/>
            </w14:solidFill>
          </w14:textFill>
        </w:rPr>
        <w:t>款</w:t>
      </w:r>
      <w:r>
        <w:rPr>
          <w:rFonts w:hint="eastAsia" w:ascii="宋体" w:hAnsi="宋体" w:eastAsia="宋体" w:cs="宋体"/>
          <w:color w:val="000000" w:themeColor="text1"/>
          <w:kern w:val="0"/>
          <w:sz w:val="24"/>
          <w:lang w:bidi="ar"/>
          <w14:textFill>
            <w14:solidFill>
              <w14:schemeClr w14:val="tx1"/>
            </w14:solidFill>
          </w14:textFill>
        </w:rPr>
        <w:t>适用于基础设施项目</w:t>
      </w:r>
      <w:r>
        <w:rPr>
          <w:rFonts w:hint="eastAsia" w:ascii="宋体" w:hAnsi="宋体" w:eastAsia="宋体" w:cs="宋体"/>
          <w:color w:val="000000" w:themeColor="text1"/>
          <w:kern w:val="0"/>
          <w:sz w:val="24"/>
          <w:lang w:eastAsia="zh-CN" w:bidi="ar"/>
          <w14:textFill>
            <w14:solidFill>
              <w14:schemeClr w14:val="tx1"/>
            </w14:solidFill>
          </w14:textFill>
        </w:rPr>
        <w:t>规划设计</w:t>
      </w:r>
      <w:r>
        <w:rPr>
          <w:rFonts w:hint="eastAsia" w:ascii="宋体" w:hAnsi="宋体" w:eastAsia="宋体" w:cs="宋体"/>
          <w:color w:val="000000" w:themeColor="text1"/>
          <w:kern w:val="0"/>
          <w:sz w:val="24"/>
          <w:lang w:val="en-US" w:eastAsia="zh-CN" w:bidi="ar"/>
          <w14:textFill>
            <w14:solidFill>
              <w14:schemeClr w14:val="tx1"/>
            </w14:solidFill>
          </w14:textFill>
        </w:rPr>
        <w:t>阶段</w:t>
      </w:r>
      <w:r>
        <w:rPr>
          <w:rFonts w:hint="eastAsia" w:ascii="宋体" w:hAnsi="宋体" w:eastAsia="宋体" w:cs="宋体"/>
          <w:color w:val="000000" w:themeColor="text1"/>
          <w:kern w:val="0"/>
          <w:sz w:val="24"/>
          <w:lang w:bidi="ar"/>
          <w14:textFill>
            <w14:solidFill>
              <w14:schemeClr w14:val="tx1"/>
            </w14:solidFill>
          </w14:textFill>
        </w:rPr>
        <w:t>、</w:t>
      </w:r>
      <w:r>
        <w:rPr>
          <w:rFonts w:hint="eastAsia" w:ascii="宋体" w:hAnsi="宋体" w:eastAsia="宋体" w:cs="宋体"/>
          <w:color w:val="000000" w:themeColor="text1"/>
          <w:kern w:val="0"/>
          <w:sz w:val="24"/>
          <w:lang w:eastAsia="zh-CN" w:bidi="ar"/>
          <w14:textFill>
            <w14:solidFill>
              <w14:schemeClr w14:val="tx1"/>
            </w14:solidFill>
          </w14:textFill>
        </w:rPr>
        <w:t>施工建造</w:t>
      </w:r>
      <w:r>
        <w:rPr>
          <w:rFonts w:hint="eastAsia" w:ascii="宋体" w:hAnsi="宋体" w:eastAsia="宋体" w:cs="宋体"/>
          <w:color w:val="000000" w:themeColor="text1"/>
          <w:kern w:val="0"/>
          <w:sz w:val="24"/>
          <w:lang w:val="en-US" w:eastAsia="zh-CN" w:bidi="ar"/>
          <w14:textFill>
            <w14:solidFill>
              <w14:schemeClr w14:val="tx1"/>
            </w14:solidFill>
          </w14:textFill>
        </w:rPr>
        <w:t>阶段</w:t>
      </w:r>
      <w:r>
        <w:rPr>
          <w:rFonts w:hint="eastAsia" w:ascii="宋体" w:hAnsi="宋体" w:eastAsia="宋体" w:cs="宋体"/>
          <w:color w:val="000000" w:themeColor="text1"/>
          <w:kern w:val="0"/>
          <w:sz w:val="24"/>
          <w:lang w:eastAsia="zh-CN" w:bidi="ar"/>
          <w14:textFill>
            <w14:solidFill>
              <w14:schemeClr w14:val="tx1"/>
            </w14:solidFill>
          </w14:textFill>
        </w:rPr>
        <w:t>、运行</w:t>
      </w:r>
      <w:r>
        <w:rPr>
          <w:rFonts w:hint="eastAsia" w:ascii="宋体" w:hAnsi="宋体" w:eastAsia="宋体" w:cs="宋体"/>
          <w:color w:val="000000" w:themeColor="text1"/>
          <w:kern w:val="0"/>
          <w:sz w:val="24"/>
          <w:lang w:val="en-US" w:eastAsia="zh-CN" w:bidi="ar"/>
          <w14:textFill>
            <w14:solidFill>
              <w14:schemeClr w14:val="tx1"/>
            </w14:solidFill>
          </w14:textFill>
        </w:rPr>
        <w:t>阶段</w:t>
      </w:r>
      <w:r>
        <w:rPr>
          <w:rFonts w:hint="eastAsia" w:ascii="宋体" w:hAnsi="宋体" w:eastAsia="宋体" w:cs="宋体"/>
          <w:color w:val="000000" w:themeColor="text1"/>
          <w:kern w:val="0"/>
          <w:sz w:val="24"/>
          <w:lang w:bidi="ar"/>
          <w14:textFill>
            <w14:solidFill>
              <w14:schemeClr w14:val="tx1"/>
            </w14:solidFill>
          </w14:textFill>
        </w:rPr>
        <w:t xml:space="preserve">的评价。 </w:t>
      </w:r>
    </w:p>
    <w:p w14:paraId="1D93F7FC">
      <w:pPr>
        <w:widowControl/>
        <w:snapToGrid w:val="0"/>
        <w:spacing w:line="360" w:lineRule="auto"/>
        <w:ind w:firstLine="480" w:firstLineChars="200"/>
        <w:jc w:val="left"/>
        <w:rPr>
          <w:rFonts w:hint="eastAsia" w:ascii="宋体" w:hAnsi="宋体" w:eastAsia="宋体" w:cs="宋体"/>
          <w:color w:val="000000" w:themeColor="text1"/>
          <w:kern w:val="0"/>
          <w:sz w:val="24"/>
          <w:lang w:bidi="ar"/>
          <w14:textFill>
            <w14:solidFill>
              <w14:schemeClr w14:val="tx1"/>
            </w14:solidFill>
          </w14:textFill>
        </w:rPr>
      </w:pPr>
      <w:r>
        <w:rPr>
          <w:rFonts w:hint="eastAsia" w:ascii="宋体" w:hAnsi="宋体" w:eastAsia="宋体" w:cs="宋体"/>
          <w:color w:val="000000" w:themeColor="text1"/>
          <w:kern w:val="0"/>
          <w:sz w:val="24"/>
          <w:lang w:val="en-US" w:eastAsia="zh-CN" w:bidi="ar"/>
          <w14:textFill>
            <w14:solidFill>
              <w14:schemeClr w14:val="tx1"/>
            </w14:solidFill>
          </w14:textFill>
        </w:rPr>
        <w:t>落实《中华人民共和国噪声污染防治法》对光环境管理的法定责任，并执行《城市夜景照明设计规范》JGJ/T 163-2020的技术规定、</w:t>
      </w:r>
      <w:r>
        <w:rPr>
          <w:rFonts w:hint="eastAsia" w:ascii="宋体" w:hAnsi="宋体" w:eastAsia="宋体" w:cs="宋体"/>
          <w:color w:val="000000" w:themeColor="text1"/>
          <w:kern w:val="0"/>
          <w:sz w:val="24"/>
          <w:lang w:bidi="ar"/>
          <w14:textFill>
            <w14:solidFill>
              <w14:schemeClr w14:val="tx1"/>
            </w14:solidFill>
          </w14:textFill>
        </w:rPr>
        <w:t xml:space="preserve">《室外照明干扰光限制规范》GB/T 35626、《玻璃幕墙光热性能》GB/T 18091等。 </w:t>
      </w:r>
    </w:p>
    <w:p w14:paraId="5766EC72">
      <w:pPr>
        <w:widowControl/>
        <w:snapToGrid w:val="0"/>
        <w:spacing w:line="360" w:lineRule="auto"/>
        <w:ind w:firstLine="480" w:firstLineChars="200"/>
        <w:jc w:val="left"/>
        <w:rPr>
          <w:rFonts w:hint="eastAsia" w:ascii="宋体" w:hAnsi="宋体" w:eastAsia="宋体" w:cs="宋体"/>
          <w:color w:val="000000" w:themeColor="text1"/>
          <w:kern w:val="0"/>
          <w:sz w:val="24"/>
          <w:lang w:val="en-US" w:eastAsia="zh-CN" w:bidi="ar"/>
          <w14:textFill>
            <w14:solidFill>
              <w14:schemeClr w14:val="tx1"/>
            </w14:solidFill>
          </w14:textFill>
        </w:rPr>
      </w:pPr>
      <w:r>
        <w:rPr>
          <w:rFonts w:hint="eastAsia" w:ascii="宋体" w:hAnsi="宋体" w:eastAsia="宋体" w:cs="宋体"/>
          <w:color w:val="000000" w:themeColor="text1"/>
          <w:kern w:val="0"/>
          <w:sz w:val="24"/>
          <w:lang w:val="en-US" w:eastAsia="zh-CN" w:bidi="ar"/>
          <w14:textFill>
            <w14:solidFill>
              <w14:schemeClr w14:val="tx1"/>
            </w14:solidFill>
          </w14:textFill>
        </w:rPr>
        <w:t>施工建造阶段和运行阶段应控制光污染，夜间作业照明设备需配备遮光罩，地面出入口设计应避免眩光影响周边居民。通过设备控光（遮光罩）、设计防眩（配光角）、强度限值（分区标准）、时段管理（熄灯关闭） 的全链条措施，实现光污染源头削减与传播阻断，保障城市生态安全与居民环境权益。</w:t>
      </w:r>
    </w:p>
    <w:p w14:paraId="5D400595">
      <w:pPr>
        <w:widowControl/>
        <w:snapToGrid w:val="0"/>
        <w:spacing w:line="360" w:lineRule="auto"/>
        <w:ind w:firstLine="480" w:firstLineChars="200"/>
        <w:jc w:val="left"/>
        <w:rPr>
          <w:rFonts w:hint="eastAsia" w:ascii="宋体" w:hAnsi="宋体" w:eastAsia="宋体" w:cs="宋体"/>
          <w:color w:val="000000" w:themeColor="text1"/>
          <w:kern w:val="0"/>
          <w:sz w:val="24"/>
          <w:lang w:val="en-US" w:eastAsia="zh-CN" w:bidi="ar"/>
          <w14:textFill>
            <w14:solidFill>
              <w14:schemeClr w14:val="tx1"/>
            </w14:solidFill>
          </w14:textFill>
        </w:rPr>
      </w:pPr>
    </w:p>
    <w:p w14:paraId="549612BC">
      <w:pPr>
        <w:widowControl/>
        <w:snapToGrid w:val="0"/>
        <w:spacing w:line="360" w:lineRule="auto"/>
        <w:ind w:firstLine="480" w:firstLineChars="200"/>
        <w:jc w:val="left"/>
        <w:rPr>
          <w:rFonts w:hint="eastAsia" w:ascii="宋体" w:hAnsi="宋体" w:eastAsia="宋体" w:cs="宋体"/>
          <w:color w:val="000000" w:themeColor="text1"/>
          <w:kern w:val="0"/>
          <w:sz w:val="24"/>
          <w:lang w:bidi="ar"/>
          <w14:textFill>
            <w14:solidFill>
              <w14:schemeClr w14:val="tx1"/>
            </w14:solidFill>
          </w14:textFill>
        </w:rPr>
      </w:pPr>
      <w:r>
        <w:rPr>
          <w:rFonts w:hint="eastAsia" w:ascii="宋体" w:hAnsi="宋体" w:eastAsia="宋体" w:cs="宋体"/>
          <w:color w:val="000000" w:themeColor="text1"/>
          <w:kern w:val="0"/>
          <w:sz w:val="24"/>
          <w:lang w:val="en-US" w:eastAsia="zh-CN" w:bidi="ar"/>
          <w14:textFill>
            <w14:solidFill>
              <w14:schemeClr w14:val="tx1"/>
            </w14:solidFill>
          </w14:textFill>
        </w:rPr>
        <w:t>考量内容：（1）施工组织设计；（2）现场绿色照明管理规定；（3）环境影响评价报告；（4）周边街道社区居民投诉事件记录及处理记录等。</w:t>
      </w:r>
    </w:p>
    <w:p w14:paraId="38EF2B9D">
      <w:pPr>
        <w:widowControl/>
        <w:snapToGrid w:val="0"/>
        <w:spacing w:line="360" w:lineRule="auto"/>
        <w:ind w:firstLine="0" w:firstLineChars="0"/>
        <w:jc w:val="left"/>
        <w:rPr>
          <w:rFonts w:hint="eastAsia" w:ascii="宋体" w:hAnsi="宋体" w:eastAsia="宋体" w:cs="宋体"/>
          <w:color w:val="000000" w:themeColor="text1"/>
          <w:kern w:val="0"/>
          <w:sz w:val="24"/>
          <w:lang w:bidi="ar"/>
          <w14:textFill>
            <w14:solidFill>
              <w14:schemeClr w14:val="tx1"/>
            </w14:solidFill>
          </w14:textFill>
        </w:rPr>
      </w:pPr>
      <w:r>
        <w:rPr>
          <w:rFonts w:hint="eastAsia" w:ascii="宋体" w:hAnsi="宋体" w:eastAsia="宋体" w:cs="宋体"/>
          <w:color w:val="000000" w:themeColor="text1"/>
          <w:kern w:val="0"/>
          <w:sz w:val="24"/>
          <w:lang w:bidi="ar"/>
          <w14:textFill>
            <w14:solidFill>
              <w14:schemeClr w14:val="tx1"/>
            </w14:solidFill>
          </w14:textFill>
        </w:rPr>
        <w:t>4.2.6 本条款适用于基础设施</w:t>
      </w:r>
      <w:r>
        <w:rPr>
          <w:rFonts w:hint="eastAsia" w:ascii="宋体" w:hAnsi="宋体" w:eastAsia="宋体" w:cs="宋体"/>
          <w:color w:val="000000" w:themeColor="text1"/>
          <w:kern w:val="0"/>
          <w:sz w:val="24"/>
          <w:lang w:val="en-US" w:eastAsia="zh-CN" w:bidi="ar"/>
          <w14:textFill>
            <w14:solidFill>
              <w14:schemeClr w14:val="tx1"/>
            </w14:solidFill>
          </w14:textFill>
        </w:rPr>
        <w:t>项目</w:t>
      </w:r>
      <w:r>
        <w:rPr>
          <w:rFonts w:hint="eastAsia" w:ascii="宋体" w:hAnsi="宋体" w:eastAsia="宋体" w:cs="宋体"/>
          <w:color w:val="000000" w:themeColor="text1"/>
          <w:kern w:val="0"/>
          <w:sz w:val="24"/>
          <w:lang w:bidi="ar"/>
          <w14:textFill>
            <w14:solidFill>
              <w14:schemeClr w14:val="tx1"/>
            </w14:solidFill>
          </w14:textFill>
        </w:rPr>
        <w:t>规划设计阶段、施工建造阶段、运行阶段的评价。</w:t>
      </w:r>
    </w:p>
    <w:p w14:paraId="2130BAEF">
      <w:pPr>
        <w:widowControl/>
        <w:snapToGrid w:val="0"/>
        <w:spacing w:after="0" w:afterLines="-2147483648" w:line="360" w:lineRule="auto"/>
        <w:ind w:firstLine="480" w:firstLineChars="200"/>
        <w:jc w:val="left"/>
        <w:outlineLvl w:val="9"/>
        <w:rPr>
          <w:rFonts w:hint="default" w:ascii="宋体" w:hAnsi="宋体" w:eastAsia="宋体" w:cs="宋体"/>
          <w:color w:val="000000" w:themeColor="text1"/>
          <w:sz w:val="24"/>
          <w:lang w:val="en-US" w:eastAsia="zh-CN"/>
          <w14:textFill>
            <w14:solidFill>
              <w14:schemeClr w14:val="tx1"/>
            </w14:solidFill>
          </w14:textFill>
        </w:rPr>
      </w:pPr>
      <w:r>
        <w:rPr>
          <w:rFonts w:hint="eastAsia" w:ascii="宋体" w:hAnsi="宋体" w:eastAsia="宋体" w:cs="宋体"/>
          <w:color w:val="000000" w:themeColor="text1"/>
          <w:sz w:val="24"/>
          <w:lang w:val="en-US" w:eastAsia="zh-CN"/>
          <w14:textFill>
            <w14:solidFill>
              <w14:schemeClr w14:val="tx1"/>
            </w14:solidFill>
          </w14:textFill>
        </w:rPr>
        <w:t>固体废弃物和危险废弃物应按规定委托具有相应资质的单位进行处理。确保系统运行过程中产生的固体废弃物和危险废弃物被正确识别和分类。委托处理固体废弃物和危险废弃物的单位应具备相应的资质和许可，确保处理过程符合相关法规和标准要求。药剂等化学物品妥善管理，中属于危险化学品的应按危险化学品管理。临时排放的废物进行妥善安置。</w:t>
      </w:r>
    </w:p>
    <w:p w14:paraId="64FCFF6A">
      <w:pPr>
        <w:widowControl/>
        <w:snapToGrid w:val="0"/>
        <w:spacing w:line="360" w:lineRule="auto"/>
        <w:ind w:firstLine="480" w:firstLineChars="200"/>
        <w:jc w:val="left"/>
        <w:rPr>
          <w:rFonts w:hint="eastAsia" w:ascii="宋体" w:hAnsi="宋体" w:eastAsia="宋体" w:cs="宋体"/>
          <w:color w:val="000000" w:themeColor="text1"/>
          <w:kern w:val="0"/>
          <w:sz w:val="24"/>
          <w:lang w:bidi="ar"/>
          <w14:textFill>
            <w14:solidFill>
              <w14:schemeClr w14:val="tx1"/>
            </w14:solidFill>
          </w14:textFill>
        </w:rPr>
      </w:pPr>
      <w:r>
        <w:rPr>
          <w:rFonts w:hint="eastAsia" w:ascii="宋体" w:hAnsi="宋体" w:eastAsia="宋体" w:cs="宋体"/>
          <w:color w:val="000000" w:themeColor="text1"/>
          <w:kern w:val="0"/>
          <w:sz w:val="24"/>
          <w:lang w:bidi="ar"/>
          <w14:textFill>
            <w14:solidFill>
              <w14:schemeClr w14:val="tx1"/>
            </w14:solidFill>
          </w14:textFill>
        </w:rPr>
        <w:t>考量内容：（1）项目固体废物源头减量化技术设计方案或措施方案；（2）各类固体废物排放量监测数据；（3）固体废物循环利用率（吨）；（4）垃圾处理记录；（5）废物排放量、排放强度分类统计分析报告</w:t>
      </w:r>
      <w:r>
        <w:rPr>
          <w:rFonts w:hint="eastAsia" w:ascii="宋体" w:hAnsi="宋体" w:eastAsia="宋体" w:cs="宋体"/>
          <w:color w:val="000000" w:themeColor="text1"/>
          <w:kern w:val="0"/>
          <w:sz w:val="24"/>
          <w:lang w:eastAsia="zh-CN" w:bidi="ar"/>
          <w14:textFill>
            <w14:solidFill>
              <w14:schemeClr w14:val="tx1"/>
            </w14:solidFill>
          </w14:textFill>
        </w:rPr>
        <w:t>；</w:t>
      </w:r>
      <w:r>
        <w:rPr>
          <w:rFonts w:hint="eastAsia" w:ascii="宋体" w:hAnsi="宋体" w:eastAsia="宋体" w:cs="宋体"/>
          <w:color w:val="000000" w:themeColor="text1"/>
          <w:sz w:val="24"/>
          <w:lang w:val="en-US" w:eastAsia="zh-CN"/>
          <w14:textFill>
            <w14:solidFill>
              <w14:schemeClr w14:val="tx1"/>
            </w14:solidFill>
          </w14:textFill>
        </w:rPr>
        <w:t>（6）第三方检测和监管机构的检查记录</w:t>
      </w:r>
      <w:r>
        <w:rPr>
          <w:rFonts w:hint="eastAsia" w:ascii="宋体" w:hAnsi="宋体" w:eastAsia="宋体" w:cs="宋体"/>
          <w:color w:val="000000" w:themeColor="text1"/>
          <w:kern w:val="0"/>
          <w:sz w:val="24"/>
          <w:lang w:bidi="ar"/>
          <w14:textFill>
            <w14:solidFill>
              <w14:schemeClr w14:val="tx1"/>
            </w14:solidFill>
          </w14:textFill>
        </w:rPr>
        <w:t>。</w:t>
      </w:r>
    </w:p>
    <w:p w14:paraId="1FB8BD82">
      <w:pPr>
        <w:widowControl/>
        <w:snapToGrid w:val="0"/>
        <w:spacing w:line="360" w:lineRule="auto"/>
        <w:jc w:val="left"/>
        <w:rPr>
          <w:rFonts w:ascii="宋体" w:hAnsi="宋体" w:eastAsia="宋体" w:cs="宋体"/>
          <w:color w:val="000000" w:themeColor="text1"/>
          <w:kern w:val="0"/>
          <w:sz w:val="24"/>
          <w:lang w:bidi="ar"/>
          <w14:textFill>
            <w14:solidFill>
              <w14:schemeClr w14:val="tx1"/>
            </w14:solidFill>
          </w14:textFill>
        </w:rPr>
      </w:pPr>
      <w:r>
        <w:rPr>
          <w:rFonts w:hint="eastAsia" w:ascii="宋体" w:hAnsi="宋体" w:eastAsia="宋体" w:cs="宋体"/>
          <w:color w:val="000000" w:themeColor="text1"/>
          <w:kern w:val="0"/>
          <w:sz w:val="24"/>
          <w:lang w:val="en-US" w:eastAsia="zh-CN" w:bidi="ar"/>
          <w14:textFill>
            <w14:solidFill>
              <w14:schemeClr w14:val="tx1"/>
            </w14:solidFill>
          </w14:textFill>
        </w:rPr>
        <w:t>4.2.7</w:t>
      </w:r>
      <w:r>
        <w:rPr>
          <w:rFonts w:hint="eastAsia" w:ascii="宋体" w:hAnsi="宋体" w:eastAsia="宋体" w:cs="宋体"/>
          <w:color w:val="000000" w:themeColor="text1"/>
          <w:kern w:val="0"/>
          <w:sz w:val="24"/>
          <w:lang w:bidi="ar"/>
          <w14:textFill>
            <w14:solidFill>
              <w14:schemeClr w14:val="tx1"/>
            </w14:solidFill>
          </w14:textFill>
        </w:rPr>
        <w:t>本条</w:t>
      </w:r>
      <w:r>
        <w:rPr>
          <w:rFonts w:hint="eastAsia" w:ascii="宋体" w:hAnsi="宋体" w:eastAsia="宋体" w:cs="宋体"/>
          <w:color w:val="000000" w:themeColor="text1"/>
          <w:kern w:val="0"/>
          <w:sz w:val="24"/>
          <w:lang w:val="en-US" w:eastAsia="zh-CN" w:bidi="ar"/>
          <w14:textFill>
            <w14:solidFill>
              <w14:schemeClr w14:val="tx1"/>
            </w14:solidFill>
          </w14:textFill>
        </w:rPr>
        <w:t>款</w:t>
      </w:r>
      <w:r>
        <w:rPr>
          <w:rFonts w:hint="eastAsia" w:ascii="宋体" w:hAnsi="宋体" w:eastAsia="宋体" w:cs="宋体"/>
          <w:color w:val="000000" w:themeColor="text1"/>
          <w:kern w:val="0"/>
          <w:sz w:val="24"/>
          <w:lang w:bidi="ar"/>
          <w14:textFill>
            <w14:solidFill>
              <w14:schemeClr w14:val="tx1"/>
            </w14:solidFill>
          </w14:textFill>
        </w:rPr>
        <w:t>适用于基础设施</w:t>
      </w:r>
      <w:r>
        <w:rPr>
          <w:rFonts w:hint="eastAsia" w:ascii="宋体" w:hAnsi="宋体" w:eastAsia="宋体" w:cs="宋体"/>
          <w:color w:val="000000" w:themeColor="text1"/>
          <w:kern w:val="0"/>
          <w:sz w:val="24"/>
          <w:lang w:val="en-US" w:eastAsia="zh-CN" w:bidi="ar"/>
          <w14:textFill>
            <w14:solidFill>
              <w14:schemeClr w14:val="tx1"/>
            </w14:solidFill>
          </w14:textFill>
        </w:rPr>
        <w:t>项目</w:t>
      </w:r>
      <w:r>
        <w:rPr>
          <w:rFonts w:hint="eastAsia" w:ascii="宋体" w:hAnsi="宋体" w:eastAsia="宋体" w:cs="宋体"/>
          <w:color w:val="000000" w:themeColor="text1"/>
          <w:kern w:val="0"/>
          <w:sz w:val="24"/>
          <w:lang w:eastAsia="zh-CN" w:bidi="ar"/>
          <w14:textFill>
            <w14:solidFill>
              <w14:schemeClr w14:val="tx1"/>
            </w14:solidFill>
          </w14:textFill>
        </w:rPr>
        <w:t>规划设计</w:t>
      </w:r>
      <w:r>
        <w:rPr>
          <w:rFonts w:hint="eastAsia" w:ascii="宋体" w:hAnsi="宋体" w:eastAsia="宋体" w:cs="宋体"/>
          <w:color w:val="000000" w:themeColor="text1"/>
          <w:kern w:val="0"/>
          <w:sz w:val="24"/>
          <w:lang w:val="en-US" w:eastAsia="zh-CN" w:bidi="ar"/>
          <w14:textFill>
            <w14:solidFill>
              <w14:schemeClr w14:val="tx1"/>
            </w14:solidFill>
          </w14:textFill>
        </w:rPr>
        <w:t>阶段</w:t>
      </w:r>
      <w:r>
        <w:rPr>
          <w:rFonts w:hint="eastAsia" w:ascii="宋体" w:hAnsi="宋体" w:eastAsia="宋体" w:cs="宋体"/>
          <w:color w:val="000000" w:themeColor="text1"/>
          <w:kern w:val="0"/>
          <w:sz w:val="24"/>
          <w:lang w:bidi="ar"/>
          <w14:textFill>
            <w14:solidFill>
              <w14:schemeClr w14:val="tx1"/>
            </w14:solidFill>
          </w14:textFill>
        </w:rPr>
        <w:t>、</w:t>
      </w:r>
      <w:r>
        <w:rPr>
          <w:rFonts w:hint="eastAsia" w:ascii="宋体" w:hAnsi="宋体" w:eastAsia="宋体" w:cs="宋体"/>
          <w:color w:val="000000" w:themeColor="text1"/>
          <w:kern w:val="0"/>
          <w:sz w:val="24"/>
          <w:lang w:eastAsia="zh-CN" w:bidi="ar"/>
          <w14:textFill>
            <w14:solidFill>
              <w14:schemeClr w14:val="tx1"/>
            </w14:solidFill>
          </w14:textFill>
        </w:rPr>
        <w:t>施工建造</w:t>
      </w:r>
      <w:r>
        <w:rPr>
          <w:rFonts w:hint="eastAsia" w:ascii="宋体" w:hAnsi="宋体" w:eastAsia="宋体" w:cs="宋体"/>
          <w:color w:val="000000" w:themeColor="text1"/>
          <w:kern w:val="0"/>
          <w:sz w:val="24"/>
          <w:lang w:val="en-US" w:eastAsia="zh-CN" w:bidi="ar"/>
          <w14:textFill>
            <w14:solidFill>
              <w14:schemeClr w14:val="tx1"/>
            </w14:solidFill>
          </w14:textFill>
        </w:rPr>
        <w:t>阶段</w:t>
      </w:r>
      <w:r>
        <w:rPr>
          <w:rFonts w:hint="eastAsia" w:ascii="宋体" w:hAnsi="宋体" w:eastAsia="宋体" w:cs="宋体"/>
          <w:color w:val="000000" w:themeColor="text1"/>
          <w:kern w:val="0"/>
          <w:sz w:val="24"/>
          <w:lang w:bidi="ar"/>
          <w14:textFill>
            <w14:solidFill>
              <w14:schemeClr w14:val="tx1"/>
            </w14:solidFill>
          </w14:textFill>
        </w:rPr>
        <w:t xml:space="preserve">评价。 </w:t>
      </w:r>
    </w:p>
    <w:p w14:paraId="20723F63">
      <w:pPr>
        <w:widowControl/>
        <w:snapToGrid w:val="0"/>
        <w:spacing w:line="360" w:lineRule="auto"/>
        <w:ind w:firstLine="480" w:firstLineChars="200"/>
        <w:jc w:val="left"/>
        <w:rPr>
          <w:rFonts w:hint="eastAsia" w:ascii="宋体" w:hAnsi="宋体" w:eastAsia="宋体" w:cs="宋体"/>
          <w:color w:val="000000" w:themeColor="text1"/>
          <w:kern w:val="0"/>
          <w:sz w:val="24"/>
          <w:lang w:val="en-US" w:eastAsia="zh-CN" w:bidi="ar"/>
          <w14:textFill>
            <w14:solidFill>
              <w14:schemeClr w14:val="tx1"/>
            </w14:solidFill>
          </w14:textFill>
        </w:rPr>
      </w:pPr>
      <w:r>
        <w:rPr>
          <w:rFonts w:hint="eastAsia" w:ascii="宋体" w:hAnsi="宋体" w:eastAsia="宋体" w:cs="宋体"/>
          <w:color w:val="000000" w:themeColor="text1"/>
          <w:kern w:val="0"/>
          <w:sz w:val="24"/>
          <w:lang w:bidi="ar"/>
          <w14:textFill>
            <w14:solidFill>
              <w14:schemeClr w14:val="tx1"/>
            </w14:solidFill>
          </w14:textFill>
        </w:rPr>
        <w:t>考量内容：（1）土壤污染物识别情况；（2）</w:t>
      </w:r>
      <w:r>
        <w:rPr>
          <w:rFonts w:hint="eastAsia" w:eastAsia="宋体"/>
          <w:color w:val="000000" w:themeColor="text1"/>
          <w:sz w:val="24"/>
          <w:lang w:val="en-US" w:eastAsia="zh-CN"/>
          <w14:textFill>
            <w14:solidFill>
              <w14:schemeClr w14:val="tx1"/>
            </w14:solidFill>
          </w14:textFill>
        </w:rPr>
        <w:t>土壤保护方案</w:t>
      </w:r>
      <w:r>
        <w:rPr>
          <w:rFonts w:hint="eastAsia" w:ascii="宋体" w:hAnsi="宋体" w:eastAsia="宋体" w:cs="宋体"/>
          <w:color w:val="000000" w:themeColor="text1"/>
          <w:kern w:val="0"/>
          <w:sz w:val="24"/>
          <w:lang w:bidi="ar"/>
          <w14:textFill>
            <w14:solidFill>
              <w14:schemeClr w14:val="tx1"/>
            </w14:solidFill>
          </w14:textFill>
        </w:rPr>
        <w:t>；（3）采取的土壤污染物控制措施</w:t>
      </w:r>
      <w:r>
        <w:rPr>
          <w:rFonts w:hint="eastAsia" w:ascii="宋体" w:hAnsi="宋体" w:eastAsia="宋体" w:cs="宋体"/>
          <w:color w:val="000000" w:themeColor="text1"/>
          <w:kern w:val="0"/>
          <w:sz w:val="24"/>
          <w:lang w:eastAsia="zh-CN" w:bidi="ar"/>
          <w14:textFill>
            <w14:solidFill>
              <w14:schemeClr w14:val="tx1"/>
            </w14:solidFill>
          </w14:textFill>
        </w:rPr>
        <w:t>（</w:t>
      </w:r>
      <w:r>
        <w:rPr>
          <w:rFonts w:hint="eastAsia" w:ascii="宋体" w:hAnsi="宋体" w:eastAsia="宋体" w:cs="宋体"/>
          <w:color w:val="000000" w:themeColor="text1"/>
          <w:kern w:val="0"/>
          <w:sz w:val="24"/>
          <w:lang w:val="en-US" w:eastAsia="zh-CN" w:bidi="ar"/>
          <w14:textFill>
            <w14:solidFill>
              <w14:schemeClr w14:val="tx1"/>
            </w14:solidFill>
          </w14:textFill>
        </w:rPr>
        <w:t>含</w:t>
      </w:r>
      <w:r>
        <w:rPr>
          <w:rFonts w:hint="eastAsia"/>
          <w:color w:val="000000" w:themeColor="text1"/>
          <w:sz w:val="24"/>
          <w14:textFill>
            <w14:solidFill>
              <w14:schemeClr w14:val="tx1"/>
            </w14:solidFill>
          </w14:textFill>
        </w:rPr>
        <w:t>防范突发污染事件的技术方案</w:t>
      </w:r>
      <w:r>
        <w:rPr>
          <w:rFonts w:hint="eastAsia"/>
          <w:color w:val="000000" w:themeColor="text1"/>
          <w:sz w:val="24"/>
          <w:lang w:eastAsia="zh-CN"/>
          <w14:textFill>
            <w14:solidFill>
              <w14:schemeClr w14:val="tx1"/>
            </w14:solidFill>
          </w14:textFill>
        </w:rPr>
        <w:t>）</w:t>
      </w:r>
      <w:r>
        <w:rPr>
          <w:rFonts w:hint="eastAsia" w:ascii="宋体" w:hAnsi="宋体" w:eastAsia="宋体" w:cs="宋体"/>
          <w:color w:val="000000" w:themeColor="text1"/>
          <w:kern w:val="0"/>
          <w:sz w:val="24"/>
          <w:lang w:eastAsia="zh-CN" w:bidi="ar"/>
          <w14:textFill>
            <w14:solidFill>
              <w14:schemeClr w14:val="tx1"/>
            </w14:solidFill>
          </w14:textFill>
        </w:rPr>
        <w:t>；（</w:t>
      </w:r>
      <w:r>
        <w:rPr>
          <w:rFonts w:hint="eastAsia" w:ascii="宋体" w:hAnsi="宋体" w:eastAsia="宋体" w:cs="宋体"/>
          <w:color w:val="000000" w:themeColor="text1"/>
          <w:kern w:val="0"/>
          <w:sz w:val="24"/>
          <w:lang w:val="en-US" w:eastAsia="zh-CN" w:bidi="ar"/>
          <w14:textFill>
            <w14:solidFill>
              <w14:schemeClr w14:val="tx1"/>
            </w14:solidFill>
          </w14:textFill>
        </w:rPr>
        <w:t>4</w:t>
      </w:r>
      <w:r>
        <w:rPr>
          <w:rFonts w:hint="eastAsia" w:ascii="宋体" w:hAnsi="宋体" w:eastAsia="宋体" w:cs="宋体"/>
          <w:color w:val="000000" w:themeColor="text1"/>
          <w:kern w:val="0"/>
          <w:sz w:val="24"/>
          <w:lang w:eastAsia="zh-CN" w:bidi="ar"/>
          <w14:textFill>
            <w14:solidFill>
              <w14:schemeClr w14:val="tx1"/>
            </w14:solidFill>
          </w14:textFill>
        </w:rPr>
        <w:t>）</w:t>
      </w:r>
      <w:r>
        <w:rPr>
          <w:rFonts w:hint="eastAsia" w:ascii="宋体" w:hAnsi="宋体" w:eastAsia="宋体" w:cs="宋体"/>
          <w:color w:val="000000" w:themeColor="text1"/>
          <w:kern w:val="0"/>
          <w:sz w:val="24"/>
          <w:lang w:val="en-US" w:eastAsia="zh-CN" w:bidi="ar"/>
          <w14:textFill>
            <w14:solidFill>
              <w14:schemeClr w14:val="tx1"/>
            </w14:solidFill>
          </w14:textFill>
        </w:rPr>
        <w:t>土壤污染监测数据；（6）</w:t>
      </w:r>
      <w:r>
        <w:rPr>
          <w:rFonts w:hint="eastAsia"/>
          <w:color w:val="000000" w:themeColor="text1"/>
          <w:sz w:val="24"/>
          <w14:textFill>
            <w14:solidFill>
              <w14:schemeClr w14:val="tx1"/>
            </w14:solidFill>
          </w14:textFill>
        </w:rPr>
        <w:t>污染土壤的场地制定治理方案</w:t>
      </w:r>
      <w:r>
        <w:rPr>
          <w:rFonts w:hint="eastAsia" w:ascii="宋体" w:hAnsi="宋体" w:eastAsia="宋体" w:cs="宋体"/>
          <w:color w:val="000000" w:themeColor="text1"/>
          <w:kern w:val="0"/>
          <w:sz w:val="24"/>
          <w:lang w:val="en-US" w:eastAsia="zh-CN" w:bidi="ar"/>
          <w14:textFill>
            <w14:solidFill>
              <w14:schemeClr w14:val="tx1"/>
            </w14:solidFill>
          </w14:textFill>
        </w:rPr>
        <w:t>。</w:t>
      </w:r>
    </w:p>
    <w:p w14:paraId="6631C3EC">
      <w:pPr>
        <w:widowControl/>
        <w:snapToGrid w:val="0"/>
        <w:spacing w:after="0" w:afterLines="-2147483648" w:line="360" w:lineRule="auto"/>
        <w:jc w:val="left"/>
        <w:outlineLvl w:val="9"/>
        <w:rPr>
          <w:rFonts w:hint="eastAsia" w:ascii="宋体" w:hAnsi="宋体" w:eastAsia="宋体" w:cs="宋体"/>
          <w:color w:val="000000" w:themeColor="text1"/>
          <w:kern w:val="0"/>
          <w:sz w:val="24"/>
          <w:lang w:val="en-US" w:eastAsia="zh-CN" w:bidi="ar"/>
          <w14:textFill>
            <w14:solidFill>
              <w14:schemeClr w14:val="tx1"/>
            </w14:solidFill>
          </w14:textFill>
        </w:rPr>
      </w:pPr>
      <w:r>
        <w:rPr>
          <w:rFonts w:hint="eastAsia" w:ascii="宋体" w:hAnsi="宋体" w:eastAsia="宋体" w:cs="宋体"/>
          <w:color w:val="000000" w:themeColor="text1"/>
          <w:kern w:val="0"/>
          <w:sz w:val="24"/>
          <w:lang w:val="en-US" w:eastAsia="zh-CN" w:bidi="ar"/>
          <w14:textFill>
            <w14:solidFill>
              <w14:schemeClr w14:val="tx1"/>
            </w14:solidFill>
          </w14:textFill>
        </w:rPr>
        <w:t>4.2.8本条款适用于</w:t>
      </w:r>
      <w:r>
        <w:rPr>
          <w:rFonts w:hint="eastAsia" w:ascii="宋体" w:hAnsi="宋体" w:eastAsia="宋体" w:cs="宋体"/>
          <w:color w:val="000000" w:themeColor="text1"/>
          <w:kern w:val="0"/>
          <w:sz w:val="24"/>
          <w:lang w:bidi="ar"/>
          <w14:textFill>
            <w14:solidFill>
              <w14:schemeClr w14:val="tx1"/>
            </w14:solidFill>
          </w14:textFill>
        </w:rPr>
        <w:t>基础设施</w:t>
      </w:r>
      <w:r>
        <w:rPr>
          <w:rFonts w:hint="eastAsia" w:ascii="宋体" w:hAnsi="宋体" w:eastAsia="宋体" w:cs="宋体"/>
          <w:color w:val="000000" w:themeColor="text1"/>
          <w:kern w:val="0"/>
          <w:sz w:val="24"/>
          <w:lang w:val="en-US" w:eastAsia="zh-CN" w:bidi="ar"/>
          <w14:textFill>
            <w14:solidFill>
              <w14:schemeClr w14:val="tx1"/>
            </w14:solidFill>
          </w14:textFill>
        </w:rPr>
        <w:t>项目运行阶段的评价。</w:t>
      </w:r>
    </w:p>
    <w:p w14:paraId="10E1D683">
      <w:pPr>
        <w:widowControl/>
        <w:snapToGrid w:val="0"/>
        <w:spacing w:after="0" w:afterLines="-2147483648" w:line="360" w:lineRule="auto"/>
        <w:jc w:val="left"/>
        <w:outlineLvl w:val="9"/>
        <w:rPr>
          <w:rFonts w:hint="eastAsia" w:ascii="宋体" w:hAnsi="宋体" w:eastAsia="宋体" w:cs="宋体"/>
          <w:color w:val="000000" w:themeColor="text1"/>
          <w:kern w:val="0"/>
          <w:sz w:val="24"/>
          <w:lang w:val="en-US" w:eastAsia="zh-CN" w:bidi="ar"/>
          <w14:textFill>
            <w14:solidFill>
              <w14:schemeClr w14:val="tx1"/>
            </w14:solidFill>
          </w14:textFill>
        </w:rPr>
      </w:pPr>
      <w:r>
        <w:rPr>
          <w:rFonts w:hint="eastAsia" w:ascii="宋体" w:hAnsi="宋体" w:eastAsia="宋体" w:cs="宋体"/>
          <w:color w:val="000000" w:themeColor="text1"/>
          <w:kern w:val="0"/>
          <w:sz w:val="24"/>
          <w:lang w:val="en-US" w:eastAsia="zh-CN" w:bidi="ar"/>
          <w14:textFill>
            <w14:solidFill>
              <w14:schemeClr w14:val="tx1"/>
            </w14:solidFill>
          </w14:textFill>
        </w:rPr>
        <w:t xml:space="preserve">    评估水处理药剂包括化学品仓库的环境条件如温度、湿度、通风等应符合安全管理要求。药剂中属于危险化学品的部分应按照危险化学品管理的要求进行管理。包括对危险化学品的标识、分类、隔离存放、安全防护措施等。水处理药剂的使用和操作过程中应遵循安全操作规程，包括个人防护装备的使用、泄漏应急处理、火灾防范等措施的落实情况。评估相关人员是否接受了关于水处理药剂使用和管理的培训和教育，包括对危险化学品的认识、使用方法、事故应对等方面的知识和技能。</w:t>
      </w:r>
    </w:p>
    <w:p w14:paraId="4AD4F77F">
      <w:pPr>
        <w:widowControl/>
        <w:snapToGrid w:val="0"/>
        <w:spacing w:after="0" w:afterLines="-2147483648" w:line="360" w:lineRule="auto"/>
        <w:ind w:firstLine="480" w:firstLineChars="200"/>
        <w:jc w:val="left"/>
        <w:outlineLvl w:val="9"/>
        <w:rPr>
          <w:rFonts w:hint="eastAsia" w:ascii="宋体" w:hAnsi="宋体" w:eastAsia="宋体" w:cs="宋体"/>
          <w:color w:val="000000" w:themeColor="text1"/>
          <w:kern w:val="0"/>
          <w:sz w:val="24"/>
          <w:lang w:val="en-US" w:eastAsia="zh-CN" w:bidi="ar"/>
          <w14:textFill>
            <w14:solidFill>
              <w14:schemeClr w14:val="tx1"/>
            </w14:solidFill>
          </w14:textFill>
        </w:rPr>
      </w:pPr>
      <w:r>
        <w:rPr>
          <w:rFonts w:hint="eastAsia" w:ascii="宋体" w:hAnsi="宋体" w:eastAsia="宋体" w:cs="宋体"/>
          <w:color w:val="000000" w:themeColor="text1"/>
          <w:kern w:val="0"/>
          <w:sz w:val="24"/>
          <w:lang w:val="en-US" w:eastAsia="zh-CN" w:bidi="ar"/>
          <w14:textFill>
            <w14:solidFill>
              <w14:schemeClr w14:val="tx1"/>
            </w14:solidFill>
          </w14:textFill>
        </w:rPr>
        <w:t>考量内容：（1）定期进行合规性审查记录；（2）内部运行维护、培训记录；（3）第三方检测和监管机构的检查记录。</w:t>
      </w:r>
    </w:p>
    <w:p w14:paraId="67DE97F6">
      <w:pPr>
        <w:snapToGrid w:val="0"/>
        <w:spacing w:line="360" w:lineRule="auto"/>
        <w:jc w:val="center"/>
        <w:outlineLvl w:val="2"/>
        <w:rPr>
          <w:rFonts w:ascii="仿宋" w:hAnsi="仿宋" w:eastAsia="仿宋" w:cs="仿宋"/>
          <w:color w:val="000000" w:themeColor="text1"/>
          <w:sz w:val="28"/>
          <w:szCs w:val="28"/>
          <w14:textFill>
            <w14:solidFill>
              <w14:schemeClr w14:val="tx1"/>
            </w14:solidFill>
          </w14:textFill>
        </w:rPr>
      </w:pPr>
      <w:bookmarkStart w:id="721" w:name="_Toc9194"/>
      <w:bookmarkStart w:id="722" w:name="_Toc29630"/>
      <w:bookmarkStart w:id="723" w:name="_Toc17563"/>
      <w:bookmarkStart w:id="724" w:name="_Toc31356"/>
      <w:bookmarkStart w:id="725" w:name="_Toc23106"/>
      <w:r>
        <w:rPr>
          <w:rFonts w:hint="eastAsia" w:ascii="仿宋" w:hAnsi="仿宋" w:eastAsia="仿宋" w:cs="仿宋"/>
          <w:color w:val="000000" w:themeColor="text1"/>
          <w:sz w:val="28"/>
          <w:szCs w:val="28"/>
          <w14:textFill>
            <w14:solidFill>
              <w14:schemeClr w14:val="tx1"/>
            </w14:solidFill>
          </w14:textFill>
        </w:rPr>
        <w:t xml:space="preserve">Ⅱ </w:t>
      </w:r>
      <w:bookmarkEnd w:id="721"/>
      <w:bookmarkEnd w:id="722"/>
      <w:bookmarkEnd w:id="723"/>
      <w:bookmarkEnd w:id="724"/>
      <w:r>
        <w:rPr>
          <w:rFonts w:hint="eastAsia" w:ascii="仿宋" w:hAnsi="仿宋" w:eastAsia="仿宋" w:cs="仿宋"/>
          <w:color w:val="000000" w:themeColor="text1"/>
          <w:sz w:val="28"/>
          <w:szCs w:val="28"/>
          <w14:textFill>
            <w14:solidFill>
              <w14:schemeClr w14:val="tx1"/>
            </w14:solidFill>
          </w14:textFill>
        </w:rPr>
        <w:t>温室气体减排</w:t>
      </w:r>
      <w:bookmarkEnd w:id="725"/>
    </w:p>
    <w:p w14:paraId="00C952C1">
      <w:pPr>
        <w:widowControl/>
        <w:snapToGrid w:val="0"/>
        <w:spacing w:line="360" w:lineRule="auto"/>
        <w:jc w:val="left"/>
        <w:rPr>
          <w:rFonts w:hint="eastAsia" w:ascii="宋体" w:hAnsi="宋体" w:eastAsia="宋体" w:cs="宋体"/>
          <w:color w:val="000000" w:themeColor="text1"/>
          <w:kern w:val="0"/>
          <w:sz w:val="24"/>
          <w:lang w:bidi="ar"/>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4.2.</w:t>
      </w:r>
      <w:r>
        <w:rPr>
          <w:rFonts w:hint="eastAsia" w:ascii="宋体" w:hAnsi="宋体" w:eastAsia="宋体" w:cs="宋体"/>
          <w:color w:val="000000" w:themeColor="text1"/>
          <w:sz w:val="24"/>
          <w:lang w:val="en-US" w:eastAsia="zh-CN"/>
          <w14:textFill>
            <w14:solidFill>
              <w14:schemeClr w14:val="tx1"/>
            </w14:solidFill>
          </w14:textFill>
        </w:rPr>
        <w:t>9</w:t>
      </w:r>
      <w:r>
        <w:rPr>
          <w:rFonts w:hint="eastAsia" w:ascii="宋体" w:hAnsi="宋体" w:eastAsia="宋体" w:cs="宋体"/>
          <w:color w:val="000000" w:themeColor="text1"/>
          <w:kern w:val="0"/>
          <w:sz w:val="24"/>
          <w:lang w:bidi="ar"/>
          <w14:textFill>
            <w14:solidFill>
              <w14:schemeClr w14:val="tx1"/>
            </w14:solidFill>
          </w14:textFill>
        </w:rPr>
        <w:t>本条款适用于基础设施</w:t>
      </w:r>
      <w:r>
        <w:rPr>
          <w:rFonts w:hint="eastAsia" w:ascii="宋体" w:hAnsi="宋体" w:eastAsia="宋体" w:cs="宋体"/>
          <w:color w:val="000000" w:themeColor="text1"/>
          <w:kern w:val="0"/>
          <w:sz w:val="24"/>
          <w:lang w:val="en-US" w:eastAsia="zh-CN" w:bidi="ar"/>
          <w14:textFill>
            <w14:solidFill>
              <w14:schemeClr w14:val="tx1"/>
            </w14:solidFill>
          </w14:textFill>
        </w:rPr>
        <w:t>项目</w:t>
      </w:r>
      <w:r>
        <w:rPr>
          <w:rFonts w:hint="eastAsia" w:ascii="宋体" w:hAnsi="宋体" w:eastAsia="宋体" w:cs="宋体"/>
          <w:color w:val="000000" w:themeColor="text1"/>
          <w:kern w:val="0"/>
          <w:sz w:val="24"/>
          <w:lang w:bidi="ar"/>
          <w14:textFill>
            <w14:solidFill>
              <w14:schemeClr w14:val="tx1"/>
            </w14:solidFill>
          </w14:textFill>
        </w:rPr>
        <w:t xml:space="preserve">施工建造阶段、运行阶段的评价。 </w:t>
      </w:r>
    </w:p>
    <w:p w14:paraId="1D93D5F5">
      <w:pPr>
        <w:widowControl/>
        <w:snapToGrid w:val="0"/>
        <w:spacing w:line="360" w:lineRule="auto"/>
        <w:ind w:firstLine="480" w:firstLineChars="200"/>
        <w:jc w:val="left"/>
        <w:rPr>
          <w:rFonts w:hint="eastAsia" w:ascii="宋体" w:hAnsi="宋体" w:eastAsia="宋体" w:cs="宋体"/>
          <w:color w:val="000000" w:themeColor="text1"/>
          <w:kern w:val="0"/>
          <w:sz w:val="24"/>
          <w:lang w:bidi="ar"/>
          <w14:textFill>
            <w14:solidFill>
              <w14:schemeClr w14:val="tx1"/>
            </w14:solidFill>
          </w14:textFill>
        </w:rPr>
      </w:pPr>
      <w:r>
        <w:rPr>
          <w:rFonts w:hint="eastAsia" w:ascii="宋体" w:hAnsi="宋体" w:eastAsia="宋体" w:cs="宋体"/>
          <w:color w:val="000000" w:themeColor="text1"/>
          <w:kern w:val="0"/>
          <w:sz w:val="24"/>
          <w:lang w:bidi="ar"/>
          <w14:textFill>
            <w14:solidFill>
              <w14:schemeClr w14:val="tx1"/>
            </w14:solidFill>
          </w14:textFill>
        </w:rPr>
        <w:t>城市基础设施温室气体排放主要包括有二氧化碳（CO2）、甲烷（CH4）、氧化亚氮（N2O）、氢氟碳化物（HF-Cs）等。其中公共设施建筑中主要温室气体排放有二氧化碳（CO2）、甲烷（CH4）、氢氟碳化物（HF-Cs）等；排水系统、垃圾处理设施中温室气体排放主要有二氧化碳（CO2）、甲烷（CH4）、氧化亚氮（N2O）等。</w:t>
      </w:r>
    </w:p>
    <w:p w14:paraId="3BCB811C">
      <w:pPr>
        <w:widowControl/>
        <w:snapToGrid w:val="0"/>
        <w:spacing w:line="360" w:lineRule="auto"/>
        <w:ind w:firstLine="480" w:firstLineChars="200"/>
        <w:jc w:val="left"/>
        <w:rPr>
          <w:rFonts w:hint="eastAsia" w:ascii="宋体" w:hAnsi="宋体" w:eastAsia="宋体" w:cs="宋体"/>
          <w:color w:val="000000" w:themeColor="text1"/>
          <w:kern w:val="0"/>
          <w:sz w:val="24"/>
          <w:lang w:bidi="ar"/>
          <w14:textFill>
            <w14:solidFill>
              <w14:schemeClr w14:val="tx1"/>
            </w14:solidFill>
          </w14:textFill>
        </w:rPr>
      </w:pPr>
      <w:r>
        <w:rPr>
          <w:rFonts w:hint="eastAsia" w:ascii="宋体" w:hAnsi="宋体" w:eastAsia="宋体" w:cs="宋体"/>
          <w:color w:val="000000" w:themeColor="text1"/>
          <w:kern w:val="0"/>
          <w:sz w:val="24"/>
          <w:lang w:bidi="ar"/>
          <w14:textFill>
            <w14:solidFill>
              <w14:schemeClr w14:val="tx1"/>
            </w14:solidFill>
          </w14:textFill>
        </w:rPr>
        <w:t>碳排放计量监测包括燃料燃烧引起的直接碳排放，以及电力和热力消耗产生的间接碳排放。温室气体排放量需转换为二氧化碳当量进行信息管理。</w:t>
      </w:r>
    </w:p>
    <w:p w14:paraId="55AB2BFC">
      <w:pPr>
        <w:widowControl/>
        <w:snapToGrid w:val="0"/>
        <w:spacing w:line="360" w:lineRule="auto"/>
        <w:ind w:firstLine="480" w:firstLineChars="200"/>
        <w:jc w:val="left"/>
        <w:rPr>
          <w:rFonts w:hint="eastAsia" w:ascii="宋体" w:hAnsi="宋体" w:eastAsia="宋体" w:cs="宋体"/>
          <w:color w:val="000000" w:themeColor="text1"/>
          <w:kern w:val="0"/>
          <w:sz w:val="24"/>
          <w:lang w:val="en-US" w:eastAsia="zh-CN" w:bidi="ar"/>
          <w14:textFill>
            <w14:solidFill>
              <w14:schemeClr w14:val="tx1"/>
            </w14:solidFill>
          </w14:textFill>
        </w:rPr>
      </w:pPr>
      <w:r>
        <w:rPr>
          <w:rFonts w:hint="eastAsia" w:ascii="宋体" w:hAnsi="宋体" w:eastAsia="宋体" w:cs="宋体"/>
          <w:color w:val="000000" w:themeColor="text1"/>
          <w:kern w:val="0"/>
          <w:sz w:val="24"/>
          <w:lang w:val="en-US" w:eastAsia="zh-CN" w:bidi="ar"/>
          <w14:textFill>
            <w14:solidFill>
              <w14:schemeClr w14:val="tx1"/>
            </w14:solidFill>
          </w14:textFill>
        </w:rPr>
        <w:t>遵循全生命周期核算原则，应参照《民用建筑碳排放评价标准》的核算方法：碳排放目标管理覆盖建材生产、施工运输、运行能耗，分解年度减排目标。信息化平台建设需集成物联网实时监测设备，执行《温室气体排放核算与报告要求》GB/T 32151.12-2023分类规则：施工阶段分项监测燃油机械、运输车辆；运行阶段：实时采集牵引耗电、通风空调能耗，平台自动生成碳清单。</w:t>
      </w:r>
    </w:p>
    <w:p w14:paraId="1D864204">
      <w:pPr>
        <w:widowControl/>
        <w:snapToGrid w:val="0"/>
        <w:spacing w:line="360" w:lineRule="auto"/>
        <w:ind w:firstLine="480" w:firstLineChars="200"/>
        <w:jc w:val="left"/>
        <w:rPr>
          <w:rFonts w:hint="eastAsia" w:ascii="宋体" w:hAnsi="宋体" w:eastAsia="宋体" w:cs="宋体"/>
          <w:color w:val="000000" w:themeColor="text1"/>
          <w:kern w:val="0"/>
          <w:sz w:val="24"/>
          <w:lang w:bidi="ar"/>
          <w14:textFill>
            <w14:solidFill>
              <w14:schemeClr w14:val="tx1"/>
            </w14:solidFill>
          </w14:textFill>
        </w:rPr>
      </w:pPr>
      <w:r>
        <w:rPr>
          <w:rFonts w:hint="eastAsia" w:ascii="宋体" w:hAnsi="宋体" w:eastAsia="宋体" w:cs="宋体"/>
          <w:color w:val="000000" w:themeColor="text1"/>
          <w:kern w:val="0"/>
          <w:sz w:val="24"/>
          <w:lang w:val="en-US" w:eastAsia="zh-CN" w:bidi="ar"/>
          <w14:textFill>
            <w14:solidFill>
              <w14:schemeClr w14:val="tx1"/>
            </w14:solidFill>
          </w14:textFill>
        </w:rPr>
        <w:t>考量内容：（1）施工组织设计；</w:t>
      </w:r>
      <w:r>
        <w:rPr>
          <w:rFonts w:hint="eastAsia" w:ascii="宋体" w:hAnsi="宋体" w:eastAsia="宋体" w:cs="宋体"/>
          <w:color w:val="000000" w:themeColor="text1"/>
          <w:kern w:val="0"/>
          <w:sz w:val="24"/>
          <w:lang w:bidi="ar"/>
          <w14:textFill>
            <w14:solidFill>
              <w14:schemeClr w14:val="tx1"/>
            </w14:solidFill>
          </w14:textFill>
        </w:rPr>
        <w:t>（</w:t>
      </w:r>
      <w:r>
        <w:rPr>
          <w:rFonts w:hint="eastAsia" w:ascii="宋体" w:hAnsi="宋体" w:eastAsia="宋体" w:cs="宋体"/>
          <w:color w:val="000000" w:themeColor="text1"/>
          <w:kern w:val="0"/>
          <w:sz w:val="24"/>
          <w:lang w:val="en-US" w:eastAsia="zh-CN" w:bidi="ar"/>
          <w14:textFill>
            <w14:solidFill>
              <w14:schemeClr w14:val="tx1"/>
            </w14:solidFill>
          </w14:textFill>
        </w:rPr>
        <w:t>2</w:t>
      </w:r>
      <w:r>
        <w:rPr>
          <w:rFonts w:hint="eastAsia" w:ascii="宋体" w:hAnsi="宋体" w:eastAsia="宋体" w:cs="宋体"/>
          <w:color w:val="000000" w:themeColor="text1"/>
          <w:kern w:val="0"/>
          <w:sz w:val="24"/>
          <w:lang w:bidi="ar"/>
          <w14:textFill>
            <w14:solidFill>
              <w14:schemeClr w14:val="tx1"/>
            </w14:solidFill>
          </w14:textFill>
        </w:rPr>
        <w:t>）温室气体来源与种类；（</w:t>
      </w:r>
      <w:r>
        <w:rPr>
          <w:rFonts w:hint="eastAsia" w:ascii="宋体" w:hAnsi="宋体" w:eastAsia="宋体" w:cs="宋体"/>
          <w:color w:val="000000" w:themeColor="text1"/>
          <w:kern w:val="0"/>
          <w:sz w:val="24"/>
          <w:lang w:val="en-US" w:eastAsia="zh-CN" w:bidi="ar"/>
          <w14:textFill>
            <w14:solidFill>
              <w14:schemeClr w14:val="tx1"/>
            </w14:solidFill>
          </w14:textFill>
        </w:rPr>
        <w:t>3</w:t>
      </w:r>
      <w:r>
        <w:rPr>
          <w:rFonts w:hint="eastAsia" w:ascii="宋体" w:hAnsi="宋体" w:eastAsia="宋体" w:cs="宋体"/>
          <w:color w:val="000000" w:themeColor="text1"/>
          <w:kern w:val="0"/>
          <w:sz w:val="24"/>
          <w:lang w:bidi="ar"/>
          <w14:textFill>
            <w14:solidFill>
              <w14:schemeClr w14:val="tx1"/>
            </w14:solidFill>
          </w14:textFill>
        </w:rPr>
        <w:t>）碳排放信息管理平台</w:t>
      </w:r>
      <w:r>
        <w:rPr>
          <w:rFonts w:hint="eastAsia" w:ascii="宋体" w:hAnsi="宋体" w:eastAsia="宋体" w:cs="宋体"/>
          <w:color w:val="000000" w:themeColor="text1"/>
          <w:kern w:val="0"/>
          <w:sz w:val="24"/>
          <w:lang w:eastAsia="zh-CN" w:bidi="ar"/>
          <w14:textFill>
            <w14:solidFill>
              <w14:schemeClr w14:val="tx1"/>
            </w14:solidFill>
          </w14:textFill>
        </w:rPr>
        <w:t>；</w:t>
      </w:r>
      <w:r>
        <w:rPr>
          <w:rFonts w:hint="eastAsia" w:ascii="宋体" w:hAnsi="宋体" w:eastAsia="宋体" w:cs="宋体"/>
          <w:color w:val="000000" w:themeColor="text1"/>
          <w:kern w:val="0"/>
          <w:sz w:val="24"/>
          <w:lang w:bidi="ar"/>
          <w14:textFill>
            <w14:solidFill>
              <w14:schemeClr w14:val="tx1"/>
            </w14:solidFill>
          </w14:textFill>
        </w:rPr>
        <w:t>（</w:t>
      </w:r>
      <w:r>
        <w:rPr>
          <w:rFonts w:hint="eastAsia" w:ascii="宋体" w:hAnsi="宋体" w:eastAsia="宋体" w:cs="宋体"/>
          <w:color w:val="000000" w:themeColor="text1"/>
          <w:kern w:val="0"/>
          <w:sz w:val="24"/>
          <w:lang w:val="en-US" w:eastAsia="zh-CN" w:bidi="ar"/>
          <w14:textFill>
            <w14:solidFill>
              <w14:schemeClr w14:val="tx1"/>
            </w14:solidFill>
          </w14:textFill>
        </w:rPr>
        <w:t>4</w:t>
      </w:r>
      <w:r>
        <w:rPr>
          <w:rFonts w:hint="eastAsia" w:ascii="宋体" w:hAnsi="宋体" w:eastAsia="宋体" w:cs="宋体"/>
          <w:color w:val="000000" w:themeColor="text1"/>
          <w:kern w:val="0"/>
          <w:sz w:val="24"/>
          <w:lang w:bidi="ar"/>
          <w14:textFill>
            <w14:solidFill>
              <w14:schemeClr w14:val="tx1"/>
            </w14:solidFill>
          </w14:textFill>
        </w:rPr>
        <w:t>）温室气体排放量（CO2当量公吨）；（</w:t>
      </w:r>
      <w:r>
        <w:rPr>
          <w:rFonts w:hint="eastAsia" w:ascii="宋体" w:hAnsi="宋体" w:eastAsia="宋体" w:cs="宋体"/>
          <w:color w:val="000000" w:themeColor="text1"/>
          <w:kern w:val="0"/>
          <w:sz w:val="24"/>
          <w:lang w:val="en-US" w:eastAsia="zh-CN" w:bidi="ar"/>
          <w14:textFill>
            <w14:solidFill>
              <w14:schemeClr w14:val="tx1"/>
            </w14:solidFill>
          </w14:textFill>
        </w:rPr>
        <w:t>5</w:t>
      </w:r>
      <w:r>
        <w:rPr>
          <w:rFonts w:hint="eastAsia" w:ascii="宋体" w:hAnsi="宋体" w:eastAsia="宋体" w:cs="宋体"/>
          <w:color w:val="000000" w:themeColor="text1"/>
          <w:kern w:val="0"/>
          <w:sz w:val="24"/>
          <w:lang w:bidi="ar"/>
          <w14:textFill>
            <w14:solidFill>
              <w14:schemeClr w14:val="tx1"/>
            </w14:solidFill>
          </w14:textFill>
        </w:rPr>
        <w:t>）</w:t>
      </w:r>
      <w:r>
        <w:rPr>
          <w:rFonts w:hint="eastAsia" w:ascii="宋体" w:hAnsi="宋体" w:eastAsia="宋体" w:cs="宋体"/>
          <w:color w:val="000000" w:themeColor="text1"/>
          <w:kern w:val="0"/>
          <w:sz w:val="24"/>
          <w:lang w:val="en-US" w:eastAsia="zh-CN" w:bidi="ar"/>
          <w14:textFill>
            <w14:solidFill>
              <w14:schemeClr w14:val="tx1"/>
            </w14:solidFill>
          </w14:textFill>
        </w:rPr>
        <w:t>现场能碳计量、监测数据；（6）全周期碳排放量核算报告；（7）专项方案等。</w:t>
      </w:r>
    </w:p>
    <w:p w14:paraId="2E5D8C8A">
      <w:pPr>
        <w:widowControl/>
        <w:snapToGrid w:val="0"/>
        <w:spacing w:line="360" w:lineRule="auto"/>
        <w:ind w:firstLine="480" w:firstLineChars="200"/>
        <w:jc w:val="left"/>
        <w:rPr>
          <w:rFonts w:hint="eastAsia" w:ascii="宋体" w:hAnsi="宋体" w:eastAsia="宋体" w:cs="宋体"/>
          <w:color w:val="000000" w:themeColor="text1"/>
          <w:kern w:val="0"/>
          <w:sz w:val="24"/>
          <w:lang w:bidi="ar"/>
          <w14:textFill>
            <w14:solidFill>
              <w14:schemeClr w14:val="tx1"/>
            </w14:solidFill>
          </w14:textFill>
        </w:rPr>
      </w:pPr>
      <w:r>
        <w:rPr>
          <w:rFonts w:hint="eastAsia" w:ascii="宋体" w:hAnsi="宋体" w:eastAsia="宋体" w:cs="宋体"/>
          <w:color w:val="000000" w:themeColor="text1"/>
          <w:kern w:val="0"/>
          <w:sz w:val="24"/>
          <w:lang w:bidi="ar"/>
          <w14:textFill>
            <w14:solidFill>
              <w14:schemeClr w14:val="tx1"/>
            </w14:solidFill>
          </w14:textFill>
        </w:rPr>
        <w:t>4.2.</w:t>
      </w:r>
      <w:r>
        <w:rPr>
          <w:rFonts w:hint="eastAsia" w:ascii="宋体" w:hAnsi="宋体" w:eastAsia="宋体" w:cs="宋体"/>
          <w:color w:val="000000" w:themeColor="text1"/>
          <w:kern w:val="0"/>
          <w:sz w:val="24"/>
          <w:lang w:val="en-US" w:eastAsia="zh-CN" w:bidi="ar"/>
          <w14:textFill>
            <w14:solidFill>
              <w14:schemeClr w14:val="tx1"/>
            </w14:solidFill>
          </w14:textFill>
        </w:rPr>
        <w:t>10</w:t>
      </w:r>
      <w:r>
        <w:rPr>
          <w:rFonts w:hint="eastAsia" w:ascii="宋体" w:hAnsi="宋体" w:eastAsia="宋体" w:cs="宋体"/>
          <w:color w:val="000000" w:themeColor="text1"/>
          <w:kern w:val="0"/>
          <w:sz w:val="24"/>
          <w:lang w:bidi="ar"/>
          <w14:textFill>
            <w14:solidFill>
              <w14:schemeClr w14:val="tx1"/>
            </w14:solidFill>
          </w14:textFill>
        </w:rPr>
        <w:t>本条款适用于基础设施</w:t>
      </w:r>
      <w:r>
        <w:rPr>
          <w:rFonts w:hint="eastAsia" w:ascii="宋体" w:hAnsi="宋体" w:eastAsia="宋体" w:cs="宋体"/>
          <w:color w:val="000000" w:themeColor="text1"/>
          <w:kern w:val="0"/>
          <w:sz w:val="24"/>
          <w:lang w:val="en-US" w:eastAsia="zh-CN" w:bidi="ar"/>
          <w14:textFill>
            <w14:solidFill>
              <w14:schemeClr w14:val="tx1"/>
            </w14:solidFill>
          </w14:textFill>
        </w:rPr>
        <w:t>项目</w:t>
      </w:r>
      <w:r>
        <w:rPr>
          <w:rFonts w:hint="eastAsia" w:ascii="宋体" w:hAnsi="宋体" w:eastAsia="宋体" w:cs="宋体"/>
          <w:color w:val="000000" w:themeColor="text1"/>
          <w:kern w:val="0"/>
          <w:sz w:val="24"/>
          <w:lang w:bidi="ar"/>
          <w14:textFill>
            <w14:solidFill>
              <w14:schemeClr w14:val="tx1"/>
            </w14:solidFill>
          </w14:textFill>
        </w:rPr>
        <w:t>规划设计阶段、施工建造阶段、运行阶段的评价。</w:t>
      </w:r>
    </w:p>
    <w:p w14:paraId="7AC0A2DC">
      <w:pPr>
        <w:widowControl/>
        <w:snapToGrid w:val="0"/>
        <w:spacing w:line="360" w:lineRule="auto"/>
        <w:ind w:firstLine="480" w:firstLineChars="200"/>
        <w:jc w:val="left"/>
        <w:rPr>
          <w:rFonts w:hint="eastAsia" w:ascii="宋体" w:hAnsi="宋体" w:eastAsia="宋体" w:cs="宋体"/>
          <w:color w:val="000000" w:themeColor="text1"/>
          <w:kern w:val="0"/>
          <w:sz w:val="24"/>
          <w:lang w:val="en-US" w:eastAsia="zh-CN" w:bidi="ar"/>
          <w14:textFill>
            <w14:solidFill>
              <w14:schemeClr w14:val="tx1"/>
            </w14:solidFill>
          </w14:textFill>
        </w:rPr>
      </w:pPr>
      <w:r>
        <w:rPr>
          <w:rFonts w:hint="eastAsia" w:ascii="宋体" w:hAnsi="宋体" w:eastAsia="宋体" w:cs="宋体"/>
          <w:color w:val="000000" w:themeColor="text1"/>
          <w:kern w:val="0"/>
          <w:sz w:val="24"/>
          <w:lang w:val="en-US" w:eastAsia="zh-CN" w:bidi="ar"/>
          <w14:textFill>
            <w14:solidFill>
              <w14:schemeClr w14:val="tx1"/>
            </w14:solidFill>
          </w14:textFill>
        </w:rPr>
        <w:t>规划设计降碳优化建材与设备用量，物流方案符合《绿色物流服务要求》（GB/T 37099-2018）规定；施工运行控碳碳排放强度需满足立项减排目标，工艺措施可借鉴引用《绿色施工规范》GB/T 50905-2014推荐措施；专项资金≥建安费1.5%用于低碳技术（参照北京地铁28号线碳基金案例）；碳汇专项核算，独立核算碳汇量，按《园林绿化项目碳汇计量监测标准》LY/T 3148-2023计量红线内植被固碳。通过“设计减量-过程控制-碳汇抵消”三级机制，实现全链条降碳增效。</w:t>
      </w:r>
    </w:p>
    <w:p w14:paraId="02CB9EA0">
      <w:pPr>
        <w:widowControl/>
        <w:snapToGrid w:val="0"/>
        <w:spacing w:line="360" w:lineRule="auto"/>
        <w:ind w:firstLine="480" w:firstLineChars="200"/>
        <w:jc w:val="left"/>
        <w:rPr>
          <w:rFonts w:hint="eastAsia" w:ascii="宋体" w:hAnsi="宋体" w:eastAsia="宋体" w:cs="宋体"/>
          <w:color w:val="000000" w:themeColor="text1"/>
          <w:kern w:val="0"/>
          <w:sz w:val="24"/>
          <w:lang w:bidi="ar"/>
          <w14:textFill>
            <w14:solidFill>
              <w14:schemeClr w14:val="tx1"/>
            </w14:solidFill>
          </w14:textFill>
        </w:rPr>
      </w:pPr>
      <w:r>
        <w:rPr>
          <w:rFonts w:hint="eastAsia" w:ascii="宋体" w:hAnsi="宋体" w:eastAsia="宋体" w:cs="宋体"/>
          <w:color w:val="000000" w:themeColor="text1"/>
          <w:kern w:val="0"/>
          <w:sz w:val="24"/>
          <w:lang w:bidi="ar"/>
          <w14:textFill>
            <w14:solidFill>
              <w14:schemeClr w14:val="tx1"/>
            </w14:solidFill>
          </w14:textFill>
        </w:rPr>
        <w:t>考量内容：（1）</w:t>
      </w:r>
      <w:r>
        <w:rPr>
          <w:rFonts w:hint="eastAsia" w:ascii="宋体" w:hAnsi="宋体" w:eastAsia="宋体" w:cs="宋体"/>
          <w:color w:val="000000" w:themeColor="text1"/>
          <w:kern w:val="0"/>
          <w:sz w:val="24"/>
          <w:lang w:val="en-US" w:eastAsia="zh-CN" w:bidi="ar"/>
          <w14:textFill>
            <w14:solidFill>
              <w14:schemeClr w14:val="tx1"/>
            </w14:solidFill>
          </w14:textFill>
        </w:rPr>
        <w:t>施工组织设计；（2）绿色施工方案；（3）</w:t>
      </w:r>
      <w:r>
        <w:rPr>
          <w:rFonts w:hint="eastAsia" w:ascii="宋体" w:hAnsi="宋体" w:eastAsia="宋体" w:cs="宋体"/>
          <w:color w:val="000000" w:themeColor="text1"/>
          <w:kern w:val="0"/>
          <w:sz w:val="24"/>
          <w:lang w:bidi="ar"/>
          <w14:textFill>
            <w14:solidFill>
              <w14:schemeClr w14:val="tx1"/>
            </w14:solidFill>
          </w14:textFill>
        </w:rPr>
        <w:t>碳排放控制方案和采用的绿色低碳技术措施（规划阶段包含降低隐含碳的考虑）；（</w:t>
      </w:r>
      <w:r>
        <w:rPr>
          <w:rFonts w:hint="eastAsia" w:ascii="宋体" w:hAnsi="宋体" w:eastAsia="宋体" w:cs="宋体"/>
          <w:color w:val="000000" w:themeColor="text1"/>
          <w:kern w:val="0"/>
          <w:sz w:val="24"/>
          <w:lang w:val="en-US" w:eastAsia="zh-CN" w:bidi="ar"/>
          <w14:textFill>
            <w14:solidFill>
              <w14:schemeClr w14:val="tx1"/>
            </w14:solidFill>
          </w14:textFill>
        </w:rPr>
        <w:t>4</w:t>
      </w:r>
      <w:r>
        <w:rPr>
          <w:rFonts w:hint="eastAsia" w:ascii="宋体" w:hAnsi="宋体" w:eastAsia="宋体" w:cs="宋体"/>
          <w:color w:val="000000" w:themeColor="text1"/>
          <w:kern w:val="0"/>
          <w:sz w:val="24"/>
          <w:lang w:bidi="ar"/>
          <w14:textFill>
            <w14:solidFill>
              <w14:schemeClr w14:val="tx1"/>
            </w14:solidFill>
          </w14:textFill>
        </w:rPr>
        <w:t>）在低碳降碳方面资金投入情况；（</w:t>
      </w:r>
      <w:r>
        <w:rPr>
          <w:rFonts w:hint="eastAsia" w:ascii="宋体" w:hAnsi="宋体" w:eastAsia="宋体" w:cs="宋体"/>
          <w:color w:val="000000" w:themeColor="text1"/>
          <w:kern w:val="0"/>
          <w:sz w:val="24"/>
          <w:lang w:val="en-US" w:eastAsia="zh-CN" w:bidi="ar"/>
          <w14:textFill>
            <w14:solidFill>
              <w14:schemeClr w14:val="tx1"/>
            </w14:solidFill>
          </w14:textFill>
        </w:rPr>
        <w:t>5</w:t>
      </w:r>
      <w:r>
        <w:rPr>
          <w:rFonts w:hint="eastAsia" w:ascii="宋体" w:hAnsi="宋体" w:eastAsia="宋体" w:cs="宋体"/>
          <w:color w:val="000000" w:themeColor="text1"/>
          <w:kern w:val="0"/>
          <w:sz w:val="24"/>
          <w:lang w:bidi="ar"/>
          <w14:textFill>
            <w14:solidFill>
              <w14:schemeClr w14:val="tx1"/>
            </w14:solidFill>
          </w14:textFill>
        </w:rPr>
        <w:t>）碳排放量（CO2当量公吨）计量监测数据；（</w:t>
      </w:r>
      <w:r>
        <w:rPr>
          <w:rFonts w:hint="eastAsia" w:ascii="宋体" w:hAnsi="宋体" w:eastAsia="宋体" w:cs="宋体"/>
          <w:color w:val="000000" w:themeColor="text1"/>
          <w:kern w:val="0"/>
          <w:sz w:val="24"/>
          <w:lang w:val="en-US" w:eastAsia="zh-CN" w:bidi="ar"/>
          <w14:textFill>
            <w14:solidFill>
              <w14:schemeClr w14:val="tx1"/>
            </w14:solidFill>
          </w14:textFill>
        </w:rPr>
        <w:t>6</w:t>
      </w:r>
      <w:r>
        <w:rPr>
          <w:rFonts w:hint="eastAsia" w:ascii="宋体" w:hAnsi="宋体" w:eastAsia="宋体" w:cs="宋体"/>
          <w:color w:val="000000" w:themeColor="text1"/>
          <w:kern w:val="0"/>
          <w:sz w:val="24"/>
          <w:lang w:bidi="ar"/>
          <w14:textFill>
            <w14:solidFill>
              <w14:schemeClr w14:val="tx1"/>
            </w14:solidFill>
          </w14:textFill>
        </w:rPr>
        <w:t>）降低的碳排放强度（CO2当量公吨/单位产值）</w:t>
      </w:r>
      <w:r>
        <w:rPr>
          <w:rFonts w:hint="eastAsia" w:ascii="宋体" w:hAnsi="宋体" w:eastAsia="宋体" w:cs="宋体"/>
          <w:color w:val="000000" w:themeColor="text1"/>
          <w:kern w:val="0"/>
          <w:sz w:val="24"/>
          <w:lang w:eastAsia="zh-CN" w:bidi="ar"/>
          <w14:textFill>
            <w14:solidFill>
              <w14:schemeClr w14:val="tx1"/>
            </w14:solidFill>
          </w14:textFill>
        </w:rPr>
        <w:t>；</w:t>
      </w:r>
      <w:r>
        <w:rPr>
          <w:rFonts w:hint="eastAsia" w:ascii="宋体" w:hAnsi="宋体" w:eastAsia="宋体" w:cs="宋体"/>
          <w:color w:val="000000" w:themeColor="text1"/>
          <w:kern w:val="0"/>
          <w:sz w:val="24"/>
          <w:highlight w:val="none"/>
          <w:lang w:eastAsia="zh-CN" w:bidi="ar"/>
          <w14:textFill>
            <w14:solidFill>
              <w14:schemeClr w14:val="tx1"/>
            </w14:solidFill>
          </w14:textFill>
        </w:rPr>
        <w:t>（</w:t>
      </w:r>
      <w:r>
        <w:rPr>
          <w:rFonts w:hint="eastAsia" w:ascii="宋体" w:hAnsi="宋体" w:eastAsia="宋体" w:cs="宋体"/>
          <w:color w:val="000000" w:themeColor="text1"/>
          <w:kern w:val="0"/>
          <w:sz w:val="24"/>
          <w:highlight w:val="none"/>
          <w:lang w:val="en-US" w:eastAsia="zh-CN" w:bidi="ar"/>
          <w14:textFill>
            <w14:solidFill>
              <w14:schemeClr w14:val="tx1"/>
            </w14:solidFill>
          </w14:textFill>
        </w:rPr>
        <w:t>7</w:t>
      </w:r>
      <w:r>
        <w:rPr>
          <w:rFonts w:hint="eastAsia" w:ascii="宋体" w:hAnsi="宋体" w:eastAsia="宋体" w:cs="宋体"/>
          <w:color w:val="000000" w:themeColor="text1"/>
          <w:kern w:val="0"/>
          <w:sz w:val="24"/>
          <w:highlight w:val="none"/>
          <w:lang w:eastAsia="zh-CN" w:bidi="ar"/>
          <w14:textFill>
            <w14:solidFill>
              <w14:schemeClr w14:val="tx1"/>
            </w14:solidFill>
          </w14:textFill>
        </w:rPr>
        <w:t>）</w:t>
      </w:r>
      <w:r>
        <w:rPr>
          <w:rFonts w:hint="eastAsia" w:ascii="宋体" w:hAnsi="宋体" w:eastAsia="宋体" w:cs="宋体"/>
          <w:color w:val="000000" w:themeColor="text1"/>
          <w:kern w:val="0"/>
          <w:sz w:val="24"/>
          <w:highlight w:val="none"/>
          <w:lang w:val="en-US" w:eastAsia="zh-CN" w:bidi="ar"/>
          <w14:textFill>
            <w14:solidFill>
              <w14:schemeClr w14:val="tx1"/>
            </w14:solidFill>
          </w14:textFill>
        </w:rPr>
        <w:t>绿色物流方案</w:t>
      </w:r>
      <w:r>
        <w:rPr>
          <w:rFonts w:hint="eastAsia" w:ascii="宋体" w:hAnsi="宋体" w:eastAsia="宋体" w:cs="宋体"/>
          <w:color w:val="000000" w:themeColor="text1"/>
          <w:kern w:val="0"/>
          <w:sz w:val="24"/>
          <w:lang w:bidi="ar"/>
          <w14:textFill>
            <w14:solidFill>
              <w14:schemeClr w14:val="tx1"/>
            </w14:solidFill>
          </w14:textFill>
        </w:rPr>
        <w:t>。</w:t>
      </w:r>
    </w:p>
    <w:p w14:paraId="2556F7ED">
      <w:pPr>
        <w:snapToGrid w:val="0"/>
        <w:spacing w:line="360" w:lineRule="auto"/>
        <w:jc w:val="center"/>
        <w:outlineLvl w:val="2"/>
        <w:rPr>
          <w:rFonts w:ascii="仿宋" w:hAnsi="仿宋" w:eastAsia="仿宋" w:cs="仿宋"/>
          <w:color w:val="000000" w:themeColor="text1"/>
          <w:sz w:val="28"/>
          <w:szCs w:val="28"/>
          <w14:textFill>
            <w14:solidFill>
              <w14:schemeClr w14:val="tx1"/>
            </w14:solidFill>
          </w14:textFill>
        </w:rPr>
      </w:pPr>
      <w:bookmarkStart w:id="726" w:name="_Toc18808"/>
      <w:bookmarkStart w:id="727" w:name="_Toc9523"/>
      <w:bookmarkStart w:id="728" w:name="_Toc7151"/>
      <w:bookmarkStart w:id="729" w:name="_Toc3369"/>
      <w:bookmarkStart w:id="730" w:name="_Toc14943"/>
      <w:r>
        <w:rPr>
          <w:rFonts w:hint="eastAsia" w:ascii="仿宋" w:hAnsi="仿宋" w:eastAsia="仿宋" w:cs="仿宋"/>
          <w:color w:val="000000" w:themeColor="text1"/>
          <w:sz w:val="28"/>
          <w:szCs w:val="28"/>
          <w14:textFill>
            <w14:solidFill>
              <w14:schemeClr w14:val="tx1"/>
            </w14:solidFill>
          </w14:textFill>
        </w:rPr>
        <w:t>Ⅲ 生态系统保护</w:t>
      </w:r>
      <w:bookmarkEnd w:id="726"/>
      <w:bookmarkEnd w:id="727"/>
      <w:bookmarkEnd w:id="728"/>
      <w:bookmarkEnd w:id="729"/>
      <w:bookmarkEnd w:id="730"/>
    </w:p>
    <w:p w14:paraId="754CAD9F">
      <w:pPr>
        <w:widowControl/>
        <w:snapToGrid w:val="0"/>
        <w:spacing w:line="360" w:lineRule="auto"/>
        <w:jc w:val="left"/>
        <w:rPr>
          <w:rFonts w:hint="eastAsia" w:ascii="宋体" w:hAnsi="宋体" w:eastAsia="宋体" w:cs="宋体"/>
          <w:color w:val="000000" w:themeColor="text1"/>
          <w:kern w:val="0"/>
          <w:sz w:val="24"/>
          <w:lang w:bidi="ar"/>
          <w14:textFill>
            <w14:solidFill>
              <w14:schemeClr w14:val="tx1"/>
            </w14:solidFill>
          </w14:textFill>
        </w:rPr>
      </w:pPr>
      <w:r>
        <w:rPr>
          <w:rFonts w:hint="eastAsia" w:ascii="宋体" w:hAnsi="宋体" w:eastAsia="宋体" w:cs="宋体"/>
          <w:color w:val="000000" w:themeColor="text1"/>
          <w:kern w:val="0"/>
          <w:sz w:val="24"/>
          <w:lang w:bidi="ar"/>
          <w14:textFill>
            <w14:solidFill>
              <w14:schemeClr w14:val="tx1"/>
            </w14:solidFill>
          </w14:textFill>
        </w:rPr>
        <w:t>4.2.</w:t>
      </w:r>
      <w:r>
        <w:rPr>
          <w:rFonts w:hint="eastAsia" w:ascii="宋体" w:hAnsi="宋体" w:eastAsia="宋体" w:cs="宋体"/>
          <w:color w:val="000000" w:themeColor="text1"/>
          <w:kern w:val="0"/>
          <w:sz w:val="24"/>
          <w:lang w:val="en-US" w:eastAsia="zh-CN" w:bidi="ar"/>
          <w14:textFill>
            <w14:solidFill>
              <w14:schemeClr w14:val="tx1"/>
            </w14:solidFill>
          </w14:textFill>
        </w:rPr>
        <w:t>11</w:t>
      </w:r>
      <w:r>
        <w:rPr>
          <w:rFonts w:hint="eastAsia" w:ascii="宋体" w:hAnsi="宋体" w:eastAsia="宋体" w:cs="宋体"/>
          <w:color w:val="000000" w:themeColor="text1"/>
          <w:kern w:val="0"/>
          <w:sz w:val="24"/>
          <w:lang w:bidi="ar"/>
          <w14:textFill>
            <w14:solidFill>
              <w14:schemeClr w14:val="tx1"/>
            </w14:solidFill>
          </w14:textFill>
        </w:rPr>
        <w:t>本条款适用于基础设施</w:t>
      </w:r>
      <w:r>
        <w:rPr>
          <w:rFonts w:hint="eastAsia" w:ascii="宋体" w:hAnsi="宋体" w:eastAsia="宋体" w:cs="宋体"/>
          <w:color w:val="000000" w:themeColor="text1"/>
          <w:kern w:val="0"/>
          <w:sz w:val="24"/>
          <w:lang w:val="en-US" w:eastAsia="zh-CN" w:bidi="ar"/>
          <w14:textFill>
            <w14:solidFill>
              <w14:schemeClr w14:val="tx1"/>
            </w14:solidFill>
          </w14:textFill>
        </w:rPr>
        <w:t>项目</w:t>
      </w:r>
      <w:r>
        <w:rPr>
          <w:rFonts w:hint="eastAsia" w:ascii="宋体" w:hAnsi="宋体" w:eastAsia="宋体" w:cs="宋体"/>
          <w:color w:val="000000" w:themeColor="text1"/>
          <w:kern w:val="0"/>
          <w:sz w:val="24"/>
          <w:lang w:bidi="ar"/>
          <w14:textFill>
            <w14:solidFill>
              <w14:schemeClr w14:val="tx1"/>
            </w14:solidFill>
          </w14:textFill>
        </w:rPr>
        <w:t xml:space="preserve">规划设计阶段、施工建造阶段、运行阶段的评价。 </w:t>
      </w:r>
    </w:p>
    <w:p w14:paraId="7195DD40">
      <w:pPr>
        <w:widowControl/>
        <w:snapToGrid w:val="0"/>
        <w:spacing w:line="360" w:lineRule="auto"/>
        <w:ind w:firstLine="480" w:firstLineChars="200"/>
        <w:jc w:val="left"/>
        <w:rPr>
          <w:rFonts w:hint="eastAsia" w:ascii="宋体" w:hAnsi="宋体" w:eastAsia="宋体" w:cs="宋体"/>
          <w:color w:val="000000" w:themeColor="text1"/>
          <w:kern w:val="0"/>
          <w:sz w:val="24"/>
          <w:lang w:bidi="ar"/>
          <w14:textFill>
            <w14:solidFill>
              <w14:schemeClr w14:val="tx1"/>
            </w14:solidFill>
          </w14:textFill>
        </w:rPr>
      </w:pPr>
      <w:r>
        <w:rPr>
          <w:rFonts w:hint="eastAsia" w:ascii="宋体" w:hAnsi="宋体" w:eastAsia="宋体" w:cs="宋体"/>
          <w:color w:val="000000" w:themeColor="text1"/>
          <w:kern w:val="0"/>
          <w:sz w:val="24"/>
          <w:lang w:bidi="ar"/>
          <w14:textFill>
            <w14:solidFill>
              <w14:schemeClr w14:val="tx1"/>
            </w14:solidFill>
          </w14:textFill>
        </w:rPr>
        <w:t>濒危/特有物种、古树根据</w:t>
      </w:r>
      <w:r>
        <w:rPr>
          <w:rFonts w:hint="eastAsia" w:ascii="宋体" w:hAnsi="宋体" w:eastAsia="宋体" w:cs="宋体"/>
          <w:color w:val="000000" w:themeColor="text1"/>
          <w:kern w:val="0"/>
          <w:sz w:val="24"/>
          <w:lang w:eastAsia="zh-CN" w:bidi="ar"/>
          <w14:textFill>
            <w14:solidFill>
              <w14:schemeClr w14:val="tx1"/>
            </w14:solidFill>
          </w14:textFill>
        </w:rPr>
        <w:t>当地</w:t>
      </w:r>
      <w:r>
        <w:rPr>
          <w:rFonts w:hint="eastAsia" w:ascii="宋体" w:hAnsi="宋体" w:eastAsia="宋体" w:cs="宋体"/>
          <w:color w:val="000000" w:themeColor="text1"/>
          <w:kern w:val="0"/>
          <w:sz w:val="24"/>
          <w:lang w:bidi="ar"/>
          <w14:textFill>
            <w14:solidFill>
              <w14:schemeClr w14:val="tx1"/>
            </w14:solidFill>
          </w14:textFill>
        </w:rPr>
        <w:t xml:space="preserve">生态部门公布的文件确定（如《世界自然保护联盟濒危物种红色名录》、《中华人民共和国野生植物保护条例》）。 </w:t>
      </w:r>
    </w:p>
    <w:p w14:paraId="7AC46978">
      <w:pPr>
        <w:widowControl/>
        <w:snapToGrid w:val="0"/>
        <w:spacing w:line="360" w:lineRule="auto"/>
        <w:ind w:firstLine="480" w:firstLineChars="200"/>
        <w:jc w:val="left"/>
        <w:rPr>
          <w:rFonts w:hint="eastAsia" w:ascii="宋体" w:hAnsi="宋体" w:eastAsia="宋体" w:cs="宋体"/>
          <w:color w:val="000000" w:themeColor="text1"/>
          <w:kern w:val="0"/>
          <w:sz w:val="24"/>
          <w:lang w:bidi="ar"/>
          <w14:textFill>
            <w14:solidFill>
              <w14:schemeClr w14:val="tx1"/>
            </w14:solidFill>
          </w14:textFill>
        </w:rPr>
      </w:pPr>
      <w:r>
        <w:rPr>
          <w:rFonts w:hint="eastAsia" w:ascii="宋体" w:hAnsi="宋体" w:eastAsia="宋体" w:cs="宋体"/>
          <w:color w:val="000000" w:themeColor="text1"/>
          <w:kern w:val="0"/>
          <w:sz w:val="24"/>
          <w:lang w:bidi="ar"/>
          <w14:textFill>
            <w14:solidFill>
              <w14:schemeClr w14:val="tx1"/>
            </w14:solidFill>
          </w14:textFill>
        </w:rPr>
        <w:t>考量内容：（1）生物多样性保护实施方案和预案；（2）采取的物种保护措施；（3）物种保护设施建设情况。</w:t>
      </w:r>
    </w:p>
    <w:p w14:paraId="48CF56D1">
      <w:pPr>
        <w:widowControl/>
        <w:snapToGrid w:val="0"/>
        <w:spacing w:line="360" w:lineRule="auto"/>
        <w:jc w:val="left"/>
        <w:rPr>
          <w:rFonts w:ascii="宋体" w:hAnsi="宋体" w:eastAsia="宋体" w:cs="宋体"/>
          <w:color w:val="000000" w:themeColor="text1"/>
          <w:kern w:val="0"/>
          <w:sz w:val="24"/>
          <w:lang w:bidi="ar"/>
          <w14:textFill>
            <w14:solidFill>
              <w14:schemeClr w14:val="tx1"/>
            </w14:solidFill>
          </w14:textFill>
        </w:rPr>
      </w:pPr>
      <w:r>
        <w:rPr>
          <w:rFonts w:hint="eastAsia" w:ascii="宋体" w:hAnsi="宋体" w:eastAsia="宋体" w:cs="宋体"/>
          <w:color w:val="000000" w:themeColor="text1"/>
          <w:kern w:val="0"/>
          <w:sz w:val="24"/>
          <w:lang w:bidi="ar"/>
          <w14:textFill>
            <w14:solidFill>
              <w14:schemeClr w14:val="tx1"/>
            </w14:solidFill>
          </w14:textFill>
        </w:rPr>
        <w:t>4.2.</w:t>
      </w:r>
      <w:r>
        <w:rPr>
          <w:rFonts w:hint="eastAsia" w:ascii="宋体" w:hAnsi="宋体" w:eastAsia="宋体" w:cs="宋体"/>
          <w:color w:val="000000" w:themeColor="text1"/>
          <w:kern w:val="0"/>
          <w:sz w:val="24"/>
          <w:lang w:val="en-US" w:eastAsia="zh-CN" w:bidi="ar"/>
          <w14:textFill>
            <w14:solidFill>
              <w14:schemeClr w14:val="tx1"/>
            </w14:solidFill>
          </w14:textFill>
        </w:rPr>
        <w:t>12</w:t>
      </w:r>
      <w:r>
        <w:rPr>
          <w:rFonts w:hint="eastAsia" w:ascii="宋体" w:hAnsi="宋体" w:eastAsia="宋体" w:cs="宋体"/>
          <w:color w:val="000000" w:themeColor="text1"/>
          <w:kern w:val="0"/>
          <w:sz w:val="24"/>
          <w:lang w:bidi="ar"/>
          <w14:textFill>
            <w14:solidFill>
              <w14:schemeClr w14:val="tx1"/>
            </w14:solidFill>
          </w14:textFill>
        </w:rPr>
        <w:t>本条</w:t>
      </w:r>
      <w:r>
        <w:rPr>
          <w:rFonts w:hint="eastAsia" w:ascii="宋体" w:hAnsi="宋体" w:eastAsia="宋体" w:cs="宋体"/>
          <w:color w:val="000000" w:themeColor="text1"/>
          <w:kern w:val="0"/>
          <w:sz w:val="24"/>
          <w:lang w:val="en-US" w:eastAsia="zh-CN" w:bidi="ar"/>
          <w14:textFill>
            <w14:solidFill>
              <w14:schemeClr w14:val="tx1"/>
            </w14:solidFill>
          </w14:textFill>
        </w:rPr>
        <w:t>款</w:t>
      </w:r>
      <w:r>
        <w:rPr>
          <w:rFonts w:hint="eastAsia" w:ascii="宋体" w:hAnsi="宋体" w:eastAsia="宋体" w:cs="宋体"/>
          <w:color w:val="000000" w:themeColor="text1"/>
          <w:kern w:val="0"/>
          <w:sz w:val="24"/>
          <w:lang w:bidi="ar"/>
          <w14:textFill>
            <w14:solidFill>
              <w14:schemeClr w14:val="tx1"/>
            </w14:solidFill>
          </w14:textFill>
        </w:rPr>
        <w:t>适用于基础设施</w:t>
      </w:r>
      <w:r>
        <w:rPr>
          <w:rFonts w:hint="eastAsia" w:ascii="宋体" w:hAnsi="宋体" w:eastAsia="宋体" w:cs="宋体"/>
          <w:color w:val="000000" w:themeColor="text1"/>
          <w:kern w:val="0"/>
          <w:sz w:val="24"/>
          <w:lang w:val="en-US" w:eastAsia="zh-CN" w:bidi="ar"/>
          <w14:textFill>
            <w14:solidFill>
              <w14:schemeClr w14:val="tx1"/>
            </w14:solidFill>
          </w14:textFill>
        </w:rPr>
        <w:t>项目规划</w:t>
      </w:r>
      <w:r>
        <w:rPr>
          <w:rFonts w:hint="eastAsia" w:ascii="宋体" w:hAnsi="宋体" w:eastAsia="宋体" w:cs="宋体"/>
          <w:color w:val="000000" w:themeColor="text1"/>
          <w:kern w:val="0"/>
          <w:sz w:val="24"/>
          <w:lang w:bidi="ar"/>
          <w14:textFill>
            <w14:solidFill>
              <w14:schemeClr w14:val="tx1"/>
            </w14:solidFill>
          </w14:textFill>
        </w:rPr>
        <w:t>设计</w:t>
      </w:r>
      <w:r>
        <w:rPr>
          <w:rFonts w:hint="eastAsia" w:ascii="宋体" w:hAnsi="宋体" w:eastAsia="宋体" w:cs="宋体"/>
          <w:color w:val="000000" w:themeColor="text1"/>
          <w:kern w:val="0"/>
          <w:sz w:val="24"/>
          <w:lang w:val="en-US" w:eastAsia="zh-CN" w:bidi="ar"/>
          <w14:textFill>
            <w14:solidFill>
              <w14:schemeClr w14:val="tx1"/>
            </w14:solidFill>
          </w14:textFill>
        </w:rPr>
        <w:t>阶段</w:t>
      </w:r>
      <w:r>
        <w:rPr>
          <w:rFonts w:hint="eastAsia" w:ascii="宋体" w:hAnsi="宋体" w:eastAsia="宋体" w:cs="宋体"/>
          <w:color w:val="000000" w:themeColor="text1"/>
          <w:kern w:val="0"/>
          <w:sz w:val="24"/>
          <w:lang w:bidi="ar"/>
          <w14:textFill>
            <w14:solidFill>
              <w14:schemeClr w14:val="tx1"/>
            </w14:solidFill>
          </w14:textFill>
        </w:rPr>
        <w:t>、</w:t>
      </w:r>
      <w:r>
        <w:rPr>
          <w:rFonts w:hint="eastAsia" w:ascii="宋体" w:hAnsi="宋体" w:eastAsia="宋体" w:cs="宋体"/>
          <w:color w:val="000000" w:themeColor="text1"/>
          <w:kern w:val="0"/>
          <w:sz w:val="24"/>
          <w:lang w:eastAsia="zh-CN" w:bidi="ar"/>
          <w14:textFill>
            <w14:solidFill>
              <w14:schemeClr w14:val="tx1"/>
            </w14:solidFill>
          </w14:textFill>
        </w:rPr>
        <w:t>施工建造</w:t>
      </w:r>
      <w:r>
        <w:rPr>
          <w:rFonts w:hint="eastAsia" w:ascii="宋体" w:hAnsi="宋体" w:eastAsia="宋体" w:cs="宋体"/>
          <w:color w:val="000000" w:themeColor="text1"/>
          <w:kern w:val="0"/>
          <w:sz w:val="24"/>
          <w:lang w:val="en-US" w:eastAsia="zh-CN" w:bidi="ar"/>
          <w14:textFill>
            <w14:solidFill>
              <w14:schemeClr w14:val="tx1"/>
            </w14:solidFill>
          </w14:textFill>
        </w:rPr>
        <w:t>阶段</w:t>
      </w:r>
      <w:r>
        <w:rPr>
          <w:rFonts w:hint="eastAsia" w:ascii="宋体" w:hAnsi="宋体" w:eastAsia="宋体" w:cs="宋体"/>
          <w:color w:val="000000" w:themeColor="text1"/>
          <w:kern w:val="0"/>
          <w:sz w:val="24"/>
          <w:lang w:eastAsia="zh-CN" w:bidi="ar"/>
          <w14:textFill>
            <w14:solidFill>
              <w14:schemeClr w14:val="tx1"/>
            </w14:solidFill>
          </w14:textFill>
        </w:rPr>
        <w:t>、运行</w:t>
      </w:r>
      <w:r>
        <w:rPr>
          <w:rFonts w:hint="eastAsia" w:ascii="宋体" w:hAnsi="宋体" w:eastAsia="宋体" w:cs="宋体"/>
          <w:color w:val="000000" w:themeColor="text1"/>
          <w:kern w:val="0"/>
          <w:sz w:val="24"/>
          <w:lang w:val="en-US" w:eastAsia="zh-CN" w:bidi="ar"/>
          <w14:textFill>
            <w14:solidFill>
              <w14:schemeClr w14:val="tx1"/>
            </w14:solidFill>
          </w14:textFill>
        </w:rPr>
        <w:t>阶段</w:t>
      </w:r>
      <w:r>
        <w:rPr>
          <w:rFonts w:hint="eastAsia" w:ascii="宋体" w:hAnsi="宋体" w:eastAsia="宋体" w:cs="宋体"/>
          <w:color w:val="000000" w:themeColor="text1"/>
          <w:kern w:val="0"/>
          <w:sz w:val="24"/>
          <w:lang w:bidi="ar"/>
          <w14:textFill>
            <w14:solidFill>
              <w14:schemeClr w14:val="tx1"/>
            </w14:solidFill>
          </w14:textFill>
        </w:rPr>
        <w:t xml:space="preserve">的评价。 </w:t>
      </w:r>
    </w:p>
    <w:p w14:paraId="1CE58A3A">
      <w:pPr>
        <w:snapToGrid w:val="0"/>
        <w:spacing w:after="0" w:afterLines="-2147483648" w:line="360" w:lineRule="auto"/>
        <w:ind w:firstLine="480" w:firstLineChars="200"/>
        <w:jc w:val="left"/>
        <w:outlineLvl w:val="9"/>
        <w:rPr>
          <w:rFonts w:hint="eastAsia" w:ascii="宋体" w:hAnsi="宋体" w:eastAsia="宋体" w:cs="宋体"/>
          <w:color w:val="000000" w:themeColor="text1"/>
          <w:sz w:val="24"/>
          <w:lang w:val="en-US" w:eastAsia="zh-CN"/>
          <w14:textFill>
            <w14:solidFill>
              <w14:schemeClr w14:val="tx1"/>
            </w14:solidFill>
          </w14:textFill>
        </w:rPr>
      </w:pPr>
      <w:r>
        <w:rPr>
          <w:rFonts w:hint="eastAsia" w:ascii="宋体" w:hAnsi="宋体" w:eastAsia="宋体" w:cs="宋体"/>
          <w:color w:val="000000" w:themeColor="text1"/>
          <w:sz w:val="24"/>
          <w:lang w:val="en-US" w:eastAsia="zh-CN"/>
          <w14:textFill>
            <w14:solidFill>
              <w14:schemeClr w14:val="tx1"/>
            </w14:solidFill>
          </w14:textFill>
        </w:rPr>
        <w:t>保护生态系统完整性，严格遵循《中华人民共和国环境保护法》“生态保护红线”制度及《建设项目环境影响评价技术导则 生态影响》HJ 19-2022的避让优先原则。无法避让时，施工前必要时需开展环境评估，尽量避开生态保护区、湿地、古树名木等敏感区域。当无法避让时，采取微扰动施工和专项保护措施，控制地面沉降，减少对周边植被、水体及地下生态系统的扰动。</w:t>
      </w:r>
    </w:p>
    <w:p w14:paraId="726F4028">
      <w:pPr>
        <w:widowControl/>
        <w:snapToGrid w:val="0"/>
        <w:spacing w:line="360" w:lineRule="auto"/>
        <w:ind w:firstLine="480" w:firstLineChars="200"/>
        <w:jc w:val="left"/>
        <w:rPr>
          <w:rFonts w:hint="eastAsia" w:ascii="宋体" w:hAnsi="宋体" w:eastAsia="宋体" w:cs="宋体"/>
          <w:color w:val="000000" w:themeColor="text1"/>
          <w:kern w:val="0"/>
          <w:sz w:val="24"/>
          <w:lang w:bidi="ar"/>
          <w14:textFill>
            <w14:solidFill>
              <w14:schemeClr w14:val="tx1"/>
            </w14:solidFill>
          </w14:textFill>
        </w:rPr>
      </w:pPr>
      <w:r>
        <w:rPr>
          <w:rFonts w:hint="eastAsia" w:ascii="宋体" w:hAnsi="宋体" w:eastAsia="宋体" w:cs="宋体"/>
          <w:color w:val="000000" w:themeColor="text1"/>
          <w:kern w:val="0"/>
          <w:sz w:val="24"/>
          <w:lang w:bidi="ar"/>
          <w14:textFill>
            <w14:solidFill>
              <w14:schemeClr w14:val="tx1"/>
            </w14:solidFill>
          </w14:textFill>
        </w:rPr>
        <w:t xml:space="preserve">可渗透面积比例计算： </w:t>
      </w:r>
    </w:p>
    <w:p w14:paraId="53B7839F">
      <w:pPr>
        <w:keepNext w:val="0"/>
        <w:keepLines w:val="0"/>
        <w:widowControl/>
        <w:numPr>
          <w:ilvl w:val="0"/>
          <w:numId w:val="0"/>
        </w:numPr>
        <w:suppressLineNumbers w:val="0"/>
        <w:shd w:val="clear" w:fill="FFFFFF"/>
        <w:snapToGrid w:val="0"/>
        <w:spacing w:before="0" w:beforeAutospacing="0" w:after="0" w:afterAutospacing="0" w:line="360" w:lineRule="auto"/>
        <w:ind w:left="0" w:right="0" w:firstLine="480" w:firstLineChars="200"/>
        <w:rPr>
          <w:rFonts w:hint="default" w:ascii="宋体" w:hAnsi="宋体" w:cs="宋体" w:eastAsiaTheme="minorEastAsia"/>
          <w:i w:val="0"/>
          <w:iCs/>
          <w:caps w:val="0"/>
          <w:color w:val="000000" w:themeColor="text1"/>
          <w:spacing w:val="0"/>
          <w:kern w:val="0"/>
          <w:sz w:val="24"/>
          <w:szCs w:val="24"/>
          <w:highlight w:val="none"/>
          <w:shd w:val="clear" w:fill="FFFFFF"/>
          <w:lang w:val="en-US" w:eastAsia="zh-CN" w:bidi="ar"/>
          <w14:textFill>
            <w14:solidFill>
              <w14:schemeClr w14:val="tx1"/>
            </w14:solidFill>
          </w14:textFill>
        </w:rPr>
      </w:pPr>
      <m:oMathPara>
        <m:oMath>
          <m:r>
            <m:rPr>
              <m:sty m:val="p"/>
            </m:rPr>
            <w:rPr>
              <w:rFonts w:hint="default" w:ascii="Cambria Math" w:hAnsi="Cambria Math" w:cs="宋体"/>
              <w:caps w:val="0"/>
              <w:color w:val="000000" w:themeColor="text1"/>
              <w:spacing w:val="0"/>
              <w:kern w:val="0"/>
              <w:sz w:val="24"/>
              <w:szCs w:val="24"/>
              <w:highlight w:val="none"/>
              <w:shd w:val="clear" w:fill="FFFFFF"/>
              <w:lang w:val="en-US" w:eastAsia="zh-CN" w:bidi="ar"/>
              <w14:textFill>
                <w14:solidFill>
                  <w14:schemeClr w14:val="tx1"/>
                </w14:solidFill>
              </w14:textFill>
            </w:rPr>
            <m:t>PSC</m:t>
          </m:r>
          <m:r>
            <m:rPr>
              <m:sty m:val="p"/>
            </m:rPr>
            <w:rPr>
              <w:rFonts w:ascii="Cambria Math" w:hAnsi="Cambria Math" w:cs="宋体"/>
              <w:caps w:val="0"/>
              <w:color w:val="000000" w:themeColor="text1"/>
              <w:spacing w:val="0"/>
              <w:kern w:val="0"/>
              <w:sz w:val="24"/>
              <w:szCs w:val="24"/>
              <w:highlight w:val="none"/>
              <w:shd w:val="clear" w:fill="FFFFFF"/>
              <w:lang w:bidi="ar"/>
              <w14:textFill>
                <w14:solidFill>
                  <w14:schemeClr w14:val="tx1"/>
                </w14:solidFill>
              </w14:textFill>
            </w:rPr>
            <m:t>=</m:t>
          </m:r>
          <m:f>
            <m:fPr>
              <m:ctrlPr>
                <w:rPr>
                  <w:rFonts w:ascii="Cambria Math" w:hAnsi="Cambria Math" w:cs="宋体"/>
                  <w:i w:val="0"/>
                  <w:iCs/>
                  <w:caps w:val="0"/>
                  <w:color w:val="000000" w:themeColor="text1"/>
                  <w:spacing w:val="0"/>
                  <w:kern w:val="0"/>
                  <w:sz w:val="24"/>
                  <w:szCs w:val="24"/>
                  <w:highlight w:val="none"/>
                  <w:shd w:val="clear" w:fill="FFFFFF"/>
                  <w:lang w:bidi="ar"/>
                  <w14:textFill>
                    <w14:solidFill>
                      <w14:schemeClr w14:val="tx1"/>
                    </w14:solidFill>
                  </w14:textFill>
                </w:rPr>
              </m:ctrlPr>
            </m:fPr>
            <m:num>
              <m:r>
                <m:rPr>
                  <m:sty m:val="p"/>
                </m:rPr>
                <w:rPr>
                  <w:rFonts w:hint="default" w:ascii="Cambria Math" w:hAnsi="Cambria Math" w:cs="宋体"/>
                  <w:caps w:val="0"/>
                  <w:color w:val="000000" w:themeColor="text1"/>
                  <w:spacing w:val="0"/>
                  <w:kern w:val="0"/>
                  <w:sz w:val="24"/>
                  <w:szCs w:val="24"/>
                  <w:highlight w:val="none"/>
                  <w:shd w:val="clear" w:fill="FFFFFF"/>
                  <w:lang w:val="en-US" w:eastAsia="zh-CN" w:bidi="ar"/>
                  <w14:textFill>
                    <w14:solidFill>
                      <w14:schemeClr w14:val="tx1"/>
                    </w14:solidFill>
                  </w14:textFill>
                </w:rPr>
                <m:t>PA</m:t>
              </m:r>
              <m:ctrlPr>
                <w:rPr>
                  <w:rFonts w:ascii="Cambria Math" w:hAnsi="Cambria Math" w:cs="宋体"/>
                  <w:i w:val="0"/>
                  <w:iCs/>
                  <w:caps w:val="0"/>
                  <w:color w:val="000000" w:themeColor="text1"/>
                  <w:spacing w:val="0"/>
                  <w:kern w:val="0"/>
                  <w:sz w:val="24"/>
                  <w:szCs w:val="24"/>
                  <w:highlight w:val="none"/>
                  <w:shd w:val="clear" w:fill="FFFFFF"/>
                  <w:lang w:bidi="ar"/>
                  <w14:textFill>
                    <w14:solidFill>
                      <w14:schemeClr w14:val="tx1"/>
                    </w14:solidFill>
                  </w14:textFill>
                </w:rPr>
              </m:ctrlPr>
            </m:num>
            <m:den>
              <m:r>
                <m:rPr>
                  <m:sty m:val="p"/>
                </m:rPr>
                <w:rPr>
                  <w:rFonts w:hint="default" w:ascii="Cambria Math" w:hAnsi="Cambria Math" w:cs="宋体"/>
                  <w:caps w:val="0"/>
                  <w:color w:val="000000" w:themeColor="text1"/>
                  <w:spacing w:val="0"/>
                  <w:kern w:val="0"/>
                  <w:sz w:val="24"/>
                  <w:szCs w:val="24"/>
                  <w:highlight w:val="none"/>
                  <w:shd w:val="clear" w:fill="FFFFFF"/>
                  <w:lang w:val="en-US" w:eastAsia="zh-CN" w:bidi="ar"/>
                  <w14:textFill>
                    <w14:solidFill>
                      <w14:schemeClr w14:val="tx1"/>
                    </w14:solidFill>
                  </w14:textFill>
                </w:rPr>
                <m:t>TA</m:t>
              </m:r>
              <m:ctrlPr>
                <w:rPr>
                  <w:rFonts w:ascii="Cambria Math" w:hAnsi="Cambria Math" w:cs="宋体"/>
                  <w:i w:val="0"/>
                  <w:iCs/>
                  <w:caps w:val="0"/>
                  <w:color w:val="000000" w:themeColor="text1"/>
                  <w:spacing w:val="0"/>
                  <w:kern w:val="0"/>
                  <w:sz w:val="24"/>
                  <w:szCs w:val="24"/>
                  <w:highlight w:val="none"/>
                  <w:shd w:val="clear" w:fill="FFFFFF"/>
                  <w:lang w:bidi="ar"/>
                  <w14:textFill>
                    <w14:solidFill>
                      <w14:schemeClr w14:val="tx1"/>
                    </w14:solidFill>
                  </w14:textFill>
                </w:rPr>
              </m:ctrlPr>
            </m:den>
          </m:f>
        </m:oMath>
      </m:oMathPara>
    </w:p>
    <w:p w14:paraId="10AFBCE2">
      <w:pPr>
        <w:widowControl/>
        <w:snapToGrid w:val="0"/>
        <w:spacing w:line="360" w:lineRule="auto"/>
        <w:ind w:firstLine="480" w:firstLineChars="200"/>
        <w:jc w:val="both"/>
        <w:rPr>
          <w:rFonts w:hint="eastAsia" w:ascii="宋体" w:hAnsi="宋体" w:eastAsia="宋体" w:cs="宋体"/>
          <w:color w:val="000000" w:themeColor="text1"/>
          <w:kern w:val="0"/>
          <w:sz w:val="24"/>
          <w:lang w:bidi="ar"/>
          <w14:textFill>
            <w14:solidFill>
              <w14:schemeClr w14:val="tx1"/>
            </w14:solidFill>
          </w14:textFill>
        </w:rPr>
      </w:pPr>
      <w:r>
        <w:rPr>
          <w:rFonts w:hint="eastAsia" w:ascii="宋体" w:hAnsi="宋体" w:eastAsia="宋体" w:cs="宋体"/>
          <w:color w:val="000000" w:themeColor="text1"/>
          <w:kern w:val="0"/>
          <w:sz w:val="24"/>
          <w:lang w:bidi="ar"/>
          <w14:textFill>
            <w14:solidFill>
              <w14:schemeClr w14:val="tx1"/>
            </w14:solidFill>
          </w14:textFill>
        </w:rPr>
        <w:t xml:space="preserve">式中PSC——可渗透面积比例；PA——透水面积，促进雨水渗入地面的面积，如水面、草坪、林地、工程渗透区、透水铺装等面积；TA——总面积。 </w:t>
      </w:r>
    </w:p>
    <w:p w14:paraId="50BC9B1F">
      <w:pPr>
        <w:pStyle w:val="1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60" w:lineRule="auto"/>
        <w:ind w:left="0" w:right="0" w:firstLine="480" w:firstLineChars="200"/>
        <w:jc w:val="both"/>
        <w:rPr>
          <w:rFonts w:hint="eastAsia" w:ascii="宋体" w:hAnsi="宋体" w:eastAsia="宋体" w:cs="宋体"/>
          <w:i w:val="0"/>
          <w:iCs w:val="0"/>
          <w:caps w:val="0"/>
          <w:color w:val="000000" w:themeColor="text1"/>
          <w:spacing w:val="0"/>
          <w:sz w:val="24"/>
          <w:szCs w:val="24"/>
          <w:shd w:val="clear" w:fill="auto"/>
          <w14:textFill>
            <w14:solidFill>
              <w14:schemeClr w14:val="tx1"/>
            </w14:solidFill>
          </w14:textFill>
        </w:rPr>
      </w:pPr>
      <w:r>
        <w:rPr>
          <w:rFonts w:hint="eastAsia" w:ascii="宋体" w:hAnsi="宋体" w:eastAsia="宋体" w:cs="宋体"/>
          <w:color w:val="000000" w:themeColor="text1"/>
          <w:kern w:val="0"/>
          <w:sz w:val="24"/>
          <w:highlight w:val="none"/>
          <w:lang w:val="en-US" w:eastAsia="zh-CN" w:bidi="ar"/>
          <w14:textFill>
            <w14:solidFill>
              <w14:schemeClr w14:val="tx1"/>
            </w14:solidFill>
          </w14:textFill>
        </w:rPr>
        <w:t>2013年4月1日，</w:t>
      </w:r>
      <w:r>
        <w:rPr>
          <w:rFonts w:hint="eastAsia" w:ascii="宋体" w:hAnsi="宋体" w:eastAsia="宋体" w:cs="宋体"/>
          <w:i w:val="0"/>
          <w:iCs w:val="0"/>
          <w:caps w:val="0"/>
          <w:color w:val="000000" w:themeColor="text1"/>
          <w:spacing w:val="0"/>
          <w:sz w:val="24"/>
          <w:szCs w:val="24"/>
          <w:shd w:val="clear" w:fill="auto"/>
          <w14:textFill>
            <w14:solidFill>
              <w14:schemeClr w14:val="tx1"/>
            </w14:solidFill>
          </w14:textFill>
        </w:rPr>
        <w:t>国务院厅发布《关于做好城市排水防涝设施建设工作的通知》，通知要求，各地区旧城改造与新区建设需因地制宜配套建设雨水滞渗，新建城区硬化地面中，可渗透地面面积比例不宜低于40%。</w:t>
      </w:r>
    </w:p>
    <w:p w14:paraId="2FC25F39">
      <w:pPr>
        <w:snapToGrid w:val="0"/>
        <w:spacing w:after="0" w:afterLines="-2147483648" w:line="360" w:lineRule="auto"/>
        <w:ind w:firstLine="480" w:firstLineChars="200"/>
        <w:jc w:val="left"/>
        <w:outlineLvl w:val="9"/>
        <w:rPr>
          <w:rFonts w:hint="eastAsia" w:ascii="宋体" w:hAnsi="宋体" w:eastAsia="宋体" w:cs="宋体"/>
          <w:color w:val="000000" w:themeColor="text1"/>
          <w:sz w:val="24"/>
          <w:lang w:val="en-US" w:eastAsia="zh-CN"/>
          <w14:textFill>
            <w14:solidFill>
              <w14:schemeClr w14:val="tx1"/>
            </w14:solidFill>
          </w14:textFill>
        </w:rPr>
      </w:pPr>
      <w:r>
        <w:rPr>
          <w:rFonts w:hint="eastAsia"/>
          <w:color w:val="000000" w:themeColor="text1"/>
          <w:sz w:val="24"/>
          <w:lang w:val="en-US" w:eastAsia="zh-CN"/>
          <w14:textFill>
            <w14:solidFill>
              <w14:schemeClr w14:val="tx1"/>
            </w14:solidFill>
          </w14:textFill>
        </w:rPr>
        <w:t>运行阶段管道中</w:t>
      </w:r>
      <w:r>
        <w:rPr>
          <w:rFonts w:hint="eastAsia" w:ascii="宋体" w:hAnsi="宋体" w:eastAsia="宋体" w:cs="宋体"/>
          <w:color w:val="000000" w:themeColor="text1"/>
          <w:sz w:val="24"/>
          <w:lang w:val="en-US" w:eastAsia="zh-CN"/>
          <w14:textFill>
            <w14:solidFill>
              <w14:schemeClr w14:val="tx1"/>
            </w14:solidFill>
          </w14:textFill>
        </w:rPr>
        <w:t>高温水不得直接排放至城市下水管线、雨水管线或自然水体中。必须经过适当的冷却和处理，确保排放水质符合《污水排入城镇下水道水质标准》GB/T31962的规定后，方可排放。</w:t>
      </w:r>
    </w:p>
    <w:p w14:paraId="2D83BDA9">
      <w:pPr>
        <w:widowControl/>
        <w:snapToGrid w:val="0"/>
        <w:spacing w:line="360" w:lineRule="auto"/>
        <w:ind w:firstLine="480" w:firstLineChars="200"/>
        <w:jc w:val="left"/>
        <w:rPr>
          <w:rFonts w:hint="eastAsia" w:ascii="宋体" w:hAnsi="宋体" w:eastAsia="宋体" w:cs="宋体"/>
          <w:color w:val="000000" w:themeColor="text1"/>
          <w:kern w:val="0"/>
          <w:sz w:val="24"/>
          <w:lang w:bidi="ar"/>
          <w14:textFill>
            <w14:solidFill>
              <w14:schemeClr w14:val="tx1"/>
            </w14:solidFill>
          </w14:textFill>
        </w:rPr>
      </w:pPr>
      <w:r>
        <w:rPr>
          <w:rFonts w:hint="eastAsia" w:ascii="宋体" w:hAnsi="宋体" w:eastAsia="宋体" w:cs="宋体"/>
          <w:color w:val="000000" w:themeColor="text1"/>
          <w:kern w:val="0"/>
          <w:sz w:val="24"/>
          <w:lang w:bidi="ar"/>
          <w14:textFill>
            <w14:solidFill>
              <w14:schemeClr w14:val="tx1"/>
            </w14:solidFill>
          </w14:textFill>
        </w:rPr>
        <w:t>考量内容：</w:t>
      </w:r>
      <w:r>
        <w:rPr>
          <w:rFonts w:hint="eastAsia" w:ascii="宋体" w:hAnsi="宋体" w:eastAsia="宋体" w:cs="宋体"/>
          <w:color w:val="000000" w:themeColor="text1"/>
          <w:kern w:val="0"/>
          <w:sz w:val="24"/>
          <w:lang w:eastAsia="zh-CN" w:bidi="ar"/>
          <w14:textFill>
            <w14:solidFill>
              <w14:schemeClr w14:val="tx1"/>
            </w14:solidFill>
          </w14:textFill>
        </w:rPr>
        <w:t>（</w:t>
      </w:r>
      <w:r>
        <w:rPr>
          <w:rFonts w:hint="eastAsia" w:ascii="宋体" w:hAnsi="宋体" w:eastAsia="宋体" w:cs="宋体"/>
          <w:color w:val="000000" w:themeColor="text1"/>
          <w:kern w:val="0"/>
          <w:sz w:val="24"/>
          <w:lang w:val="en-US" w:eastAsia="zh-CN" w:bidi="ar"/>
          <w14:textFill>
            <w14:solidFill>
              <w14:schemeClr w14:val="tx1"/>
            </w14:solidFill>
          </w14:textFill>
        </w:rPr>
        <w:t>1</w:t>
      </w:r>
      <w:r>
        <w:rPr>
          <w:rFonts w:hint="eastAsia" w:ascii="宋体" w:hAnsi="宋体" w:eastAsia="宋体" w:cs="宋体"/>
          <w:color w:val="000000" w:themeColor="text1"/>
          <w:kern w:val="0"/>
          <w:sz w:val="24"/>
          <w:lang w:eastAsia="zh-CN" w:bidi="ar"/>
          <w14:textFill>
            <w14:solidFill>
              <w14:schemeClr w14:val="tx1"/>
            </w14:solidFill>
          </w14:textFill>
        </w:rPr>
        <w:t>）</w:t>
      </w:r>
      <w:r>
        <w:rPr>
          <w:rFonts w:hint="eastAsia" w:ascii="宋体" w:hAnsi="宋体" w:eastAsia="宋体" w:cs="宋体"/>
          <w:color w:val="000000" w:themeColor="text1"/>
          <w:sz w:val="24"/>
          <w:lang w:val="en-US" w:eastAsia="zh-CN"/>
          <w14:textFill>
            <w14:solidFill>
              <w14:schemeClr w14:val="tx1"/>
            </w14:solidFill>
          </w14:textFill>
        </w:rPr>
        <w:t>施工组织设计；（2）</w:t>
      </w:r>
      <w:r>
        <w:rPr>
          <w:rFonts w:hint="eastAsia"/>
          <w:color w:val="000000" w:themeColor="text1"/>
          <w:sz w:val="24"/>
          <w14:textFill>
            <w14:solidFill>
              <w14:schemeClr w14:val="tx1"/>
            </w14:solidFill>
          </w14:textFill>
        </w:rPr>
        <w:t>硬化地面中可渗透地面面积</w:t>
      </w:r>
      <w:r>
        <w:rPr>
          <w:rFonts w:hint="eastAsia"/>
          <w:color w:val="000000" w:themeColor="text1"/>
          <w:sz w:val="24"/>
          <w:lang w:val="en-US" w:eastAsia="zh-CN"/>
          <w14:textFill>
            <w14:solidFill>
              <w14:schemeClr w14:val="tx1"/>
            </w14:solidFill>
          </w14:textFill>
        </w:rPr>
        <w:t>比例；</w:t>
      </w:r>
      <w:r>
        <w:rPr>
          <w:rFonts w:hint="eastAsia" w:ascii="宋体" w:hAnsi="宋体" w:eastAsia="宋体" w:cs="宋体"/>
          <w:color w:val="000000" w:themeColor="text1"/>
          <w:sz w:val="24"/>
          <w:lang w:val="en-US" w:eastAsia="zh-CN"/>
          <w14:textFill>
            <w14:solidFill>
              <w14:schemeClr w14:val="tx1"/>
            </w14:solidFill>
          </w14:textFill>
        </w:rPr>
        <w:t>（3）环境影响评价报告；</w:t>
      </w:r>
      <w:r>
        <w:rPr>
          <w:rFonts w:hint="eastAsia" w:ascii="宋体" w:hAnsi="宋体" w:eastAsia="宋体" w:cs="宋体"/>
          <w:color w:val="000000" w:themeColor="text1"/>
          <w:kern w:val="0"/>
          <w:sz w:val="24"/>
          <w:lang w:bidi="ar"/>
          <w14:textFill>
            <w14:solidFill>
              <w14:schemeClr w14:val="tx1"/>
            </w14:solidFill>
          </w14:textFill>
        </w:rPr>
        <w:t>（</w:t>
      </w:r>
      <w:r>
        <w:rPr>
          <w:rFonts w:hint="eastAsia" w:ascii="宋体" w:hAnsi="宋体" w:eastAsia="宋体" w:cs="宋体"/>
          <w:color w:val="000000" w:themeColor="text1"/>
          <w:kern w:val="0"/>
          <w:sz w:val="24"/>
          <w:lang w:val="en-US" w:eastAsia="zh-CN" w:bidi="ar"/>
          <w14:textFill>
            <w14:solidFill>
              <w14:schemeClr w14:val="tx1"/>
            </w14:solidFill>
          </w14:textFill>
        </w:rPr>
        <w:t>4</w:t>
      </w:r>
      <w:r>
        <w:rPr>
          <w:rFonts w:hint="eastAsia" w:ascii="宋体" w:hAnsi="宋体" w:eastAsia="宋体" w:cs="宋体"/>
          <w:color w:val="000000" w:themeColor="text1"/>
          <w:kern w:val="0"/>
          <w:sz w:val="24"/>
          <w:lang w:bidi="ar"/>
          <w14:textFill>
            <w14:solidFill>
              <w14:schemeClr w14:val="tx1"/>
            </w14:solidFill>
          </w14:textFill>
        </w:rPr>
        <w:t>）项目生态保护</w:t>
      </w:r>
      <w:r>
        <w:rPr>
          <w:rFonts w:hint="eastAsia" w:ascii="宋体" w:hAnsi="宋体" w:eastAsia="宋体" w:cs="宋体"/>
          <w:color w:val="000000" w:themeColor="text1"/>
          <w:kern w:val="0"/>
          <w:sz w:val="24"/>
          <w:lang w:val="en-US" w:eastAsia="zh-CN" w:bidi="ar"/>
          <w14:textFill>
            <w14:solidFill>
              <w14:schemeClr w14:val="tx1"/>
            </w14:solidFill>
          </w14:textFill>
        </w:rPr>
        <w:t>方案和保护</w:t>
      </w:r>
      <w:r>
        <w:rPr>
          <w:rFonts w:hint="eastAsia" w:ascii="宋体" w:hAnsi="宋体" w:eastAsia="宋体" w:cs="宋体"/>
          <w:color w:val="000000" w:themeColor="text1"/>
          <w:kern w:val="0"/>
          <w:sz w:val="24"/>
          <w:lang w:bidi="ar"/>
          <w14:textFill>
            <w14:solidFill>
              <w14:schemeClr w14:val="tx1"/>
            </w14:solidFill>
          </w14:textFill>
        </w:rPr>
        <w:t>措施；</w:t>
      </w:r>
      <w:r>
        <w:rPr>
          <w:rFonts w:hint="eastAsia" w:ascii="宋体" w:hAnsi="宋体" w:eastAsia="宋体" w:cs="宋体"/>
          <w:color w:val="000000" w:themeColor="text1"/>
          <w:sz w:val="24"/>
          <w:lang w:val="en-US" w:eastAsia="zh-CN"/>
          <w14:textFill>
            <w14:solidFill>
              <w14:schemeClr w14:val="tx1"/>
            </w14:solidFill>
          </w14:textFill>
        </w:rPr>
        <w:t>（5）专项施工方案。</w:t>
      </w:r>
    </w:p>
    <w:p w14:paraId="797B6F8E">
      <w:pPr>
        <w:widowControl/>
        <w:snapToGrid w:val="0"/>
        <w:spacing w:line="360" w:lineRule="auto"/>
        <w:jc w:val="left"/>
        <w:rPr>
          <w:rFonts w:hint="eastAsia" w:ascii="宋体" w:hAnsi="宋体" w:eastAsia="宋体" w:cs="宋体"/>
          <w:color w:val="000000" w:themeColor="text1"/>
          <w:kern w:val="0"/>
          <w:sz w:val="24"/>
          <w:lang w:bidi="ar"/>
          <w14:textFill>
            <w14:solidFill>
              <w14:schemeClr w14:val="tx1"/>
            </w14:solidFill>
          </w14:textFill>
        </w:rPr>
      </w:pPr>
      <w:r>
        <w:rPr>
          <w:rFonts w:hint="eastAsia" w:ascii="宋体" w:hAnsi="宋体" w:eastAsia="宋体" w:cs="宋体"/>
          <w:color w:val="000000" w:themeColor="text1"/>
          <w:kern w:val="0"/>
          <w:sz w:val="24"/>
          <w:lang w:bidi="ar"/>
          <w14:textFill>
            <w14:solidFill>
              <w14:schemeClr w14:val="tx1"/>
            </w14:solidFill>
          </w14:textFill>
        </w:rPr>
        <w:t>4.2.1</w:t>
      </w:r>
      <w:r>
        <w:rPr>
          <w:rFonts w:hint="eastAsia" w:ascii="宋体" w:hAnsi="宋体" w:eastAsia="宋体" w:cs="宋体"/>
          <w:color w:val="000000" w:themeColor="text1"/>
          <w:kern w:val="0"/>
          <w:sz w:val="24"/>
          <w:lang w:val="en-US" w:eastAsia="zh-CN" w:bidi="ar"/>
          <w14:textFill>
            <w14:solidFill>
              <w14:schemeClr w14:val="tx1"/>
            </w14:solidFill>
          </w14:textFill>
        </w:rPr>
        <w:t>3</w:t>
      </w:r>
      <w:r>
        <w:rPr>
          <w:rFonts w:hint="eastAsia" w:ascii="宋体" w:hAnsi="宋体" w:eastAsia="宋体" w:cs="宋体"/>
          <w:color w:val="000000" w:themeColor="text1"/>
          <w:kern w:val="0"/>
          <w:sz w:val="24"/>
          <w:lang w:bidi="ar"/>
          <w14:textFill>
            <w14:solidFill>
              <w14:schemeClr w14:val="tx1"/>
            </w14:solidFill>
          </w14:textFill>
        </w:rPr>
        <w:t>本条</w:t>
      </w:r>
      <w:r>
        <w:rPr>
          <w:rFonts w:hint="eastAsia" w:ascii="宋体" w:hAnsi="宋体" w:eastAsia="宋体" w:cs="宋体"/>
          <w:color w:val="000000" w:themeColor="text1"/>
          <w:kern w:val="0"/>
          <w:sz w:val="24"/>
          <w:lang w:val="en-US" w:eastAsia="zh-CN" w:bidi="ar"/>
          <w14:textFill>
            <w14:solidFill>
              <w14:schemeClr w14:val="tx1"/>
            </w14:solidFill>
          </w14:textFill>
        </w:rPr>
        <w:t>款</w:t>
      </w:r>
      <w:r>
        <w:rPr>
          <w:rFonts w:hint="eastAsia" w:ascii="宋体" w:hAnsi="宋体" w:eastAsia="宋体" w:cs="宋体"/>
          <w:color w:val="000000" w:themeColor="text1"/>
          <w:kern w:val="0"/>
          <w:sz w:val="24"/>
          <w:lang w:bidi="ar"/>
          <w14:textFill>
            <w14:solidFill>
              <w14:schemeClr w14:val="tx1"/>
            </w14:solidFill>
          </w14:textFill>
        </w:rPr>
        <w:t>适用于基础设施</w:t>
      </w:r>
      <w:r>
        <w:rPr>
          <w:rFonts w:hint="eastAsia" w:ascii="宋体" w:hAnsi="宋体" w:eastAsia="宋体" w:cs="宋体"/>
          <w:color w:val="000000" w:themeColor="text1"/>
          <w:kern w:val="0"/>
          <w:sz w:val="24"/>
          <w:lang w:val="en-US" w:eastAsia="zh-CN" w:bidi="ar"/>
          <w14:textFill>
            <w14:solidFill>
              <w14:schemeClr w14:val="tx1"/>
            </w14:solidFill>
          </w14:textFill>
        </w:rPr>
        <w:t>项目规划</w:t>
      </w:r>
      <w:r>
        <w:rPr>
          <w:rFonts w:hint="eastAsia" w:ascii="宋体" w:hAnsi="宋体" w:eastAsia="宋体" w:cs="宋体"/>
          <w:color w:val="000000" w:themeColor="text1"/>
          <w:kern w:val="0"/>
          <w:sz w:val="24"/>
          <w:lang w:bidi="ar"/>
          <w14:textFill>
            <w14:solidFill>
              <w14:schemeClr w14:val="tx1"/>
            </w14:solidFill>
          </w14:textFill>
        </w:rPr>
        <w:t>设计</w:t>
      </w:r>
      <w:r>
        <w:rPr>
          <w:rFonts w:hint="eastAsia" w:ascii="宋体" w:hAnsi="宋体" w:eastAsia="宋体" w:cs="宋体"/>
          <w:color w:val="000000" w:themeColor="text1"/>
          <w:kern w:val="0"/>
          <w:sz w:val="24"/>
          <w:lang w:val="en-US" w:eastAsia="zh-CN" w:bidi="ar"/>
          <w14:textFill>
            <w14:solidFill>
              <w14:schemeClr w14:val="tx1"/>
            </w14:solidFill>
          </w14:textFill>
        </w:rPr>
        <w:t>阶段</w:t>
      </w:r>
      <w:r>
        <w:rPr>
          <w:rFonts w:hint="eastAsia" w:ascii="宋体" w:hAnsi="宋体" w:eastAsia="宋体" w:cs="宋体"/>
          <w:color w:val="000000" w:themeColor="text1"/>
          <w:kern w:val="0"/>
          <w:sz w:val="24"/>
          <w:lang w:bidi="ar"/>
          <w14:textFill>
            <w14:solidFill>
              <w14:schemeClr w14:val="tx1"/>
            </w14:solidFill>
          </w14:textFill>
        </w:rPr>
        <w:t>、</w:t>
      </w:r>
      <w:r>
        <w:rPr>
          <w:rFonts w:hint="eastAsia" w:ascii="宋体" w:hAnsi="宋体" w:eastAsia="宋体" w:cs="宋体"/>
          <w:color w:val="000000" w:themeColor="text1"/>
          <w:kern w:val="0"/>
          <w:sz w:val="24"/>
          <w:lang w:eastAsia="zh-CN" w:bidi="ar"/>
          <w14:textFill>
            <w14:solidFill>
              <w14:schemeClr w14:val="tx1"/>
            </w14:solidFill>
          </w14:textFill>
        </w:rPr>
        <w:t>施工建造</w:t>
      </w:r>
      <w:r>
        <w:rPr>
          <w:rFonts w:hint="eastAsia" w:ascii="宋体" w:hAnsi="宋体" w:eastAsia="宋体" w:cs="宋体"/>
          <w:color w:val="000000" w:themeColor="text1"/>
          <w:kern w:val="0"/>
          <w:sz w:val="24"/>
          <w:lang w:val="en-US" w:eastAsia="zh-CN" w:bidi="ar"/>
          <w14:textFill>
            <w14:solidFill>
              <w14:schemeClr w14:val="tx1"/>
            </w14:solidFill>
          </w14:textFill>
        </w:rPr>
        <w:t>阶段</w:t>
      </w:r>
      <w:r>
        <w:rPr>
          <w:rFonts w:hint="eastAsia" w:ascii="宋体" w:hAnsi="宋体" w:eastAsia="宋体" w:cs="宋体"/>
          <w:color w:val="000000" w:themeColor="text1"/>
          <w:kern w:val="0"/>
          <w:sz w:val="24"/>
          <w:lang w:eastAsia="zh-CN" w:bidi="ar"/>
          <w14:textFill>
            <w14:solidFill>
              <w14:schemeClr w14:val="tx1"/>
            </w14:solidFill>
          </w14:textFill>
        </w:rPr>
        <w:t>、运行</w:t>
      </w:r>
      <w:r>
        <w:rPr>
          <w:rFonts w:hint="eastAsia" w:ascii="宋体" w:hAnsi="宋体" w:eastAsia="宋体" w:cs="宋体"/>
          <w:color w:val="000000" w:themeColor="text1"/>
          <w:kern w:val="0"/>
          <w:sz w:val="24"/>
          <w:lang w:val="en-US" w:eastAsia="zh-CN" w:bidi="ar"/>
          <w14:textFill>
            <w14:solidFill>
              <w14:schemeClr w14:val="tx1"/>
            </w14:solidFill>
          </w14:textFill>
        </w:rPr>
        <w:t>阶段</w:t>
      </w:r>
      <w:r>
        <w:rPr>
          <w:rFonts w:hint="eastAsia" w:ascii="宋体" w:hAnsi="宋体" w:eastAsia="宋体" w:cs="宋体"/>
          <w:color w:val="000000" w:themeColor="text1"/>
          <w:kern w:val="0"/>
          <w:sz w:val="24"/>
          <w:lang w:bidi="ar"/>
          <w14:textFill>
            <w14:solidFill>
              <w14:schemeClr w14:val="tx1"/>
            </w14:solidFill>
          </w14:textFill>
        </w:rPr>
        <w:t>的评价。</w:t>
      </w:r>
    </w:p>
    <w:p w14:paraId="49AACD4A">
      <w:pPr>
        <w:snapToGrid w:val="0"/>
        <w:spacing w:after="0" w:afterLines="-2147483648" w:line="360" w:lineRule="auto"/>
        <w:ind w:firstLine="480" w:firstLineChars="200"/>
        <w:jc w:val="left"/>
        <w:outlineLvl w:val="9"/>
        <w:rPr>
          <w:rFonts w:hint="eastAsia" w:ascii="宋体" w:hAnsi="宋体" w:eastAsia="宋体" w:cs="宋体"/>
          <w:color w:val="000000" w:themeColor="text1"/>
          <w:sz w:val="24"/>
          <w:lang w:val="en-US" w:eastAsia="zh-CN"/>
          <w14:textFill>
            <w14:solidFill>
              <w14:schemeClr w14:val="tx1"/>
            </w14:solidFill>
          </w14:textFill>
        </w:rPr>
      </w:pPr>
      <w:r>
        <w:rPr>
          <w:rFonts w:hint="eastAsia" w:ascii="宋体" w:hAnsi="宋体" w:eastAsia="宋体" w:cs="宋体"/>
          <w:color w:val="000000" w:themeColor="text1"/>
          <w:sz w:val="24"/>
          <w:lang w:val="en-US" w:eastAsia="zh-CN"/>
          <w14:textFill>
            <w14:solidFill>
              <w14:schemeClr w14:val="tx1"/>
            </w14:solidFill>
          </w14:textFill>
        </w:rPr>
        <w:t>生态补偿方案栖息地补偿执行《生物多样性保护重大工程实施方案（2024）》“占补平衡”原则，实施专项保护措施。施工完成后，对临时占用的绿地、道路等进行生态修复，恢复其原有功能。此外，还需对受影响的动植物栖息地提供补偿方案，如补植绿化、设置生态廊道等，减少施工活动对生态环境的影响，确保工程建设与生态环境的协调发展，促进生态系统的可持续性。</w:t>
      </w:r>
    </w:p>
    <w:p w14:paraId="42818FE9">
      <w:pPr>
        <w:widowControl/>
        <w:snapToGrid w:val="0"/>
        <w:spacing w:line="360" w:lineRule="auto"/>
        <w:ind w:firstLine="480" w:firstLineChars="200"/>
        <w:jc w:val="left"/>
        <w:rPr>
          <w:rFonts w:hint="eastAsia" w:ascii="宋体" w:hAnsi="宋体" w:eastAsia="宋体" w:cs="宋体"/>
          <w:color w:val="000000" w:themeColor="text1"/>
          <w:kern w:val="0"/>
          <w:sz w:val="24"/>
          <w:lang w:val="en-US" w:eastAsia="zh-CN" w:bidi="ar"/>
          <w14:textFill>
            <w14:solidFill>
              <w14:schemeClr w14:val="tx1"/>
            </w14:solidFill>
          </w14:textFill>
        </w:rPr>
      </w:pPr>
      <w:r>
        <w:rPr>
          <w:rFonts w:hint="eastAsia" w:ascii="宋体" w:hAnsi="宋体" w:eastAsia="宋体" w:cs="宋体"/>
          <w:color w:val="000000" w:themeColor="text1"/>
          <w:kern w:val="0"/>
          <w:sz w:val="24"/>
          <w:lang w:val="en-US" w:eastAsia="zh-CN" w:bidi="ar"/>
          <w14:textFill>
            <w14:solidFill>
              <w14:schemeClr w14:val="tx1"/>
            </w14:solidFill>
          </w14:textFill>
        </w:rPr>
        <w:t>生态补偿是指项目给生态系统和自然资源造成的破坏及对环境造成的污染的补偿、恢复、综合治理等一系列活动的总称。生态补偿实施方案包含对生态环境破坏的评估、修复和恢复措施的具体规划、所需成本预算、实施时间表以及监测与评估机制等内容。</w:t>
      </w:r>
    </w:p>
    <w:p w14:paraId="14563A5D">
      <w:pPr>
        <w:pStyle w:val="4"/>
        <w:widowControl/>
        <w:snapToGrid w:val="0"/>
        <w:spacing w:line="360" w:lineRule="auto"/>
        <w:ind w:firstLine="480" w:firstLineChars="200"/>
        <w:jc w:val="left"/>
        <w:rPr>
          <w:rFonts w:hint="eastAsia" w:asciiTheme="minorHAnsi" w:hAnsiTheme="minorHAnsi" w:eastAsiaTheme="minorEastAsia" w:cstheme="minorBidi"/>
          <w:color w:val="000000" w:themeColor="text1"/>
          <w:kern w:val="2"/>
          <w:sz w:val="24"/>
          <w:lang w:val="en-US" w:eastAsia="zh-CN" w:bidi="ar"/>
          <w14:textFill>
            <w14:solidFill>
              <w14:schemeClr w14:val="tx1"/>
            </w14:solidFill>
          </w14:textFill>
        </w:rPr>
      </w:pPr>
      <w:r>
        <w:rPr>
          <w:rFonts w:hint="eastAsia"/>
          <w:color w:val="000000" w:themeColor="text1"/>
          <w:sz w:val="24"/>
          <w:highlight w:val="none"/>
          <w:lang w:val="en-US" w:eastAsia="zh-CN"/>
          <w14:textFill>
            <w14:solidFill>
              <w14:schemeClr w14:val="tx1"/>
            </w14:solidFill>
          </w14:textFill>
        </w:rPr>
        <w:t>针对占地规模较大，或者生态影响较为明显的</w:t>
      </w:r>
      <w:r>
        <w:rPr>
          <w:rFonts w:hint="eastAsia"/>
          <w:color w:val="000000" w:themeColor="text1"/>
          <w:sz w:val="24"/>
          <w:lang w:val="en-US" w:eastAsia="zh-CN"/>
          <w14:textFill>
            <w14:solidFill>
              <w14:schemeClr w14:val="tx1"/>
            </w14:solidFill>
          </w14:textFill>
        </w:rPr>
        <w:t>高铁站房、机场等新型基础设施项目，</w:t>
      </w:r>
      <w:r>
        <w:rPr>
          <w:rFonts w:hint="eastAsia"/>
          <w:color w:val="000000" w:themeColor="text1"/>
          <w:sz w:val="24"/>
          <w:highlight w:val="none"/>
          <w14:textFill>
            <w14:solidFill>
              <w14:schemeClr w14:val="tx1"/>
            </w14:solidFill>
          </w14:textFill>
        </w:rPr>
        <w:t>定期</w:t>
      </w:r>
      <w:r>
        <w:rPr>
          <w:rFonts w:hint="eastAsia"/>
          <w:color w:val="000000" w:themeColor="text1"/>
          <w:sz w:val="24"/>
          <w14:textFill>
            <w14:solidFill>
              <w14:schemeClr w14:val="tx1"/>
            </w14:solidFill>
          </w14:textFill>
        </w:rPr>
        <w:t>评估</w:t>
      </w:r>
      <w:r>
        <w:rPr>
          <w:rFonts w:hint="eastAsia"/>
          <w:color w:val="000000" w:themeColor="text1"/>
          <w:sz w:val="24"/>
          <w:lang w:val="en-US" w:eastAsia="zh-CN"/>
          <w14:textFill>
            <w14:solidFill>
              <w14:schemeClr w14:val="tx1"/>
            </w14:solidFill>
          </w14:textFill>
        </w:rPr>
        <w:t>项目对周边物种多样性、水土流失的影响。包含目建设可能影响的动植物、水土流失涉及区域内水土流失现状、‌成因及危害，‌并预测分析工程建设对水土流失的影响。</w:t>
      </w:r>
    </w:p>
    <w:p w14:paraId="29B17683">
      <w:pPr>
        <w:widowControl/>
        <w:snapToGrid w:val="0"/>
        <w:spacing w:line="360" w:lineRule="auto"/>
        <w:ind w:firstLine="480" w:firstLineChars="200"/>
        <w:jc w:val="left"/>
        <w:rPr>
          <w:rFonts w:hint="eastAsia" w:ascii="宋体" w:hAnsi="宋体" w:eastAsia="宋体" w:cs="宋体"/>
          <w:color w:val="000000" w:themeColor="text1"/>
          <w:kern w:val="0"/>
          <w:sz w:val="24"/>
          <w:lang w:bidi="ar"/>
          <w14:textFill>
            <w14:solidFill>
              <w14:schemeClr w14:val="tx1"/>
            </w14:solidFill>
          </w14:textFill>
        </w:rPr>
      </w:pPr>
      <w:r>
        <w:rPr>
          <w:rFonts w:hint="eastAsia" w:ascii="宋体" w:hAnsi="宋体" w:eastAsia="宋体" w:cs="宋体"/>
          <w:color w:val="000000" w:themeColor="text1"/>
          <w:kern w:val="0"/>
          <w:sz w:val="24"/>
          <w:lang w:bidi="ar"/>
          <w14:textFill>
            <w14:solidFill>
              <w14:schemeClr w14:val="tx1"/>
            </w14:solidFill>
          </w14:textFill>
        </w:rPr>
        <w:t>考量内容：（1）项目生态补偿及修复实施方案；（</w:t>
      </w:r>
      <w:r>
        <w:rPr>
          <w:rFonts w:hint="eastAsia" w:ascii="宋体" w:hAnsi="宋体" w:eastAsia="宋体" w:cs="宋体"/>
          <w:color w:val="000000" w:themeColor="text1"/>
          <w:kern w:val="0"/>
          <w:sz w:val="24"/>
          <w:lang w:val="en-US" w:eastAsia="zh-CN" w:bidi="ar"/>
          <w14:textFill>
            <w14:solidFill>
              <w14:schemeClr w14:val="tx1"/>
            </w14:solidFill>
          </w14:textFill>
        </w:rPr>
        <w:t>2</w:t>
      </w:r>
      <w:r>
        <w:rPr>
          <w:rFonts w:hint="eastAsia" w:ascii="宋体" w:hAnsi="宋体" w:eastAsia="宋体" w:cs="宋体"/>
          <w:color w:val="000000" w:themeColor="text1"/>
          <w:kern w:val="0"/>
          <w:sz w:val="24"/>
          <w:lang w:bidi="ar"/>
          <w14:textFill>
            <w14:solidFill>
              <w14:schemeClr w14:val="tx1"/>
            </w14:solidFill>
          </w14:textFill>
        </w:rPr>
        <w:t>）</w:t>
      </w:r>
      <w:r>
        <w:rPr>
          <w:rFonts w:hint="eastAsia"/>
          <w:color w:val="000000" w:themeColor="text1"/>
          <w:sz w:val="24"/>
          <w:lang w:val="en-US" w:eastAsia="zh-CN"/>
          <w14:textFill>
            <w14:solidFill>
              <w14:schemeClr w14:val="tx1"/>
            </w14:solidFill>
          </w14:textFill>
        </w:rPr>
        <w:t>物种多样性、水土流失等生态条件</w:t>
      </w:r>
      <w:r>
        <w:rPr>
          <w:rFonts w:hint="eastAsia" w:ascii="宋体" w:hAnsi="宋体" w:eastAsia="宋体" w:cs="宋体"/>
          <w:color w:val="000000" w:themeColor="text1"/>
          <w:kern w:val="0"/>
          <w:sz w:val="24"/>
          <w:lang w:val="en-US" w:eastAsia="zh-CN" w:bidi="ar"/>
          <w14:textFill>
            <w14:solidFill>
              <w14:schemeClr w14:val="tx1"/>
            </w14:solidFill>
          </w14:textFill>
        </w:rPr>
        <w:t>分析文件</w:t>
      </w:r>
      <w:r>
        <w:rPr>
          <w:rFonts w:hint="eastAsia" w:ascii="宋体" w:hAnsi="宋体" w:eastAsia="宋体" w:cs="宋体"/>
          <w:color w:val="000000" w:themeColor="text1"/>
          <w:sz w:val="24"/>
          <w:lang w:val="en-US" w:eastAsia="zh-CN"/>
          <w14:textFill>
            <w14:solidFill>
              <w14:schemeClr w14:val="tx1"/>
            </w14:solidFill>
          </w14:textFill>
        </w:rPr>
        <w:t>；（3）专项施工方案</w:t>
      </w:r>
      <w:r>
        <w:rPr>
          <w:rFonts w:hint="eastAsia" w:ascii="宋体" w:hAnsi="宋体" w:eastAsia="宋体" w:cs="宋体"/>
          <w:color w:val="000000" w:themeColor="text1"/>
          <w:kern w:val="0"/>
          <w:sz w:val="24"/>
          <w:lang w:bidi="ar"/>
          <w14:textFill>
            <w14:solidFill>
              <w14:schemeClr w14:val="tx1"/>
            </w14:solidFill>
          </w14:textFill>
        </w:rPr>
        <w:t>。</w:t>
      </w:r>
    </w:p>
    <w:p w14:paraId="3AD5338A">
      <w:pPr>
        <w:widowControl/>
        <w:snapToGrid w:val="0"/>
        <w:spacing w:line="360" w:lineRule="auto"/>
        <w:ind w:firstLine="480" w:firstLineChars="200"/>
        <w:jc w:val="left"/>
        <w:rPr>
          <w:rFonts w:hint="eastAsia" w:ascii="宋体" w:hAnsi="宋体" w:eastAsia="宋体" w:cs="宋体"/>
          <w:color w:val="000000" w:themeColor="text1"/>
          <w:kern w:val="0"/>
          <w:sz w:val="24"/>
          <w:lang w:bidi="ar"/>
          <w14:textFill>
            <w14:solidFill>
              <w14:schemeClr w14:val="tx1"/>
            </w14:solidFill>
          </w14:textFill>
        </w:rPr>
      </w:pPr>
    </w:p>
    <w:p w14:paraId="068784ED">
      <w:pPr>
        <w:widowControl/>
        <w:snapToGrid w:val="0"/>
        <w:spacing w:line="360" w:lineRule="auto"/>
        <w:ind w:firstLine="480" w:firstLineChars="200"/>
        <w:jc w:val="left"/>
        <w:rPr>
          <w:rFonts w:hint="eastAsia" w:ascii="宋体" w:hAnsi="宋体" w:eastAsia="宋体" w:cs="宋体"/>
          <w:color w:val="000000" w:themeColor="text1"/>
          <w:kern w:val="0"/>
          <w:sz w:val="24"/>
          <w:lang w:bidi="ar"/>
          <w14:textFill>
            <w14:solidFill>
              <w14:schemeClr w14:val="tx1"/>
            </w14:solidFill>
          </w14:textFill>
        </w:rPr>
        <w:sectPr>
          <w:pgSz w:w="11906" w:h="16838"/>
          <w:pgMar w:top="1440" w:right="1800" w:bottom="1440" w:left="1800" w:header="851" w:footer="992" w:gutter="0"/>
          <w:pgNumType w:fmt="decimal"/>
          <w:cols w:space="425" w:num="1"/>
          <w:docGrid w:type="lines" w:linePitch="312" w:charSpace="0"/>
        </w:sectPr>
      </w:pPr>
    </w:p>
    <w:p w14:paraId="2E51F319">
      <w:pPr>
        <w:snapToGrid w:val="0"/>
        <w:spacing w:line="360" w:lineRule="auto"/>
        <w:jc w:val="center"/>
        <w:outlineLvl w:val="0"/>
        <w:rPr>
          <w:rFonts w:ascii="宋体" w:hAnsi="宋体" w:eastAsia="宋体" w:cs="宋体"/>
          <w:b/>
          <w:bCs/>
          <w:color w:val="000000" w:themeColor="text1"/>
          <w:sz w:val="30"/>
          <w:szCs w:val="30"/>
          <w14:textFill>
            <w14:solidFill>
              <w14:schemeClr w14:val="tx1"/>
            </w14:solidFill>
          </w14:textFill>
        </w:rPr>
      </w:pPr>
      <w:bookmarkStart w:id="731" w:name="_Toc4220"/>
      <w:bookmarkStart w:id="732" w:name="_Toc20649"/>
      <w:bookmarkStart w:id="733" w:name="_Toc15876"/>
      <w:bookmarkStart w:id="734" w:name="_Toc9736"/>
      <w:bookmarkStart w:id="735" w:name="_Toc17424"/>
      <w:bookmarkStart w:id="736" w:name="_Toc1405"/>
      <w:bookmarkStart w:id="737" w:name="_Toc6002"/>
      <w:r>
        <w:rPr>
          <w:rFonts w:hint="eastAsia" w:ascii="宋体" w:hAnsi="宋体" w:eastAsia="宋体" w:cs="宋体"/>
          <w:b/>
          <w:bCs/>
          <w:color w:val="000000" w:themeColor="text1"/>
          <w:sz w:val="30"/>
          <w:szCs w:val="30"/>
          <w14:textFill>
            <w14:solidFill>
              <w14:schemeClr w14:val="tx1"/>
            </w14:solidFill>
          </w14:textFill>
        </w:rPr>
        <w:t>5 资源可持续</w:t>
      </w:r>
      <w:bookmarkEnd w:id="731"/>
      <w:bookmarkEnd w:id="732"/>
      <w:bookmarkEnd w:id="733"/>
      <w:bookmarkEnd w:id="734"/>
      <w:bookmarkEnd w:id="735"/>
      <w:bookmarkEnd w:id="736"/>
      <w:bookmarkEnd w:id="737"/>
    </w:p>
    <w:p w14:paraId="0A6B9394">
      <w:pPr>
        <w:widowControl/>
        <w:snapToGrid w:val="0"/>
        <w:spacing w:line="360" w:lineRule="auto"/>
        <w:jc w:val="left"/>
        <w:rPr>
          <w:rFonts w:ascii="宋体" w:hAnsi="宋体" w:eastAsia="宋体" w:cs="宋体"/>
          <w:color w:val="000000" w:themeColor="text1"/>
          <w:kern w:val="0"/>
          <w:sz w:val="24"/>
          <w:lang w:bidi="ar"/>
          <w14:textFill>
            <w14:solidFill>
              <w14:schemeClr w14:val="tx1"/>
            </w14:solidFill>
          </w14:textFill>
        </w:rPr>
      </w:pPr>
    </w:p>
    <w:p w14:paraId="7EB6032A">
      <w:pPr>
        <w:snapToGrid w:val="0"/>
        <w:spacing w:line="360" w:lineRule="auto"/>
        <w:jc w:val="center"/>
        <w:outlineLvl w:val="1"/>
        <w:rPr>
          <w:rFonts w:ascii="黑体" w:hAnsi="黑体" w:eastAsia="黑体" w:cs="黑体"/>
          <w:b/>
          <w:bCs/>
          <w:color w:val="000000" w:themeColor="text1"/>
          <w:sz w:val="28"/>
          <w:szCs w:val="28"/>
          <w14:textFill>
            <w14:solidFill>
              <w14:schemeClr w14:val="tx1"/>
            </w14:solidFill>
          </w14:textFill>
        </w:rPr>
      </w:pPr>
      <w:bookmarkStart w:id="738" w:name="_Toc8621"/>
      <w:bookmarkStart w:id="739" w:name="_Toc3753"/>
      <w:bookmarkStart w:id="740" w:name="_Toc3489"/>
      <w:bookmarkStart w:id="741" w:name="_Toc9052"/>
      <w:bookmarkStart w:id="742" w:name="_Toc20262"/>
      <w:bookmarkStart w:id="743" w:name="_Toc6340"/>
      <w:r>
        <w:rPr>
          <w:rFonts w:hint="eastAsia" w:ascii="黑体" w:hAnsi="黑体" w:eastAsia="黑体" w:cs="黑体"/>
          <w:b/>
          <w:bCs/>
          <w:color w:val="000000" w:themeColor="text1"/>
          <w:sz w:val="28"/>
          <w:szCs w:val="28"/>
          <w14:textFill>
            <w14:solidFill>
              <w14:schemeClr w14:val="tx1"/>
            </w14:solidFill>
          </w14:textFill>
        </w:rPr>
        <w:t>5.1 控制项</w:t>
      </w:r>
      <w:bookmarkEnd w:id="738"/>
      <w:bookmarkEnd w:id="739"/>
      <w:bookmarkEnd w:id="740"/>
      <w:bookmarkEnd w:id="741"/>
      <w:bookmarkEnd w:id="742"/>
      <w:bookmarkEnd w:id="743"/>
    </w:p>
    <w:p w14:paraId="14E97444">
      <w:pPr>
        <w:widowControl/>
        <w:snapToGrid w:val="0"/>
        <w:spacing w:line="360" w:lineRule="auto"/>
        <w:ind w:firstLine="0" w:firstLineChars="0"/>
        <w:jc w:val="left"/>
        <w:rPr>
          <w:rFonts w:hint="eastAsia" w:ascii="宋体" w:hAnsi="宋体" w:eastAsia="宋体" w:cs="宋体"/>
          <w:color w:val="000000" w:themeColor="text1"/>
          <w:kern w:val="0"/>
          <w:sz w:val="24"/>
          <w:lang w:bidi="ar"/>
          <w14:textFill>
            <w14:solidFill>
              <w14:schemeClr w14:val="tx1"/>
            </w14:solidFill>
          </w14:textFill>
        </w:rPr>
      </w:pPr>
      <w:r>
        <w:rPr>
          <w:rFonts w:hint="eastAsia" w:ascii="宋体" w:hAnsi="宋体" w:eastAsia="宋体" w:cs="宋体"/>
          <w:color w:val="000000" w:themeColor="text1"/>
          <w:kern w:val="0"/>
          <w:sz w:val="24"/>
          <w:lang w:bidi="ar"/>
          <w14:textFill>
            <w14:solidFill>
              <w14:schemeClr w14:val="tx1"/>
            </w14:solidFill>
          </w14:textFill>
        </w:rPr>
        <w:t>5.1.1本条款适用于基础设施</w:t>
      </w:r>
      <w:r>
        <w:rPr>
          <w:rFonts w:hint="eastAsia" w:ascii="宋体" w:hAnsi="宋体" w:eastAsia="宋体" w:cs="宋体"/>
          <w:color w:val="000000" w:themeColor="text1"/>
          <w:kern w:val="0"/>
          <w:sz w:val="24"/>
          <w:lang w:val="en-US" w:eastAsia="zh-CN" w:bidi="ar"/>
          <w14:textFill>
            <w14:solidFill>
              <w14:schemeClr w14:val="tx1"/>
            </w14:solidFill>
          </w14:textFill>
        </w:rPr>
        <w:t>项目</w:t>
      </w:r>
      <w:r>
        <w:rPr>
          <w:rFonts w:hint="eastAsia" w:ascii="宋体" w:hAnsi="宋体" w:eastAsia="宋体" w:cs="宋体"/>
          <w:color w:val="000000" w:themeColor="text1"/>
          <w:kern w:val="0"/>
          <w:sz w:val="24"/>
          <w:lang w:bidi="ar"/>
          <w14:textFill>
            <w14:solidFill>
              <w14:schemeClr w14:val="tx1"/>
            </w14:solidFill>
          </w14:textFill>
        </w:rPr>
        <w:t>施工建造阶段、运行阶段的评价。</w:t>
      </w:r>
    </w:p>
    <w:p w14:paraId="44CC2AF0">
      <w:pPr>
        <w:widowControl/>
        <w:snapToGrid w:val="0"/>
        <w:spacing w:line="360" w:lineRule="auto"/>
        <w:ind w:firstLine="480" w:firstLineChars="200"/>
        <w:jc w:val="left"/>
        <w:rPr>
          <w:rFonts w:ascii="宋体" w:hAnsi="宋体" w:eastAsia="宋体" w:cs="宋体"/>
          <w:color w:val="000000" w:themeColor="text1"/>
          <w:kern w:val="0"/>
          <w:sz w:val="24"/>
          <w:lang w:bidi="ar"/>
          <w14:textFill>
            <w14:solidFill>
              <w14:schemeClr w14:val="tx1"/>
            </w14:solidFill>
          </w14:textFill>
        </w:rPr>
      </w:pPr>
      <w:r>
        <w:rPr>
          <w:rFonts w:hint="eastAsia" w:ascii="宋体" w:hAnsi="宋体" w:eastAsia="宋体" w:cs="宋体"/>
          <w:color w:val="000000" w:themeColor="text1"/>
          <w:kern w:val="0"/>
          <w:sz w:val="24"/>
          <w:lang w:val="en-US" w:eastAsia="zh-CN" w:bidi="ar"/>
          <w14:textFill>
            <w14:solidFill>
              <w14:schemeClr w14:val="tx1"/>
            </w14:solidFill>
          </w14:textFill>
        </w:rPr>
        <w:t>以</w:t>
      </w:r>
      <w:r>
        <w:rPr>
          <w:rFonts w:hint="eastAsia" w:ascii="宋体" w:hAnsi="宋体" w:eastAsia="宋体" w:cs="宋体"/>
          <w:color w:val="000000" w:themeColor="text1"/>
          <w:sz w:val="24"/>
          <w:lang w:val="en-US" w:eastAsia="zh-CN" w:bidi="ar"/>
          <w14:textFill>
            <w14:solidFill>
              <w14:schemeClr w14:val="tx1"/>
            </w14:solidFill>
          </w14:textFill>
        </w:rPr>
        <w:t>项目可持续发展规划为依据，</w:t>
      </w:r>
      <w:r>
        <w:rPr>
          <w:rFonts w:hint="eastAsia" w:ascii="宋体" w:hAnsi="宋体" w:eastAsia="宋体" w:cs="宋体"/>
          <w:color w:val="000000" w:themeColor="text1"/>
          <w:kern w:val="0"/>
          <w:sz w:val="24"/>
          <w:lang w:bidi="ar"/>
          <w14:textFill>
            <w14:solidFill>
              <w14:schemeClr w14:val="tx1"/>
            </w14:solidFill>
          </w14:textFill>
        </w:rPr>
        <w:t>按项目施工</w:t>
      </w:r>
      <w:r>
        <w:rPr>
          <w:rFonts w:hint="eastAsia"/>
          <w:color w:val="000000" w:themeColor="text1"/>
          <w:sz w:val="24"/>
          <w:lang w:val="en-US" w:eastAsia="zh-CN"/>
          <w14:textFill>
            <w14:solidFill>
              <w14:schemeClr w14:val="tx1"/>
            </w14:solidFill>
          </w14:textFill>
        </w:rPr>
        <w:t>建造阶段</w:t>
      </w:r>
      <w:r>
        <w:rPr>
          <w:rFonts w:hint="eastAsia" w:ascii="宋体" w:hAnsi="宋体" w:eastAsia="宋体" w:cs="宋体"/>
          <w:color w:val="000000" w:themeColor="text1"/>
          <w:kern w:val="0"/>
          <w:sz w:val="24"/>
          <w:lang w:bidi="ar"/>
          <w14:textFill>
            <w14:solidFill>
              <w14:schemeClr w14:val="tx1"/>
            </w14:solidFill>
          </w14:textFill>
        </w:rPr>
        <w:t>、运行</w:t>
      </w:r>
      <w:r>
        <w:rPr>
          <w:rFonts w:hint="eastAsia" w:ascii="宋体" w:hAnsi="宋体" w:eastAsia="宋体" w:cs="宋体"/>
          <w:color w:val="000000" w:themeColor="text1"/>
          <w:kern w:val="0"/>
          <w:sz w:val="24"/>
          <w:lang w:val="en-US" w:eastAsia="zh-CN" w:bidi="ar"/>
          <w14:textFill>
            <w14:solidFill>
              <w14:schemeClr w14:val="tx1"/>
            </w14:solidFill>
          </w14:textFill>
        </w:rPr>
        <w:t>阶段</w:t>
      </w:r>
      <w:r>
        <w:rPr>
          <w:rFonts w:hint="eastAsia" w:ascii="宋体" w:hAnsi="宋体" w:eastAsia="宋体" w:cs="宋体"/>
          <w:color w:val="000000" w:themeColor="text1"/>
          <w:kern w:val="0"/>
          <w:sz w:val="24"/>
          <w:lang w:bidi="ar"/>
          <w14:textFill>
            <w14:solidFill>
              <w14:schemeClr w14:val="tx1"/>
            </w14:solidFill>
          </w14:textFill>
        </w:rPr>
        <w:t>制定能源、水资源、材料资源、土地资源消耗</w:t>
      </w:r>
      <w:r>
        <w:rPr>
          <w:rFonts w:hint="eastAsia" w:ascii="宋体" w:hAnsi="宋体" w:eastAsia="宋体" w:cs="宋体"/>
          <w:color w:val="000000" w:themeColor="text1"/>
          <w:kern w:val="0"/>
          <w:sz w:val="24"/>
          <w:lang w:val="en-US" w:eastAsia="zh-CN" w:bidi="ar"/>
          <w14:textFill>
            <w14:solidFill>
              <w14:schemeClr w14:val="tx1"/>
            </w14:solidFill>
          </w14:textFill>
        </w:rPr>
        <w:t>与</w:t>
      </w:r>
      <w:r>
        <w:rPr>
          <w:rFonts w:hint="eastAsia" w:ascii="宋体" w:hAnsi="宋体" w:eastAsia="宋体" w:cs="宋体"/>
          <w:color w:val="000000" w:themeColor="text1"/>
          <w:kern w:val="0"/>
          <w:sz w:val="24"/>
          <w:lang w:bidi="ar"/>
          <w14:textFill>
            <w14:solidFill>
              <w14:schemeClr w14:val="tx1"/>
            </w14:solidFill>
          </w14:textFill>
        </w:rPr>
        <w:t>节约目标；制定可再生能源利用、固废资源利用、非传统水资源利用目标。</w:t>
      </w:r>
    </w:p>
    <w:p w14:paraId="4B21BBCC">
      <w:pPr>
        <w:widowControl/>
        <w:snapToGrid w:val="0"/>
        <w:spacing w:line="360" w:lineRule="auto"/>
        <w:ind w:firstLine="480" w:firstLineChars="200"/>
        <w:jc w:val="left"/>
        <w:rPr>
          <w:rFonts w:hint="eastAsia" w:ascii="宋体" w:hAnsi="宋体" w:eastAsia="宋体" w:cs="宋体"/>
          <w:color w:val="000000" w:themeColor="text1"/>
          <w:kern w:val="0"/>
          <w:sz w:val="24"/>
          <w:lang w:bidi="ar"/>
          <w14:textFill>
            <w14:solidFill>
              <w14:schemeClr w14:val="tx1"/>
            </w14:solidFill>
          </w14:textFill>
        </w:rPr>
      </w:pPr>
      <w:r>
        <w:rPr>
          <w:rFonts w:hint="eastAsia" w:ascii="宋体" w:hAnsi="宋体" w:eastAsia="宋体" w:cs="宋体"/>
          <w:color w:val="000000" w:themeColor="text1"/>
          <w:kern w:val="0"/>
          <w:sz w:val="24"/>
          <w:lang w:bidi="ar"/>
          <w14:textFill>
            <w14:solidFill>
              <w14:schemeClr w14:val="tx1"/>
            </w14:solidFill>
          </w14:textFill>
        </w:rPr>
        <w:t>项目</w:t>
      </w:r>
      <w:r>
        <w:rPr>
          <w:rFonts w:hint="eastAsia" w:ascii="宋体" w:hAnsi="宋体" w:eastAsia="宋体" w:cs="宋体"/>
          <w:color w:val="000000" w:themeColor="text1"/>
          <w:kern w:val="0"/>
          <w:sz w:val="24"/>
          <w:lang w:eastAsia="zh-CN" w:bidi="ar"/>
          <w14:textFill>
            <w14:solidFill>
              <w14:schemeClr w14:val="tx1"/>
            </w14:solidFill>
          </w14:textFill>
        </w:rPr>
        <w:t>施工建造</w:t>
      </w:r>
      <w:r>
        <w:rPr>
          <w:rFonts w:hint="eastAsia" w:ascii="宋体" w:hAnsi="宋体" w:eastAsia="宋体" w:cs="宋体"/>
          <w:color w:val="000000" w:themeColor="text1"/>
          <w:kern w:val="0"/>
          <w:sz w:val="24"/>
          <w:lang w:val="en-US" w:eastAsia="zh-CN" w:bidi="ar"/>
          <w14:textFill>
            <w14:solidFill>
              <w14:schemeClr w14:val="tx1"/>
            </w14:solidFill>
          </w14:textFill>
        </w:rPr>
        <w:t>可按照施工区、生活区、办公区或分项</w:t>
      </w:r>
      <w:r>
        <w:rPr>
          <w:rFonts w:hint="eastAsia" w:ascii="宋体" w:hAnsi="宋体" w:eastAsia="宋体" w:cs="宋体"/>
          <w:color w:val="000000" w:themeColor="text1"/>
          <w:kern w:val="0"/>
          <w:sz w:val="24"/>
          <w:lang w:bidi="ar"/>
          <w14:textFill>
            <w14:solidFill>
              <w14:schemeClr w14:val="tx1"/>
            </w14:solidFill>
          </w14:textFill>
        </w:rPr>
        <w:t>分解，运行阶段</w:t>
      </w:r>
      <w:r>
        <w:rPr>
          <w:rFonts w:hint="eastAsia" w:ascii="宋体" w:hAnsi="宋体" w:eastAsia="宋体" w:cs="宋体"/>
          <w:color w:val="000000" w:themeColor="text1"/>
          <w:kern w:val="0"/>
          <w:sz w:val="24"/>
          <w:lang w:val="en-US" w:eastAsia="zh-CN" w:bidi="ar"/>
          <w14:textFill>
            <w14:solidFill>
              <w14:schemeClr w14:val="tx1"/>
            </w14:solidFill>
          </w14:textFill>
        </w:rPr>
        <w:t>目标</w:t>
      </w:r>
      <w:r>
        <w:rPr>
          <w:rFonts w:hint="eastAsia" w:ascii="宋体" w:hAnsi="宋体" w:eastAsia="宋体" w:cs="宋体"/>
          <w:color w:val="000000" w:themeColor="text1"/>
          <w:kern w:val="0"/>
          <w:sz w:val="24"/>
          <w:lang w:bidi="ar"/>
          <w14:textFill>
            <w14:solidFill>
              <w14:schemeClr w14:val="tx1"/>
            </w14:solidFill>
          </w14:textFill>
        </w:rPr>
        <w:t>按照</w:t>
      </w:r>
      <w:r>
        <w:rPr>
          <w:rFonts w:hint="eastAsia" w:ascii="宋体" w:hAnsi="宋体" w:eastAsia="宋体" w:cs="宋体"/>
          <w:color w:val="000000" w:themeColor="text1"/>
          <w:kern w:val="0"/>
          <w:sz w:val="24"/>
          <w:lang w:val="en-US" w:eastAsia="zh-CN" w:bidi="ar"/>
          <w14:textFill>
            <w14:solidFill>
              <w14:schemeClr w14:val="tx1"/>
            </w14:solidFill>
          </w14:textFill>
        </w:rPr>
        <w:t>年度、</w:t>
      </w:r>
      <w:r>
        <w:rPr>
          <w:rFonts w:hint="eastAsia" w:ascii="宋体" w:hAnsi="宋体" w:eastAsia="宋体" w:cs="宋体"/>
          <w:color w:val="000000" w:themeColor="text1"/>
          <w:kern w:val="0"/>
          <w:sz w:val="24"/>
          <w:lang w:bidi="ar"/>
          <w14:textFill>
            <w14:solidFill>
              <w14:schemeClr w14:val="tx1"/>
            </w14:solidFill>
          </w14:textFill>
        </w:rPr>
        <w:t>月份或</w:t>
      </w:r>
      <w:r>
        <w:rPr>
          <w:rFonts w:hint="eastAsia" w:ascii="宋体" w:hAnsi="宋体" w:eastAsia="宋体" w:cs="宋体"/>
          <w:color w:val="000000" w:themeColor="text1"/>
          <w:kern w:val="0"/>
          <w:sz w:val="24"/>
          <w:lang w:val="en-US" w:eastAsia="zh-CN" w:bidi="ar"/>
          <w14:textFill>
            <w14:solidFill>
              <w14:schemeClr w14:val="tx1"/>
            </w14:solidFill>
          </w14:textFill>
        </w:rPr>
        <w:t>分项</w:t>
      </w:r>
      <w:r>
        <w:rPr>
          <w:rFonts w:hint="eastAsia" w:ascii="宋体" w:hAnsi="宋体" w:eastAsia="宋体" w:cs="宋体"/>
          <w:color w:val="000000" w:themeColor="text1"/>
          <w:kern w:val="0"/>
          <w:sz w:val="24"/>
          <w:lang w:bidi="ar"/>
          <w14:textFill>
            <w14:solidFill>
              <w14:schemeClr w14:val="tx1"/>
            </w14:solidFill>
          </w14:textFill>
        </w:rPr>
        <w:t xml:space="preserve">进行分解。 </w:t>
      </w:r>
    </w:p>
    <w:p w14:paraId="42522ECA">
      <w:pPr>
        <w:widowControl/>
        <w:snapToGrid w:val="0"/>
        <w:spacing w:line="360" w:lineRule="auto"/>
        <w:ind w:firstLine="480" w:firstLineChars="200"/>
        <w:jc w:val="left"/>
        <w:rPr>
          <w:rFonts w:hint="eastAsia" w:ascii="宋体" w:hAnsi="宋体" w:eastAsia="宋体" w:cs="宋体"/>
          <w:color w:val="000000" w:themeColor="text1"/>
          <w:kern w:val="0"/>
          <w:sz w:val="24"/>
          <w:lang w:bidi="ar"/>
          <w14:textFill>
            <w14:solidFill>
              <w14:schemeClr w14:val="tx1"/>
            </w14:solidFill>
          </w14:textFill>
        </w:rPr>
      </w:pPr>
      <w:r>
        <w:rPr>
          <w:rFonts w:hint="eastAsia" w:ascii="宋体" w:hAnsi="宋体" w:eastAsia="宋体" w:cs="宋体"/>
          <w:color w:val="000000" w:themeColor="text1"/>
          <w:kern w:val="0"/>
          <w:sz w:val="24"/>
          <w:lang w:bidi="ar"/>
          <w14:textFill>
            <w14:solidFill>
              <w14:schemeClr w14:val="tx1"/>
            </w14:solidFill>
          </w14:textFill>
        </w:rPr>
        <w:t>考量内容：（1）各类资源消耗与节约目标；（</w:t>
      </w:r>
      <w:r>
        <w:rPr>
          <w:rFonts w:hint="eastAsia" w:ascii="宋体" w:hAnsi="宋体" w:eastAsia="宋体" w:cs="宋体"/>
          <w:color w:val="000000" w:themeColor="text1"/>
          <w:kern w:val="0"/>
          <w:sz w:val="24"/>
          <w:lang w:val="en-US" w:eastAsia="zh-CN" w:bidi="ar"/>
          <w14:textFill>
            <w14:solidFill>
              <w14:schemeClr w14:val="tx1"/>
            </w14:solidFill>
          </w14:textFill>
        </w:rPr>
        <w:t>2</w:t>
      </w:r>
      <w:r>
        <w:rPr>
          <w:rFonts w:hint="eastAsia" w:ascii="宋体" w:hAnsi="宋体" w:eastAsia="宋体" w:cs="宋体"/>
          <w:color w:val="000000" w:themeColor="text1"/>
          <w:kern w:val="0"/>
          <w:sz w:val="24"/>
          <w:lang w:bidi="ar"/>
          <w14:textFill>
            <w14:solidFill>
              <w14:schemeClr w14:val="tx1"/>
            </w14:solidFill>
          </w14:textFill>
        </w:rPr>
        <w:t>）可再生能源利用</w:t>
      </w:r>
      <w:r>
        <w:rPr>
          <w:rFonts w:hint="eastAsia" w:ascii="宋体" w:hAnsi="宋体" w:eastAsia="宋体" w:cs="宋体"/>
          <w:color w:val="000000" w:themeColor="text1"/>
          <w:kern w:val="0"/>
          <w:sz w:val="24"/>
          <w:lang w:val="en-US" w:eastAsia="zh-CN" w:bidi="ar"/>
          <w14:textFill>
            <w14:solidFill>
              <w14:schemeClr w14:val="tx1"/>
            </w14:solidFill>
          </w14:textFill>
        </w:rPr>
        <w:t>指标</w:t>
      </w:r>
      <w:r>
        <w:rPr>
          <w:rFonts w:hint="eastAsia" w:ascii="宋体" w:hAnsi="宋体" w:eastAsia="宋体" w:cs="宋体"/>
          <w:color w:val="000000" w:themeColor="text1"/>
          <w:kern w:val="0"/>
          <w:sz w:val="24"/>
          <w:lang w:bidi="ar"/>
          <w14:textFill>
            <w14:solidFill>
              <w14:schemeClr w14:val="tx1"/>
            </w14:solidFill>
          </w14:textFill>
        </w:rPr>
        <w:t>；</w:t>
      </w:r>
      <w:r>
        <w:rPr>
          <w:rFonts w:hint="eastAsia" w:ascii="宋体" w:hAnsi="宋体" w:eastAsia="宋体" w:cs="宋体"/>
          <w:color w:val="000000" w:themeColor="text1"/>
          <w:kern w:val="0"/>
          <w:sz w:val="24"/>
          <w:lang w:eastAsia="zh-CN" w:bidi="ar"/>
          <w14:textFill>
            <w14:solidFill>
              <w14:schemeClr w14:val="tx1"/>
            </w14:solidFill>
          </w14:textFill>
        </w:rPr>
        <w:t>（</w:t>
      </w:r>
      <w:r>
        <w:rPr>
          <w:rFonts w:hint="eastAsia" w:ascii="宋体" w:hAnsi="宋体" w:eastAsia="宋体" w:cs="宋体"/>
          <w:color w:val="000000" w:themeColor="text1"/>
          <w:kern w:val="0"/>
          <w:sz w:val="24"/>
          <w:lang w:val="en-US" w:eastAsia="zh-CN" w:bidi="ar"/>
          <w14:textFill>
            <w14:solidFill>
              <w14:schemeClr w14:val="tx1"/>
            </w14:solidFill>
          </w14:textFill>
        </w:rPr>
        <w:t>3</w:t>
      </w:r>
      <w:r>
        <w:rPr>
          <w:rFonts w:hint="eastAsia" w:ascii="宋体" w:hAnsi="宋体" w:eastAsia="宋体" w:cs="宋体"/>
          <w:color w:val="000000" w:themeColor="text1"/>
          <w:kern w:val="0"/>
          <w:sz w:val="24"/>
          <w:lang w:eastAsia="zh-CN" w:bidi="ar"/>
          <w14:textFill>
            <w14:solidFill>
              <w14:schemeClr w14:val="tx1"/>
            </w14:solidFill>
          </w14:textFill>
        </w:rPr>
        <w:t>）</w:t>
      </w:r>
      <w:r>
        <w:rPr>
          <w:rFonts w:hint="eastAsia" w:ascii="宋体" w:hAnsi="宋体" w:eastAsia="宋体" w:cs="宋体"/>
          <w:color w:val="000000" w:themeColor="text1"/>
          <w:kern w:val="0"/>
          <w:sz w:val="24"/>
          <w:lang w:val="en-US" w:eastAsia="zh-CN" w:bidi="ar"/>
          <w14:textFill>
            <w14:solidFill>
              <w14:schemeClr w14:val="tx1"/>
            </w14:solidFill>
          </w14:textFill>
        </w:rPr>
        <w:t>非传统水源利用目标；</w:t>
      </w:r>
      <w:r>
        <w:rPr>
          <w:rFonts w:hint="eastAsia" w:ascii="宋体" w:hAnsi="宋体" w:eastAsia="宋体" w:cs="宋体"/>
          <w:color w:val="000000" w:themeColor="text1"/>
          <w:kern w:val="0"/>
          <w:sz w:val="24"/>
          <w:lang w:bidi="ar"/>
          <w14:textFill>
            <w14:solidFill>
              <w14:schemeClr w14:val="tx1"/>
            </w14:solidFill>
          </w14:textFill>
        </w:rPr>
        <w:t>（</w:t>
      </w:r>
      <w:r>
        <w:rPr>
          <w:rFonts w:hint="eastAsia" w:ascii="宋体" w:hAnsi="宋体" w:eastAsia="宋体" w:cs="宋体"/>
          <w:color w:val="000000" w:themeColor="text1"/>
          <w:kern w:val="0"/>
          <w:sz w:val="24"/>
          <w:lang w:val="en-US" w:eastAsia="zh-CN" w:bidi="ar"/>
          <w14:textFill>
            <w14:solidFill>
              <w14:schemeClr w14:val="tx1"/>
            </w14:solidFill>
          </w14:textFill>
        </w:rPr>
        <w:t>4</w:t>
      </w:r>
      <w:r>
        <w:rPr>
          <w:rFonts w:hint="eastAsia" w:ascii="宋体" w:hAnsi="宋体" w:eastAsia="宋体" w:cs="宋体"/>
          <w:color w:val="000000" w:themeColor="text1"/>
          <w:kern w:val="0"/>
          <w:sz w:val="24"/>
          <w:lang w:bidi="ar"/>
          <w14:textFill>
            <w14:solidFill>
              <w14:schemeClr w14:val="tx1"/>
            </w14:solidFill>
          </w14:textFill>
        </w:rPr>
        <w:t>）资源回收再利用率指标。</w:t>
      </w:r>
    </w:p>
    <w:p w14:paraId="7BBCE7B9">
      <w:pPr>
        <w:widowControl/>
        <w:snapToGrid w:val="0"/>
        <w:spacing w:line="360" w:lineRule="auto"/>
        <w:jc w:val="left"/>
        <w:rPr>
          <w:rFonts w:ascii="宋体" w:hAnsi="宋体" w:eastAsia="宋体" w:cs="宋体"/>
          <w:color w:val="000000" w:themeColor="text1"/>
          <w:kern w:val="0"/>
          <w:sz w:val="24"/>
          <w:lang w:bidi="ar"/>
          <w14:textFill>
            <w14:solidFill>
              <w14:schemeClr w14:val="tx1"/>
            </w14:solidFill>
          </w14:textFill>
        </w:rPr>
      </w:pPr>
      <w:r>
        <w:rPr>
          <w:rFonts w:hint="eastAsia" w:ascii="宋体" w:hAnsi="宋体" w:eastAsia="宋体" w:cs="宋体"/>
          <w:color w:val="000000" w:themeColor="text1"/>
          <w:kern w:val="0"/>
          <w:sz w:val="24"/>
          <w:lang w:bidi="ar"/>
          <w14:textFill>
            <w14:solidFill>
              <w14:schemeClr w14:val="tx1"/>
            </w14:solidFill>
          </w14:textFill>
        </w:rPr>
        <w:t>5.1.2本条款适用于基础设施</w:t>
      </w:r>
      <w:r>
        <w:rPr>
          <w:rFonts w:hint="eastAsia" w:ascii="宋体" w:hAnsi="宋体" w:eastAsia="宋体" w:cs="宋体"/>
          <w:color w:val="000000" w:themeColor="text1"/>
          <w:kern w:val="0"/>
          <w:sz w:val="24"/>
          <w:lang w:val="en-US" w:eastAsia="zh-CN" w:bidi="ar"/>
          <w14:textFill>
            <w14:solidFill>
              <w14:schemeClr w14:val="tx1"/>
            </w14:solidFill>
          </w14:textFill>
        </w:rPr>
        <w:t>项目</w:t>
      </w:r>
      <w:r>
        <w:rPr>
          <w:rFonts w:hint="eastAsia" w:ascii="宋体" w:hAnsi="宋体" w:eastAsia="宋体" w:cs="宋体"/>
          <w:color w:val="000000" w:themeColor="text1"/>
          <w:kern w:val="0"/>
          <w:sz w:val="24"/>
          <w:lang w:bidi="ar"/>
          <w14:textFill>
            <w14:solidFill>
              <w14:schemeClr w14:val="tx1"/>
            </w14:solidFill>
          </w14:textFill>
        </w:rPr>
        <w:t>规划设计阶段、施工建造阶段、运行阶段的评价。</w:t>
      </w:r>
    </w:p>
    <w:p w14:paraId="22A137FB">
      <w:pPr>
        <w:widowControl/>
        <w:snapToGrid w:val="0"/>
        <w:spacing w:line="360" w:lineRule="auto"/>
        <w:ind w:firstLine="480" w:firstLineChars="200"/>
        <w:jc w:val="left"/>
        <w:rPr>
          <w:rFonts w:hint="eastAsia" w:ascii="宋体" w:hAnsi="宋体" w:eastAsia="宋体" w:cs="宋体"/>
          <w:color w:val="000000" w:themeColor="text1"/>
          <w:kern w:val="0"/>
          <w:sz w:val="24"/>
          <w:lang w:bidi="ar"/>
          <w14:textFill>
            <w14:solidFill>
              <w14:schemeClr w14:val="tx1"/>
            </w14:solidFill>
          </w14:textFill>
        </w:rPr>
      </w:pPr>
      <w:r>
        <w:rPr>
          <w:rFonts w:hint="eastAsia" w:ascii="宋体" w:hAnsi="宋体" w:eastAsia="宋体" w:cs="宋体"/>
          <w:color w:val="000000" w:themeColor="text1"/>
          <w:kern w:val="0"/>
          <w:sz w:val="24"/>
          <w:lang w:bidi="ar"/>
          <w14:textFill>
            <w14:solidFill>
              <w14:schemeClr w14:val="tx1"/>
            </w14:solidFill>
          </w14:textFill>
        </w:rPr>
        <w:t>考量内容：（1）采取的资源节约利用与保护措施；（2）能源与可再生能源规划设计方案或可研立项报告或实施方案；（3）非传统水源利用规划设计方案或措施方案（4）低碳可循环再利用材料选择与应用情况；（5）同条件优先本地材料采购情况；（6）材料性能说明（高强、可再生、耐久性好和适应性强）；（7）剩余材料处理及使用情况。</w:t>
      </w:r>
    </w:p>
    <w:p w14:paraId="1A2705EC">
      <w:pPr>
        <w:widowControl/>
        <w:snapToGrid w:val="0"/>
        <w:spacing w:line="360" w:lineRule="auto"/>
        <w:jc w:val="left"/>
        <w:rPr>
          <w:rFonts w:hint="eastAsia" w:ascii="宋体" w:hAnsi="宋体" w:eastAsia="宋体" w:cs="宋体"/>
          <w:color w:val="000000" w:themeColor="text1"/>
          <w:kern w:val="0"/>
          <w:sz w:val="24"/>
          <w:lang w:bidi="ar"/>
          <w14:textFill>
            <w14:solidFill>
              <w14:schemeClr w14:val="tx1"/>
            </w14:solidFill>
          </w14:textFill>
        </w:rPr>
      </w:pPr>
      <w:r>
        <w:rPr>
          <w:rFonts w:hint="eastAsia" w:ascii="宋体" w:hAnsi="宋体" w:eastAsia="宋体" w:cs="宋体"/>
          <w:color w:val="000000" w:themeColor="text1"/>
          <w:kern w:val="0"/>
          <w:sz w:val="24"/>
          <w:lang w:bidi="ar"/>
          <w14:textFill>
            <w14:solidFill>
              <w14:schemeClr w14:val="tx1"/>
            </w14:solidFill>
          </w14:textFill>
        </w:rPr>
        <w:t>5.1.3本条款适用于基础设施</w:t>
      </w:r>
      <w:r>
        <w:rPr>
          <w:rFonts w:hint="eastAsia" w:ascii="宋体" w:hAnsi="宋体" w:eastAsia="宋体" w:cs="宋体"/>
          <w:color w:val="000000" w:themeColor="text1"/>
          <w:kern w:val="0"/>
          <w:sz w:val="24"/>
          <w:lang w:val="en-US" w:eastAsia="zh-CN" w:bidi="ar"/>
          <w14:textFill>
            <w14:solidFill>
              <w14:schemeClr w14:val="tx1"/>
            </w14:solidFill>
          </w14:textFill>
        </w:rPr>
        <w:t>项目</w:t>
      </w:r>
      <w:r>
        <w:rPr>
          <w:rFonts w:hint="eastAsia" w:ascii="宋体" w:hAnsi="宋体" w:eastAsia="宋体" w:cs="宋体"/>
          <w:color w:val="000000" w:themeColor="text1"/>
          <w:kern w:val="0"/>
          <w:sz w:val="24"/>
          <w:lang w:bidi="ar"/>
          <w14:textFill>
            <w14:solidFill>
              <w14:schemeClr w14:val="tx1"/>
            </w14:solidFill>
          </w14:textFill>
        </w:rPr>
        <w:t>规划设计阶段、施工建造阶段、运行阶段评价。</w:t>
      </w:r>
    </w:p>
    <w:p w14:paraId="52FF8C75">
      <w:pPr>
        <w:widowControl/>
        <w:snapToGrid w:val="0"/>
        <w:spacing w:line="360" w:lineRule="auto"/>
        <w:ind w:firstLine="480" w:firstLineChars="200"/>
        <w:jc w:val="left"/>
        <w:rPr>
          <w:rFonts w:hint="eastAsia" w:ascii="宋体" w:hAnsi="宋体" w:eastAsia="宋体" w:cs="宋体"/>
          <w:color w:val="000000" w:themeColor="text1"/>
          <w:kern w:val="0"/>
          <w:sz w:val="24"/>
          <w:lang w:bidi="ar"/>
          <w14:textFill>
            <w14:solidFill>
              <w14:schemeClr w14:val="tx1"/>
            </w14:solidFill>
          </w14:textFill>
        </w:rPr>
      </w:pPr>
      <w:r>
        <w:rPr>
          <w:rFonts w:hint="eastAsia" w:ascii="宋体" w:hAnsi="宋体" w:eastAsia="宋体" w:cs="宋体"/>
          <w:color w:val="000000" w:themeColor="text1"/>
          <w:kern w:val="0"/>
          <w:sz w:val="24"/>
          <w:lang w:bidi="ar"/>
          <w14:textFill>
            <w14:solidFill>
              <w14:schemeClr w14:val="tx1"/>
            </w14:solidFill>
          </w14:textFill>
        </w:rPr>
        <w:t>考量内容：（1）非传统水源利用方案；（2）非传统水源利用台账；（3）可循环再利用材料选择与应用情况；（4）可再生能源利用方案和台账。</w:t>
      </w:r>
    </w:p>
    <w:p w14:paraId="3DCEAD4C">
      <w:pPr>
        <w:widowControl/>
        <w:snapToGrid w:val="0"/>
        <w:spacing w:line="360" w:lineRule="auto"/>
        <w:jc w:val="left"/>
        <w:rPr>
          <w:rFonts w:hint="eastAsia" w:ascii="宋体" w:hAnsi="宋体" w:eastAsia="宋体" w:cs="宋体"/>
          <w:color w:val="000000" w:themeColor="text1"/>
          <w:kern w:val="0"/>
          <w:sz w:val="24"/>
          <w:lang w:bidi="ar"/>
          <w14:textFill>
            <w14:solidFill>
              <w14:schemeClr w14:val="tx1"/>
            </w14:solidFill>
          </w14:textFill>
        </w:rPr>
      </w:pPr>
      <w:r>
        <w:rPr>
          <w:rFonts w:hint="eastAsia" w:ascii="宋体" w:hAnsi="宋体" w:eastAsia="宋体" w:cs="宋体"/>
          <w:color w:val="000000" w:themeColor="text1"/>
          <w:kern w:val="0"/>
          <w:sz w:val="24"/>
          <w:lang w:bidi="ar"/>
          <w14:textFill>
            <w14:solidFill>
              <w14:schemeClr w14:val="tx1"/>
            </w14:solidFill>
          </w14:textFill>
        </w:rPr>
        <w:t>5.1.4 本条款适用于</w:t>
      </w:r>
      <w:r>
        <w:rPr>
          <w:rFonts w:hint="eastAsia" w:ascii="宋体" w:hAnsi="宋体" w:eastAsia="宋体" w:cs="宋体"/>
          <w:color w:val="000000" w:themeColor="text1"/>
          <w:kern w:val="0"/>
          <w:sz w:val="24"/>
          <w:lang w:eastAsia="zh-CN" w:bidi="ar"/>
          <w14:textFill>
            <w14:solidFill>
              <w14:schemeClr w14:val="tx1"/>
            </w14:solidFill>
          </w14:textFill>
        </w:rPr>
        <w:t>基础设施项目施工</w:t>
      </w:r>
      <w:r>
        <w:rPr>
          <w:rFonts w:hint="eastAsia" w:ascii="宋体" w:hAnsi="宋体" w:eastAsia="宋体" w:cs="宋体"/>
          <w:color w:val="000000" w:themeColor="text1"/>
          <w:kern w:val="0"/>
          <w:sz w:val="24"/>
          <w:lang w:bidi="ar"/>
          <w14:textFill>
            <w14:solidFill>
              <w14:schemeClr w14:val="tx1"/>
            </w14:solidFill>
          </w14:textFill>
        </w:rPr>
        <w:t>建造阶段、运行阶段的评价。</w:t>
      </w:r>
    </w:p>
    <w:p w14:paraId="3C7C22EC">
      <w:pPr>
        <w:widowControl/>
        <w:snapToGrid w:val="0"/>
        <w:spacing w:line="360" w:lineRule="auto"/>
        <w:ind w:firstLine="480" w:firstLineChars="200"/>
        <w:jc w:val="left"/>
        <w:rPr>
          <w:rFonts w:hint="eastAsia" w:ascii="宋体" w:hAnsi="宋体" w:eastAsia="宋体" w:cs="宋体"/>
          <w:color w:val="000000" w:themeColor="text1"/>
          <w:kern w:val="0"/>
          <w:sz w:val="24"/>
          <w:lang w:bidi="ar"/>
          <w14:textFill>
            <w14:solidFill>
              <w14:schemeClr w14:val="tx1"/>
            </w14:solidFill>
          </w14:textFill>
        </w:rPr>
      </w:pPr>
      <w:r>
        <w:rPr>
          <w:rFonts w:hint="eastAsia" w:ascii="宋体" w:hAnsi="宋体" w:eastAsia="宋体" w:cs="宋体"/>
          <w:color w:val="000000" w:themeColor="text1"/>
          <w:kern w:val="0"/>
          <w:sz w:val="24"/>
          <w:lang w:bidi="ar"/>
          <w14:textFill>
            <w14:solidFill>
              <w14:schemeClr w14:val="tx1"/>
            </w14:solidFill>
          </w14:textFill>
        </w:rPr>
        <w:t>考量内容：（1）数字化管理平台；（2）各类资源消耗与再循环利用统计分析台账。</w:t>
      </w:r>
    </w:p>
    <w:p w14:paraId="7639E0F0">
      <w:pPr>
        <w:widowControl/>
        <w:snapToGrid w:val="0"/>
        <w:spacing w:line="360" w:lineRule="auto"/>
        <w:jc w:val="left"/>
        <w:rPr>
          <w:rFonts w:hint="eastAsia" w:ascii="宋体" w:hAnsi="宋体" w:eastAsia="宋体" w:cs="宋体"/>
          <w:color w:val="000000" w:themeColor="text1"/>
          <w:kern w:val="0"/>
          <w:sz w:val="24"/>
          <w:lang w:val="en-US" w:eastAsia="zh-CN" w:bidi="ar"/>
          <w14:textFill>
            <w14:solidFill>
              <w14:schemeClr w14:val="tx1"/>
            </w14:solidFill>
          </w14:textFill>
        </w:rPr>
      </w:pPr>
      <w:r>
        <w:rPr>
          <w:rFonts w:hint="eastAsia" w:ascii="宋体" w:hAnsi="宋体" w:eastAsia="宋体" w:cs="宋体"/>
          <w:color w:val="000000" w:themeColor="text1"/>
          <w:kern w:val="0"/>
          <w:sz w:val="24"/>
          <w:lang w:val="en-US" w:eastAsia="zh-CN" w:bidi="ar"/>
          <w14:textFill>
            <w14:solidFill>
              <w14:schemeClr w14:val="tx1"/>
            </w14:solidFill>
          </w14:textFill>
        </w:rPr>
        <w:t>5.1.5 本条款适用于基础设施项目规划设计阶段、施工建造阶段、运行阶段的评价。</w:t>
      </w:r>
    </w:p>
    <w:p w14:paraId="61935DC0">
      <w:pPr>
        <w:widowControl/>
        <w:snapToGrid w:val="0"/>
        <w:spacing w:line="360" w:lineRule="auto"/>
        <w:ind w:firstLine="480" w:firstLineChars="200"/>
        <w:jc w:val="left"/>
        <w:rPr>
          <w:rFonts w:hint="eastAsia" w:ascii="宋体" w:hAnsi="宋体" w:eastAsia="宋体" w:cs="宋体"/>
          <w:color w:val="000000" w:themeColor="text1"/>
          <w:kern w:val="0"/>
          <w:sz w:val="24"/>
          <w:lang w:bidi="ar"/>
          <w14:textFill>
            <w14:solidFill>
              <w14:schemeClr w14:val="tx1"/>
            </w14:solidFill>
          </w14:textFill>
        </w:rPr>
      </w:pPr>
      <w:r>
        <w:rPr>
          <w:rFonts w:hint="eastAsia" w:ascii="宋体" w:hAnsi="宋体" w:eastAsia="宋体" w:cs="宋体"/>
          <w:color w:val="000000" w:themeColor="text1"/>
          <w:kern w:val="0"/>
          <w:sz w:val="24"/>
          <w:lang w:val="en-US" w:eastAsia="zh-CN" w:bidi="ar"/>
          <w14:textFill>
            <w14:solidFill>
              <w14:schemeClr w14:val="tx1"/>
            </w14:solidFill>
          </w14:textFill>
        </w:rPr>
        <w:t>考量内容：用地审批文件。</w:t>
      </w:r>
    </w:p>
    <w:p w14:paraId="633C9EE1">
      <w:pPr>
        <w:widowControl/>
        <w:snapToGrid w:val="0"/>
        <w:spacing w:line="360" w:lineRule="auto"/>
        <w:ind w:firstLine="480" w:firstLineChars="200"/>
        <w:jc w:val="left"/>
        <w:rPr>
          <w:rFonts w:hint="eastAsia" w:ascii="宋体" w:hAnsi="宋体" w:eastAsia="宋体" w:cs="宋体"/>
          <w:color w:val="000000" w:themeColor="text1"/>
          <w:kern w:val="0"/>
          <w:sz w:val="24"/>
          <w:lang w:val="en-US" w:eastAsia="zh-CN" w:bidi="ar"/>
          <w14:textFill>
            <w14:solidFill>
              <w14:schemeClr w14:val="tx1"/>
            </w14:solidFill>
          </w14:textFill>
        </w:rPr>
      </w:pPr>
      <w:r>
        <w:rPr>
          <w:rFonts w:hint="eastAsia" w:ascii="宋体" w:hAnsi="宋体" w:eastAsia="宋体" w:cs="宋体"/>
          <w:color w:val="000000" w:themeColor="text1"/>
          <w:kern w:val="0"/>
          <w:sz w:val="24"/>
          <w:lang w:bidi="ar"/>
          <w14:textFill>
            <w14:solidFill>
              <w14:schemeClr w14:val="tx1"/>
            </w14:solidFill>
          </w14:textFill>
        </w:rPr>
        <w:t>5.1.</w:t>
      </w:r>
      <w:r>
        <w:rPr>
          <w:rFonts w:hint="eastAsia" w:ascii="宋体" w:hAnsi="宋体" w:eastAsia="宋体" w:cs="宋体"/>
          <w:color w:val="000000" w:themeColor="text1"/>
          <w:kern w:val="0"/>
          <w:sz w:val="24"/>
          <w:lang w:val="en-US" w:eastAsia="zh-CN" w:bidi="ar"/>
          <w14:textFill>
            <w14:solidFill>
              <w14:schemeClr w14:val="tx1"/>
            </w14:solidFill>
          </w14:textFill>
        </w:rPr>
        <w:t>6</w:t>
      </w:r>
      <w:r>
        <w:rPr>
          <w:rFonts w:hint="eastAsia" w:ascii="宋体" w:hAnsi="宋体" w:eastAsia="宋体" w:cs="宋体"/>
          <w:color w:val="000000" w:themeColor="text1"/>
          <w:kern w:val="0"/>
          <w:sz w:val="24"/>
          <w:lang w:bidi="ar"/>
          <w14:textFill>
            <w14:solidFill>
              <w14:schemeClr w14:val="tx1"/>
            </w14:solidFill>
          </w14:textFill>
        </w:rPr>
        <w:t xml:space="preserve"> </w:t>
      </w:r>
      <w:r>
        <w:rPr>
          <w:rFonts w:hint="eastAsia" w:ascii="宋体" w:hAnsi="宋体" w:eastAsia="宋体" w:cs="宋体"/>
          <w:color w:val="000000" w:themeColor="text1"/>
          <w:kern w:val="0"/>
          <w:sz w:val="24"/>
          <w:lang w:val="en-US" w:eastAsia="zh-CN" w:bidi="ar"/>
          <w14:textFill>
            <w14:solidFill>
              <w14:schemeClr w14:val="tx1"/>
            </w14:solidFill>
          </w14:textFill>
        </w:rPr>
        <w:t>本条款适用于基础设施项目规划设计阶段、施工建造阶段、运行阶段的评价。</w:t>
      </w:r>
    </w:p>
    <w:p w14:paraId="5E6D25FD">
      <w:pPr>
        <w:widowControl/>
        <w:snapToGrid w:val="0"/>
        <w:spacing w:line="360" w:lineRule="auto"/>
        <w:ind w:firstLine="480" w:firstLineChars="200"/>
        <w:jc w:val="left"/>
        <w:rPr>
          <w:rFonts w:hint="eastAsia" w:ascii="宋体" w:hAnsi="宋体" w:eastAsia="宋体" w:cs="宋体"/>
          <w:color w:val="000000" w:themeColor="text1"/>
          <w:kern w:val="0"/>
          <w:sz w:val="24"/>
          <w:lang w:val="en-US" w:eastAsia="zh-CN" w:bidi="ar"/>
          <w14:textFill>
            <w14:solidFill>
              <w14:schemeClr w14:val="tx1"/>
            </w14:solidFill>
          </w14:textFill>
        </w:rPr>
      </w:pPr>
      <w:r>
        <w:rPr>
          <w:rFonts w:hint="eastAsia" w:ascii="宋体" w:hAnsi="宋体" w:eastAsia="宋体" w:cs="宋体"/>
          <w:color w:val="000000" w:themeColor="text1"/>
          <w:kern w:val="0"/>
          <w:sz w:val="24"/>
          <w:lang w:val="en-US" w:eastAsia="zh-CN" w:bidi="ar"/>
          <w14:textFill>
            <w14:solidFill>
              <w14:schemeClr w14:val="tx1"/>
            </w14:solidFill>
          </w14:textFill>
        </w:rPr>
        <w:t>考量内容：具体阶段的用地使用文件及图纸。</w:t>
      </w:r>
    </w:p>
    <w:p w14:paraId="322555DA">
      <w:pPr>
        <w:snapToGrid w:val="0"/>
        <w:spacing w:line="360" w:lineRule="auto"/>
        <w:jc w:val="center"/>
        <w:outlineLvl w:val="1"/>
        <w:rPr>
          <w:rFonts w:ascii="黑体" w:hAnsi="黑体" w:eastAsia="黑体" w:cs="黑体"/>
          <w:b/>
          <w:bCs/>
          <w:color w:val="000000" w:themeColor="text1"/>
          <w:sz w:val="28"/>
          <w:szCs w:val="28"/>
          <w14:textFill>
            <w14:solidFill>
              <w14:schemeClr w14:val="tx1"/>
            </w14:solidFill>
          </w14:textFill>
        </w:rPr>
      </w:pPr>
      <w:bookmarkStart w:id="744" w:name="_Toc32319"/>
      <w:bookmarkStart w:id="745" w:name="_Toc24808"/>
      <w:bookmarkStart w:id="746" w:name="_Toc26106"/>
      <w:bookmarkStart w:id="747" w:name="_Toc17968"/>
      <w:bookmarkStart w:id="748" w:name="_Toc25225"/>
      <w:bookmarkStart w:id="749" w:name="_Toc9535"/>
      <w:bookmarkStart w:id="750" w:name="_Toc7245"/>
      <w:r>
        <w:rPr>
          <w:rFonts w:hint="eastAsia" w:ascii="黑体" w:hAnsi="黑体" w:eastAsia="黑体" w:cs="黑体"/>
          <w:b/>
          <w:bCs/>
          <w:color w:val="000000" w:themeColor="text1"/>
          <w:sz w:val="28"/>
          <w:szCs w:val="28"/>
          <w14:textFill>
            <w14:solidFill>
              <w14:schemeClr w14:val="tx1"/>
            </w14:solidFill>
          </w14:textFill>
        </w:rPr>
        <w:t>5.2 评分项</w:t>
      </w:r>
      <w:bookmarkEnd w:id="744"/>
      <w:bookmarkEnd w:id="745"/>
      <w:bookmarkEnd w:id="746"/>
      <w:bookmarkEnd w:id="747"/>
      <w:bookmarkEnd w:id="748"/>
      <w:bookmarkEnd w:id="749"/>
      <w:bookmarkEnd w:id="750"/>
    </w:p>
    <w:p w14:paraId="295CBE81">
      <w:pPr>
        <w:snapToGrid w:val="0"/>
        <w:spacing w:line="360" w:lineRule="auto"/>
        <w:jc w:val="center"/>
        <w:outlineLvl w:val="2"/>
        <w:rPr>
          <w:rFonts w:ascii="仿宋" w:hAnsi="仿宋" w:eastAsia="仿宋" w:cs="仿宋"/>
          <w:color w:val="000000" w:themeColor="text1"/>
          <w:sz w:val="28"/>
          <w:szCs w:val="28"/>
          <w14:textFill>
            <w14:solidFill>
              <w14:schemeClr w14:val="tx1"/>
            </w14:solidFill>
          </w14:textFill>
        </w:rPr>
      </w:pPr>
      <w:bookmarkStart w:id="751" w:name="_Toc25816"/>
      <w:bookmarkStart w:id="752" w:name="_Toc4856"/>
      <w:bookmarkStart w:id="753" w:name="_Toc17550"/>
      <w:bookmarkStart w:id="754" w:name="_Toc19964"/>
      <w:r>
        <w:rPr>
          <w:rFonts w:hint="eastAsia" w:ascii="仿宋" w:hAnsi="仿宋" w:eastAsia="仿宋" w:cs="仿宋"/>
          <w:color w:val="000000" w:themeColor="text1"/>
          <w:sz w:val="28"/>
          <w:szCs w:val="28"/>
          <w14:textFill>
            <w14:solidFill>
              <w14:schemeClr w14:val="tx1"/>
            </w14:solidFill>
          </w14:textFill>
        </w:rPr>
        <w:t>Ⅰ 能源</w:t>
      </w:r>
      <w:bookmarkEnd w:id="751"/>
      <w:bookmarkEnd w:id="752"/>
      <w:bookmarkEnd w:id="753"/>
      <w:bookmarkEnd w:id="754"/>
    </w:p>
    <w:p w14:paraId="7ACCA333">
      <w:pPr>
        <w:widowControl/>
        <w:snapToGrid w:val="0"/>
        <w:spacing w:line="360" w:lineRule="auto"/>
        <w:jc w:val="left"/>
        <w:rPr>
          <w:rFonts w:hint="eastAsia" w:ascii="宋体" w:hAnsi="宋体" w:eastAsia="宋体" w:cs="宋体"/>
          <w:color w:val="000000" w:themeColor="text1"/>
          <w:kern w:val="0"/>
          <w:sz w:val="24"/>
          <w:lang w:bidi="ar"/>
          <w14:textFill>
            <w14:solidFill>
              <w14:schemeClr w14:val="tx1"/>
            </w14:solidFill>
          </w14:textFill>
        </w:rPr>
      </w:pPr>
      <w:r>
        <w:rPr>
          <w:rFonts w:hint="eastAsia" w:ascii="宋体" w:hAnsi="宋体" w:eastAsia="宋体" w:cs="宋体"/>
          <w:color w:val="000000" w:themeColor="text1"/>
          <w:kern w:val="0"/>
          <w:sz w:val="24"/>
          <w:lang w:bidi="ar"/>
          <w14:textFill>
            <w14:solidFill>
              <w14:schemeClr w14:val="tx1"/>
            </w14:solidFill>
          </w14:textFill>
        </w:rPr>
        <w:t>5.2.</w:t>
      </w:r>
      <w:r>
        <w:rPr>
          <w:rFonts w:hint="eastAsia" w:ascii="宋体" w:hAnsi="宋体" w:eastAsia="宋体" w:cs="宋体"/>
          <w:color w:val="000000" w:themeColor="text1"/>
          <w:kern w:val="0"/>
          <w:sz w:val="24"/>
          <w:lang w:val="en-US" w:eastAsia="zh-CN" w:bidi="ar"/>
          <w14:textFill>
            <w14:solidFill>
              <w14:schemeClr w14:val="tx1"/>
            </w14:solidFill>
          </w14:textFill>
        </w:rPr>
        <w:t>1</w:t>
      </w:r>
      <w:r>
        <w:rPr>
          <w:rFonts w:hint="eastAsia" w:ascii="宋体" w:hAnsi="宋体" w:eastAsia="宋体" w:cs="宋体"/>
          <w:color w:val="000000" w:themeColor="text1"/>
          <w:kern w:val="0"/>
          <w:sz w:val="24"/>
          <w:lang w:bidi="ar"/>
          <w14:textFill>
            <w14:solidFill>
              <w14:schemeClr w14:val="tx1"/>
            </w14:solidFill>
          </w14:textFill>
        </w:rPr>
        <w:t xml:space="preserve"> 本条款适用于</w:t>
      </w:r>
      <w:r>
        <w:rPr>
          <w:rFonts w:hint="eastAsia" w:ascii="宋体" w:hAnsi="宋体" w:eastAsia="宋体" w:cs="宋体"/>
          <w:color w:val="000000" w:themeColor="text1"/>
          <w:kern w:val="0"/>
          <w:sz w:val="24"/>
          <w:lang w:eastAsia="zh-CN" w:bidi="ar"/>
          <w14:textFill>
            <w14:solidFill>
              <w14:schemeClr w14:val="tx1"/>
            </w14:solidFill>
          </w14:textFill>
        </w:rPr>
        <w:t>基础设施项目规划</w:t>
      </w:r>
      <w:r>
        <w:rPr>
          <w:rFonts w:hint="eastAsia" w:ascii="宋体" w:hAnsi="宋体" w:eastAsia="宋体" w:cs="宋体"/>
          <w:color w:val="000000" w:themeColor="text1"/>
          <w:kern w:val="0"/>
          <w:sz w:val="24"/>
          <w:lang w:bidi="ar"/>
          <w14:textFill>
            <w14:solidFill>
              <w14:schemeClr w14:val="tx1"/>
            </w14:solidFill>
          </w14:textFill>
        </w:rPr>
        <w:t xml:space="preserve">设计阶段、施工建造阶段、运行阶段的评价。 </w:t>
      </w:r>
    </w:p>
    <w:p w14:paraId="734DF63D">
      <w:pPr>
        <w:widowControl/>
        <w:snapToGrid w:val="0"/>
        <w:spacing w:line="360" w:lineRule="auto"/>
        <w:ind w:firstLine="480" w:firstLineChars="200"/>
        <w:jc w:val="left"/>
        <w:rPr>
          <w:rFonts w:hint="eastAsia" w:ascii="宋体" w:hAnsi="宋体" w:eastAsia="宋体" w:cs="宋体"/>
          <w:color w:val="000000" w:themeColor="text1"/>
          <w:kern w:val="0"/>
          <w:sz w:val="24"/>
          <w:lang w:bidi="ar"/>
          <w14:textFill>
            <w14:solidFill>
              <w14:schemeClr w14:val="tx1"/>
            </w14:solidFill>
          </w14:textFill>
        </w:rPr>
      </w:pPr>
      <w:r>
        <w:rPr>
          <w:rFonts w:hint="eastAsia" w:ascii="宋体" w:hAnsi="宋体" w:eastAsia="宋体" w:cs="宋体"/>
          <w:color w:val="000000" w:themeColor="text1"/>
          <w:kern w:val="0"/>
          <w:sz w:val="24"/>
          <w:lang w:bidi="ar"/>
          <w14:textFill>
            <w14:solidFill>
              <w14:schemeClr w14:val="tx1"/>
            </w14:solidFill>
          </w14:textFill>
        </w:rPr>
        <w:t>节能策略优化模型通常包含以下内容：①数据采集与监测方法和内容。②数据分析：对采集到的能源使用数据进行处理和分析，以识别能源消耗的瓶颈和优化潜力。③优化算法：采用数学模型、仿真技术等工具，对设施的能源使用进行优化、预测。④反馈与调整：根据优化结果，对设施的能源使用进行实时调整，以实现持续的能源节约和优化。</w:t>
      </w:r>
    </w:p>
    <w:p w14:paraId="07DA482C">
      <w:pPr>
        <w:widowControl/>
        <w:snapToGrid w:val="0"/>
        <w:spacing w:line="360" w:lineRule="auto"/>
        <w:ind w:firstLine="480" w:firstLineChars="200"/>
        <w:jc w:val="left"/>
        <w:rPr>
          <w:rFonts w:hint="eastAsia" w:ascii="宋体" w:hAnsi="宋体" w:eastAsia="宋体" w:cs="宋体"/>
          <w:color w:val="000000" w:themeColor="text1"/>
          <w:kern w:val="0"/>
          <w:sz w:val="24"/>
          <w:lang w:bidi="ar"/>
          <w14:textFill>
            <w14:solidFill>
              <w14:schemeClr w14:val="tx1"/>
            </w14:solidFill>
          </w14:textFill>
        </w:rPr>
      </w:pPr>
      <w:r>
        <w:rPr>
          <w:rFonts w:hint="eastAsia" w:ascii="宋体" w:hAnsi="宋体" w:eastAsia="宋体" w:cs="宋体"/>
          <w:color w:val="000000" w:themeColor="text1"/>
          <w:kern w:val="0"/>
          <w:sz w:val="24"/>
          <w:lang w:bidi="ar"/>
          <w14:textFill>
            <w14:solidFill>
              <w14:schemeClr w14:val="tx1"/>
            </w14:solidFill>
          </w14:textFill>
        </w:rPr>
        <w:t>考量内容：（1）节能设计标准依据与节能目标；（2）节能设计方案或节能措施方案；（3）重点设备能效监测评价；（4）设备台账、设备维修记录；（5）能源消耗量、能源消耗强度（万元产值）；（6）碳排放量、碳排放强度（万元产值）、动态（各类）能源消耗量/碳排放量比值；（7）选用的低碳绿色节能技术设备产品。</w:t>
      </w:r>
    </w:p>
    <w:p w14:paraId="18CB3BD8">
      <w:pPr>
        <w:widowControl/>
        <w:snapToGrid w:val="0"/>
        <w:spacing w:line="360" w:lineRule="auto"/>
        <w:jc w:val="left"/>
        <w:rPr>
          <w:rFonts w:hint="eastAsia" w:ascii="宋体" w:hAnsi="宋体" w:eastAsia="宋体" w:cs="宋体"/>
          <w:color w:val="000000" w:themeColor="text1"/>
          <w:kern w:val="0"/>
          <w:sz w:val="24"/>
          <w:lang w:bidi="ar"/>
          <w14:textFill>
            <w14:solidFill>
              <w14:schemeClr w14:val="tx1"/>
            </w14:solidFill>
          </w14:textFill>
        </w:rPr>
      </w:pPr>
      <w:r>
        <w:rPr>
          <w:rFonts w:hint="eastAsia" w:ascii="宋体" w:hAnsi="宋体" w:eastAsia="宋体" w:cs="宋体"/>
          <w:color w:val="000000" w:themeColor="text1"/>
          <w:kern w:val="0"/>
          <w:sz w:val="24"/>
          <w:lang w:bidi="ar"/>
          <w14:textFill>
            <w14:solidFill>
              <w14:schemeClr w14:val="tx1"/>
            </w14:solidFill>
          </w14:textFill>
        </w:rPr>
        <w:t>5.2.</w:t>
      </w:r>
      <w:r>
        <w:rPr>
          <w:rFonts w:hint="eastAsia" w:ascii="宋体" w:hAnsi="宋体" w:eastAsia="宋体" w:cs="宋体"/>
          <w:color w:val="000000" w:themeColor="text1"/>
          <w:kern w:val="0"/>
          <w:sz w:val="24"/>
          <w:lang w:val="en-US" w:eastAsia="zh-CN" w:bidi="ar"/>
          <w14:textFill>
            <w14:solidFill>
              <w14:schemeClr w14:val="tx1"/>
            </w14:solidFill>
          </w14:textFill>
        </w:rPr>
        <w:t>2</w:t>
      </w:r>
      <w:r>
        <w:rPr>
          <w:rFonts w:hint="eastAsia" w:ascii="宋体" w:hAnsi="宋体" w:eastAsia="宋体" w:cs="宋体"/>
          <w:color w:val="000000" w:themeColor="text1"/>
          <w:kern w:val="0"/>
          <w:sz w:val="24"/>
          <w:lang w:bidi="ar"/>
          <w14:textFill>
            <w14:solidFill>
              <w14:schemeClr w14:val="tx1"/>
            </w14:solidFill>
          </w14:textFill>
        </w:rPr>
        <w:t>本条款适用于</w:t>
      </w:r>
      <w:r>
        <w:rPr>
          <w:rFonts w:hint="eastAsia" w:ascii="宋体" w:hAnsi="宋体" w:eastAsia="宋体" w:cs="宋体"/>
          <w:color w:val="000000" w:themeColor="text1"/>
          <w:kern w:val="0"/>
          <w:sz w:val="24"/>
          <w:lang w:eastAsia="zh-CN" w:bidi="ar"/>
          <w14:textFill>
            <w14:solidFill>
              <w14:schemeClr w14:val="tx1"/>
            </w14:solidFill>
          </w14:textFill>
        </w:rPr>
        <w:t>基础设施项目规划</w:t>
      </w:r>
      <w:r>
        <w:rPr>
          <w:rFonts w:hint="eastAsia" w:ascii="宋体" w:hAnsi="宋体" w:eastAsia="宋体" w:cs="宋体"/>
          <w:color w:val="000000" w:themeColor="text1"/>
          <w:kern w:val="0"/>
          <w:sz w:val="24"/>
          <w:lang w:bidi="ar"/>
          <w14:textFill>
            <w14:solidFill>
              <w14:schemeClr w14:val="tx1"/>
            </w14:solidFill>
          </w14:textFill>
        </w:rPr>
        <w:t>设计阶段、施工建造阶段和运行阶段的评价。</w:t>
      </w:r>
    </w:p>
    <w:p w14:paraId="659E74B9">
      <w:pPr>
        <w:widowControl/>
        <w:snapToGrid w:val="0"/>
        <w:spacing w:line="360" w:lineRule="auto"/>
        <w:ind w:firstLine="480" w:firstLineChars="200"/>
        <w:jc w:val="left"/>
        <w:rPr>
          <w:rFonts w:hint="eastAsia" w:ascii="宋体" w:hAnsi="宋体" w:eastAsia="宋体" w:cs="宋体"/>
          <w:color w:val="000000" w:themeColor="text1"/>
          <w:kern w:val="0"/>
          <w:sz w:val="24"/>
          <w:lang w:bidi="ar"/>
          <w14:textFill>
            <w14:solidFill>
              <w14:schemeClr w14:val="tx1"/>
            </w14:solidFill>
          </w14:textFill>
        </w:rPr>
      </w:pPr>
      <w:r>
        <w:rPr>
          <w:rFonts w:hint="eastAsia" w:ascii="宋体" w:hAnsi="宋体" w:eastAsia="宋体" w:cs="宋体"/>
          <w:color w:val="000000" w:themeColor="text1"/>
          <w:kern w:val="0"/>
          <w:sz w:val="24"/>
          <w:lang w:bidi="ar"/>
          <w14:textFill>
            <w14:solidFill>
              <w14:schemeClr w14:val="tx1"/>
            </w14:solidFill>
          </w14:textFill>
        </w:rPr>
        <w:t>考量内容：（1）可再生能源规划设计方案或可研；（2）可再生能源用量与利用率指标；（3）可再生能源种类；（4）光伏智能微电网系统应用；（5）购买绿证绿电资料。</w:t>
      </w:r>
    </w:p>
    <w:p w14:paraId="63FBDEF1">
      <w:pPr>
        <w:widowControl/>
        <w:snapToGrid w:val="0"/>
        <w:spacing w:line="360" w:lineRule="auto"/>
        <w:jc w:val="left"/>
        <w:rPr>
          <w:rFonts w:hint="eastAsia" w:ascii="宋体" w:hAnsi="宋体" w:eastAsia="宋体" w:cs="宋体"/>
          <w:color w:val="000000" w:themeColor="text1"/>
          <w:kern w:val="0"/>
          <w:sz w:val="24"/>
          <w:lang w:bidi="ar"/>
          <w14:textFill>
            <w14:solidFill>
              <w14:schemeClr w14:val="tx1"/>
            </w14:solidFill>
          </w14:textFill>
        </w:rPr>
      </w:pPr>
      <w:r>
        <w:rPr>
          <w:rFonts w:hint="eastAsia" w:ascii="宋体" w:hAnsi="宋体" w:eastAsia="宋体" w:cs="宋体"/>
          <w:color w:val="000000" w:themeColor="text1"/>
          <w:kern w:val="0"/>
          <w:sz w:val="24"/>
          <w:lang w:bidi="ar"/>
          <w14:textFill>
            <w14:solidFill>
              <w14:schemeClr w14:val="tx1"/>
            </w14:solidFill>
          </w14:textFill>
        </w:rPr>
        <w:t>5.2.3 本条款适用于</w:t>
      </w:r>
      <w:r>
        <w:rPr>
          <w:rFonts w:hint="eastAsia" w:ascii="宋体" w:hAnsi="宋体" w:eastAsia="宋体" w:cs="宋体"/>
          <w:color w:val="000000" w:themeColor="text1"/>
          <w:kern w:val="0"/>
          <w:sz w:val="24"/>
          <w:lang w:eastAsia="zh-CN" w:bidi="ar"/>
          <w14:textFill>
            <w14:solidFill>
              <w14:schemeClr w14:val="tx1"/>
            </w14:solidFill>
          </w14:textFill>
        </w:rPr>
        <w:t>基础设施项目施工</w:t>
      </w:r>
      <w:r>
        <w:rPr>
          <w:rFonts w:hint="eastAsia" w:ascii="宋体" w:hAnsi="宋体" w:eastAsia="宋体" w:cs="宋体"/>
          <w:color w:val="000000" w:themeColor="text1"/>
          <w:kern w:val="0"/>
          <w:sz w:val="24"/>
          <w:lang w:bidi="ar"/>
          <w14:textFill>
            <w14:solidFill>
              <w14:schemeClr w14:val="tx1"/>
            </w14:solidFill>
          </w14:textFill>
        </w:rPr>
        <w:t xml:space="preserve">和运行阶段的评价。 </w:t>
      </w:r>
    </w:p>
    <w:p w14:paraId="219B339E">
      <w:pPr>
        <w:widowControl/>
        <w:snapToGrid w:val="0"/>
        <w:spacing w:line="360" w:lineRule="auto"/>
        <w:ind w:firstLine="480" w:firstLineChars="200"/>
        <w:jc w:val="left"/>
        <w:rPr>
          <w:rFonts w:hint="eastAsia" w:ascii="宋体" w:hAnsi="宋体" w:eastAsia="宋体" w:cs="宋体"/>
          <w:color w:val="000000" w:themeColor="text1"/>
          <w:kern w:val="0"/>
          <w:sz w:val="24"/>
          <w:lang w:bidi="ar"/>
          <w14:textFill>
            <w14:solidFill>
              <w14:schemeClr w14:val="tx1"/>
            </w14:solidFill>
          </w14:textFill>
        </w:rPr>
      </w:pPr>
      <w:r>
        <w:rPr>
          <w:rFonts w:hint="eastAsia" w:ascii="宋体" w:hAnsi="宋体" w:eastAsia="宋体" w:cs="宋体"/>
          <w:color w:val="000000" w:themeColor="text1"/>
          <w:kern w:val="0"/>
          <w:sz w:val="24"/>
          <w:lang w:bidi="ar"/>
          <w14:textFill>
            <w14:solidFill>
              <w14:schemeClr w14:val="tx1"/>
            </w14:solidFill>
          </w14:textFill>
        </w:rPr>
        <w:t>考量内容：（1）能源智能化管理平台；（2）能源计量远程集抄；（3）监测记录；（4）能效水平数据分析。</w:t>
      </w:r>
    </w:p>
    <w:p w14:paraId="73FA2C5E">
      <w:pPr>
        <w:widowControl/>
        <w:snapToGrid w:val="0"/>
        <w:spacing w:line="360" w:lineRule="auto"/>
        <w:ind w:firstLine="0" w:firstLineChars="0"/>
        <w:jc w:val="left"/>
        <w:rPr>
          <w:rFonts w:ascii="宋体" w:hAnsi="宋体" w:eastAsia="宋体" w:cs="宋体"/>
          <w:color w:val="000000" w:themeColor="text1"/>
          <w:kern w:val="0"/>
          <w:sz w:val="24"/>
          <w:lang w:bidi="ar"/>
          <w14:textFill>
            <w14:solidFill>
              <w14:schemeClr w14:val="tx1"/>
            </w14:solidFill>
          </w14:textFill>
        </w:rPr>
      </w:pPr>
    </w:p>
    <w:p w14:paraId="0DB4323B">
      <w:pPr>
        <w:snapToGrid w:val="0"/>
        <w:spacing w:line="360" w:lineRule="auto"/>
        <w:jc w:val="center"/>
        <w:outlineLvl w:val="2"/>
        <w:rPr>
          <w:rFonts w:ascii="仿宋" w:hAnsi="仿宋" w:eastAsia="仿宋" w:cs="仿宋"/>
          <w:color w:val="000000" w:themeColor="text1"/>
          <w:sz w:val="28"/>
          <w:szCs w:val="28"/>
          <w14:textFill>
            <w14:solidFill>
              <w14:schemeClr w14:val="tx1"/>
            </w14:solidFill>
          </w14:textFill>
        </w:rPr>
      </w:pPr>
      <w:bookmarkStart w:id="755" w:name="_Toc7682"/>
      <w:bookmarkStart w:id="756" w:name="_Toc23445"/>
      <w:bookmarkStart w:id="757" w:name="_Toc7304"/>
      <w:bookmarkStart w:id="758" w:name="_Toc26665"/>
      <w:bookmarkStart w:id="759" w:name="_Toc5339"/>
      <w:r>
        <w:rPr>
          <w:rFonts w:hint="eastAsia" w:ascii="仿宋" w:hAnsi="仿宋" w:eastAsia="仿宋" w:cs="仿宋"/>
          <w:color w:val="000000" w:themeColor="text1"/>
          <w:sz w:val="28"/>
          <w:szCs w:val="28"/>
          <w14:textFill>
            <w14:solidFill>
              <w14:schemeClr w14:val="tx1"/>
            </w14:solidFill>
          </w14:textFill>
        </w:rPr>
        <w:t>Ⅱ 水资源</w:t>
      </w:r>
      <w:bookmarkEnd w:id="755"/>
      <w:bookmarkEnd w:id="756"/>
      <w:bookmarkEnd w:id="757"/>
      <w:bookmarkEnd w:id="758"/>
      <w:bookmarkEnd w:id="759"/>
    </w:p>
    <w:p w14:paraId="33EB5A5A">
      <w:pPr>
        <w:widowControl/>
        <w:snapToGrid w:val="0"/>
        <w:spacing w:line="360" w:lineRule="auto"/>
        <w:jc w:val="left"/>
        <w:rPr>
          <w:rFonts w:hint="eastAsia" w:ascii="宋体" w:hAnsi="宋体" w:eastAsia="宋体" w:cs="宋体"/>
          <w:color w:val="000000" w:themeColor="text1"/>
          <w:kern w:val="0"/>
          <w:sz w:val="24"/>
          <w:lang w:bidi="ar"/>
          <w14:textFill>
            <w14:solidFill>
              <w14:schemeClr w14:val="tx1"/>
            </w14:solidFill>
          </w14:textFill>
        </w:rPr>
      </w:pPr>
      <w:r>
        <w:rPr>
          <w:rFonts w:hint="eastAsia" w:ascii="宋体" w:hAnsi="宋体" w:eastAsia="宋体" w:cs="宋体"/>
          <w:color w:val="000000" w:themeColor="text1"/>
          <w:kern w:val="0"/>
          <w:sz w:val="24"/>
          <w:lang w:bidi="ar"/>
          <w14:textFill>
            <w14:solidFill>
              <w14:schemeClr w14:val="tx1"/>
            </w14:solidFill>
          </w14:textFill>
        </w:rPr>
        <w:t xml:space="preserve">5.2.4本条款适用于基础设施项目施工建造阶段、运行阶段的评价。 </w:t>
      </w:r>
    </w:p>
    <w:p w14:paraId="7632F9DF">
      <w:pPr>
        <w:widowControl/>
        <w:snapToGrid w:val="0"/>
        <w:spacing w:line="360" w:lineRule="auto"/>
        <w:ind w:firstLine="480" w:firstLineChars="200"/>
        <w:jc w:val="left"/>
        <w:rPr>
          <w:rFonts w:hint="eastAsia" w:ascii="宋体" w:hAnsi="宋体" w:eastAsia="宋体" w:cs="宋体"/>
          <w:color w:val="000000" w:themeColor="text1"/>
          <w:kern w:val="0"/>
          <w:sz w:val="24"/>
          <w:lang w:bidi="ar"/>
          <w14:textFill>
            <w14:solidFill>
              <w14:schemeClr w14:val="tx1"/>
            </w14:solidFill>
          </w14:textFill>
        </w:rPr>
      </w:pPr>
      <w:r>
        <w:rPr>
          <w:rFonts w:hint="eastAsia" w:ascii="宋体" w:hAnsi="宋体" w:eastAsia="宋体" w:cs="宋体"/>
          <w:color w:val="000000" w:themeColor="text1"/>
          <w:kern w:val="0"/>
          <w:sz w:val="24"/>
          <w:lang w:bidi="ar"/>
          <w14:textFill>
            <w14:solidFill>
              <w14:schemeClr w14:val="tx1"/>
            </w14:solidFill>
          </w14:textFill>
        </w:rPr>
        <w:t xml:space="preserve">项目自规划设计阶段起，重视海绵城市建设理念和措施的落实，对施工期间及建筑竣工后的场地雨水进行有效统筹控制，溢流排放应与城市雨水排放系统衔接。用水分项精细化管理，是指要按照不同阶段、不同分区、不同用途，建立台账进行管理。 </w:t>
      </w:r>
    </w:p>
    <w:p w14:paraId="6D795530">
      <w:pPr>
        <w:widowControl/>
        <w:snapToGrid w:val="0"/>
        <w:spacing w:line="360" w:lineRule="auto"/>
        <w:ind w:firstLine="480" w:firstLineChars="200"/>
        <w:jc w:val="left"/>
        <w:rPr>
          <w:rFonts w:hint="eastAsia" w:ascii="宋体" w:hAnsi="宋体" w:eastAsia="宋体" w:cs="宋体"/>
          <w:color w:val="000000" w:themeColor="text1"/>
          <w:kern w:val="0"/>
          <w:sz w:val="24"/>
          <w:lang w:val="en-US" w:eastAsia="zh-CN" w:bidi="ar"/>
          <w14:textFill>
            <w14:solidFill>
              <w14:schemeClr w14:val="tx1"/>
            </w14:solidFill>
          </w14:textFill>
        </w:rPr>
      </w:pPr>
      <w:r>
        <w:rPr>
          <w:rFonts w:ascii="宋体" w:hAnsi="宋体" w:eastAsia="宋体" w:cs="宋体"/>
          <w:sz w:val="24"/>
          <w:szCs w:val="24"/>
        </w:rPr>
        <w:t>将节水指标纳入到与劳务分包签订的节水协议进行计量考核</w:t>
      </w:r>
      <w:r>
        <w:rPr>
          <w:rFonts w:hint="eastAsia" w:ascii="宋体" w:hAnsi="宋体" w:eastAsia="宋体" w:cs="宋体"/>
          <w:sz w:val="24"/>
          <w:szCs w:val="24"/>
          <w:lang w:eastAsia="zh-CN"/>
        </w:rPr>
        <w:t>。</w:t>
      </w:r>
    </w:p>
    <w:p w14:paraId="51B3F793">
      <w:pPr>
        <w:widowControl/>
        <w:snapToGrid w:val="0"/>
        <w:spacing w:line="360" w:lineRule="auto"/>
        <w:ind w:firstLine="480" w:firstLineChars="200"/>
        <w:jc w:val="left"/>
        <w:rPr>
          <w:rFonts w:hint="eastAsia" w:ascii="宋体" w:hAnsi="宋体" w:eastAsia="宋体" w:cs="宋体"/>
          <w:color w:val="000000" w:themeColor="text1"/>
          <w:kern w:val="0"/>
          <w:sz w:val="24"/>
          <w:lang w:bidi="ar"/>
          <w14:textFill>
            <w14:solidFill>
              <w14:schemeClr w14:val="tx1"/>
            </w14:solidFill>
          </w14:textFill>
        </w:rPr>
      </w:pPr>
      <w:r>
        <w:rPr>
          <w:rFonts w:hint="eastAsia" w:ascii="宋体" w:hAnsi="宋体" w:eastAsia="宋体" w:cs="宋体"/>
          <w:color w:val="000000" w:themeColor="text1"/>
          <w:kern w:val="0"/>
          <w:sz w:val="24"/>
          <w:lang w:bidi="ar"/>
          <w14:textFill>
            <w14:solidFill>
              <w14:schemeClr w14:val="tx1"/>
            </w14:solidFill>
          </w14:textFill>
        </w:rPr>
        <w:t>考量内容：（1）水资源消耗与节水指标；（2）用水计量监测台账；（3）节水措施及节水分析报告</w:t>
      </w:r>
      <w:r>
        <w:rPr>
          <w:rFonts w:hint="eastAsia" w:ascii="宋体" w:hAnsi="宋体" w:eastAsia="宋体" w:cs="宋体"/>
          <w:color w:val="000000" w:themeColor="text1"/>
          <w:kern w:val="0"/>
          <w:sz w:val="24"/>
          <w:lang w:eastAsia="zh-CN" w:bidi="ar"/>
          <w14:textFill>
            <w14:solidFill>
              <w14:schemeClr w14:val="tx1"/>
            </w14:solidFill>
          </w14:textFill>
        </w:rPr>
        <w:t>。</w:t>
      </w:r>
    </w:p>
    <w:p w14:paraId="2EFE3EC0">
      <w:pPr>
        <w:widowControl/>
        <w:snapToGrid w:val="0"/>
        <w:spacing w:line="360" w:lineRule="auto"/>
        <w:jc w:val="left"/>
        <w:rPr>
          <w:rFonts w:ascii="宋体" w:hAnsi="宋体" w:eastAsia="宋体" w:cs="宋体"/>
          <w:color w:val="000000" w:themeColor="text1"/>
          <w:kern w:val="0"/>
          <w:sz w:val="24"/>
          <w:lang w:bidi="ar"/>
          <w14:textFill>
            <w14:solidFill>
              <w14:schemeClr w14:val="tx1"/>
            </w14:solidFill>
          </w14:textFill>
        </w:rPr>
      </w:pPr>
      <w:r>
        <w:rPr>
          <w:rFonts w:hint="eastAsia" w:ascii="宋体" w:hAnsi="宋体" w:eastAsia="宋体" w:cs="宋体"/>
          <w:color w:val="000000" w:themeColor="text1"/>
          <w:kern w:val="0"/>
          <w:sz w:val="24"/>
          <w:lang w:bidi="ar"/>
          <w14:textFill>
            <w14:solidFill>
              <w14:schemeClr w14:val="tx1"/>
            </w14:solidFill>
          </w14:textFill>
        </w:rPr>
        <w:t>5.2.5本</w:t>
      </w:r>
      <w:r>
        <w:rPr>
          <w:rFonts w:hint="eastAsia" w:ascii="宋体" w:hAnsi="宋体" w:eastAsia="宋体" w:cs="宋体"/>
          <w:color w:val="000000" w:themeColor="text1"/>
          <w:kern w:val="0"/>
          <w:sz w:val="24"/>
          <w:lang w:eastAsia="zh-CN" w:bidi="ar"/>
          <w14:textFill>
            <w14:solidFill>
              <w14:schemeClr w14:val="tx1"/>
            </w14:solidFill>
          </w14:textFill>
        </w:rPr>
        <w:t>条款适</w:t>
      </w:r>
      <w:r>
        <w:rPr>
          <w:rFonts w:hint="eastAsia" w:ascii="宋体" w:hAnsi="宋体" w:eastAsia="宋体" w:cs="宋体"/>
          <w:color w:val="000000" w:themeColor="text1"/>
          <w:kern w:val="0"/>
          <w:sz w:val="24"/>
          <w:lang w:bidi="ar"/>
          <w14:textFill>
            <w14:solidFill>
              <w14:schemeClr w14:val="tx1"/>
            </w14:solidFill>
          </w14:textFill>
        </w:rPr>
        <w:t>用于基础设施项目</w:t>
      </w:r>
      <w:r>
        <w:rPr>
          <w:rFonts w:hint="eastAsia" w:ascii="宋体" w:hAnsi="宋体" w:eastAsia="宋体" w:cs="宋体"/>
          <w:color w:val="000000" w:themeColor="text1"/>
          <w:kern w:val="0"/>
          <w:sz w:val="24"/>
          <w:lang w:eastAsia="zh-CN" w:bidi="ar"/>
          <w14:textFill>
            <w14:solidFill>
              <w14:schemeClr w14:val="tx1"/>
            </w14:solidFill>
          </w14:textFill>
        </w:rPr>
        <w:t>施工建造</w:t>
      </w:r>
      <w:r>
        <w:rPr>
          <w:rFonts w:hint="eastAsia" w:ascii="宋体" w:hAnsi="宋体" w:eastAsia="宋体" w:cs="宋体"/>
          <w:color w:val="000000" w:themeColor="text1"/>
          <w:kern w:val="0"/>
          <w:sz w:val="24"/>
          <w:lang w:val="en-US" w:eastAsia="zh-CN" w:bidi="ar"/>
          <w14:textFill>
            <w14:solidFill>
              <w14:schemeClr w14:val="tx1"/>
            </w14:solidFill>
          </w14:textFill>
        </w:rPr>
        <w:t>阶段</w:t>
      </w:r>
      <w:r>
        <w:rPr>
          <w:rFonts w:hint="eastAsia" w:ascii="宋体" w:hAnsi="宋体" w:eastAsia="宋体" w:cs="宋体"/>
          <w:color w:val="000000" w:themeColor="text1"/>
          <w:kern w:val="0"/>
          <w:sz w:val="24"/>
          <w:lang w:eastAsia="zh-CN" w:bidi="ar"/>
          <w14:textFill>
            <w14:solidFill>
              <w14:schemeClr w14:val="tx1"/>
            </w14:solidFill>
          </w14:textFill>
        </w:rPr>
        <w:t>、</w:t>
      </w:r>
      <w:r>
        <w:rPr>
          <w:rFonts w:hint="eastAsia" w:ascii="宋体" w:hAnsi="宋体" w:eastAsia="宋体" w:cs="宋体"/>
          <w:color w:val="000000" w:themeColor="text1"/>
          <w:kern w:val="0"/>
          <w:sz w:val="24"/>
          <w:lang w:bidi="ar"/>
          <w14:textFill>
            <w14:solidFill>
              <w14:schemeClr w14:val="tx1"/>
            </w14:solidFill>
          </w14:textFill>
        </w:rPr>
        <w:t xml:space="preserve">运行阶段的评价。 </w:t>
      </w:r>
    </w:p>
    <w:p w14:paraId="0FBBB6D8">
      <w:pPr>
        <w:widowControl/>
        <w:snapToGrid w:val="0"/>
        <w:spacing w:line="360" w:lineRule="auto"/>
        <w:ind w:firstLine="480" w:firstLineChars="200"/>
        <w:jc w:val="left"/>
        <w:rPr>
          <w:rFonts w:hint="eastAsia" w:ascii="宋体" w:hAnsi="宋体" w:eastAsia="宋体" w:cs="宋体"/>
          <w:color w:val="000000" w:themeColor="text1"/>
          <w:kern w:val="0"/>
          <w:sz w:val="24"/>
          <w:lang w:bidi="ar"/>
          <w14:textFill>
            <w14:solidFill>
              <w14:schemeClr w14:val="tx1"/>
            </w14:solidFill>
          </w14:textFill>
        </w:rPr>
      </w:pPr>
      <w:r>
        <w:rPr>
          <w:rFonts w:hint="eastAsia" w:ascii="宋体" w:hAnsi="宋体" w:eastAsia="宋体" w:cs="宋体"/>
          <w:color w:val="000000" w:themeColor="text1"/>
          <w:kern w:val="0"/>
          <w:sz w:val="24"/>
          <w:lang w:bidi="ar"/>
          <w14:textFill>
            <w14:solidFill>
              <w14:schemeClr w14:val="tx1"/>
            </w14:solidFill>
          </w14:textFill>
        </w:rPr>
        <w:t xml:space="preserve">建立项目非传统水源收集处理系统，实施对场界内市政再生水、施工生产废水、雨水、土方开挖中的基坑降水等非传统水源的回收、处理再利用，实现水资源节约高效利用。 </w:t>
      </w:r>
    </w:p>
    <w:p w14:paraId="6C89C742">
      <w:pPr>
        <w:widowControl/>
        <w:snapToGrid w:val="0"/>
        <w:spacing w:line="360" w:lineRule="auto"/>
        <w:ind w:firstLine="480" w:firstLineChars="200"/>
        <w:jc w:val="left"/>
        <w:rPr>
          <w:rFonts w:ascii="宋体" w:hAnsi="宋体" w:eastAsia="宋体" w:cs="宋体"/>
          <w:color w:val="000000" w:themeColor="text1"/>
          <w:kern w:val="0"/>
          <w:sz w:val="24"/>
          <w:lang w:bidi="ar"/>
          <w14:textFill>
            <w14:solidFill>
              <w14:schemeClr w14:val="tx1"/>
            </w14:solidFill>
          </w14:textFill>
        </w:rPr>
      </w:pPr>
      <w:r>
        <w:rPr>
          <w:rFonts w:hint="eastAsia" w:ascii="宋体" w:hAnsi="宋体" w:eastAsia="宋体" w:cs="宋体"/>
          <w:color w:val="000000" w:themeColor="text1"/>
          <w:kern w:val="0"/>
          <w:sz w:val="24"/>
          <w:lang w:bidi="ar"/>
          <w14:textFill>
            <w14:solidFill>
              <w14:schemeClr w14:val="tx1"/>
            </w14:solidFill>
          </w14:textFill>
        </w:rPr>
        <w:t>考量内容：（1）非传统水</w:t>
      </w:r>
      <w:r>
        <w:rPr>
          <w:rFonts w:hint="eastAsia" w:ascii="宋体" w:hAnsi="宋体" w:eastAsia="宋体" w:cs="宋体"/>
          <w:color w:val="000000" w:themeColor="text1"/>
          <w:kern w:val="0"/>
          <w:sz w:val="24"/>
          <w:lang w:val="en-US" w:eastAsia="zh-CN" w:bidi="ar"/>
          <w14:textFill>
            <w14:solidFill>
              <w14:schemeClr w14:val="tx1"/>
            </w14:solidFill>
          </w14:textFill>
        </w:rPr>
        <w:t>源</w:t>
      </w:r>
      <w:r>
        <w:rPr>
          <w:rFonts w:hint="eastAsia" w:ascii="宋体" w:hAnsi="宋体" w:eastAsia="宋体" w:cs="宋体"/>
          <w:color w:val="000000" w:themeColor="text1"/>
          <w:kern w:val="0"/>
          <w:sz w:val="24"/>
          <w:lang w:bidi="ar"/>
          <w14:textFill>
            <w14:solidFill>
              <w14:schemeClr w14:val="tx1"/>
            </w14:solidFill>
          </w14:textFill>
        </w:rPr>
        <w:t>综合利用方案；（2）非传统水源</w:t>
      </w:r>
      <w:r>
        <w:rPr>
          <w:rFonts w:hint="eastAsia" w:ascii="宋体" w:hAnsi="宋体" w:eastAsia="宋体" w:cs="宋体"/>
          <w:color w:val="000000" w:themeColor="text1"/>
          <w:kern w:val="0"/>
          <w:sz w:val="24"/>
          <w:lang w:val="en-US" w:eastAsia="zh-CN" w:bidi="ar"/>
          <w14:textFill>
            <w14:solidFill>
              <w14:schemeClr w14:val="tx1"/>
            </w14:solidFill>
          </w14:textFill>
        </w:rPr>
        <w:t>用量及</w:t>
      </w:r>
      <w:r>
        <w:rPr>
          <w:rFonts w:hint="eastAsia" w:ascii="宋体" w:hAnsi="宋体" w:eastAsia="宋体" w:cs="宋体"/>
          <w:color w:val="000000" w:themeColor="text1"/>
          <w:kern w:val="0"/>
          <w:sz w:val="24"/>
          <w:lang w:bidi="ar"/>
          <w14:textFill>
            <w14:solidFill>
              <w14:schemeClr w14:val="tx1"/>
            </w14:solidFill>
          </w14:textFill>
        </w:rPr>
        <w:t>利用率；（3）水质检测报告；（4）</w:t>
      </w:r>
      <w:r>
        <w:rPr>
          <w:rFonts w:hint="eastAsia"/>
          <w:color w:val="000000" w:themeColor="text1"/>
          <w:sz w:val="24"/>
          <w14:textFill>
            <w14:solidFill>
              <w14:schemeClr w14:val="tx1"/>
            </w14:solidFill>
          </w14:textFill>
        </w:rPr>
        <w:t>非传统水分类利用台账</w:t>
      </w:r>
      <w:r>
        <w:rPr>
          <w:rFonts w:hint="eastAsia"/>
          <w:color w:val="000000" w:themeColor="text1"/>
          <w:sz w:val="24"/>
          <w:lang w:eastAsia="zh-CN"/>
          <w14:textFill>
            <w14:solidFill>
              <w14:schemeClr w14:val="tx1"/>
            </w14:solidFill>
          </w14:textFill>
        </w:rPr>
        <w:t>；</w:t>
      </w:r>
      <w:r>
        <w:rPr>
          <w:rFonts w:hint="eastAsia" w:ascii="宋体" w:hAnsi="宋体" w:eastAsia="宋体" w:cs="宋体"/>
          <w:color w:val="000000" w:themeColor="text1"/>
          <w:kern w:val="0"/>
          <w:sz w:val="24"/>
          <w:lang w:eastAsia="zh-CN" w:bidi="ar"/>
          <w14:textFill>
            <w14:solidFill>
              <w14:schemeClr w14:val="tx1"/>
            </w14:solidFill>
          </w14:textFill>
        </w:rPr>
        <w:t>（</w:t>
      </w:r>
      <w:r>
        <w:rPr>
          <w:rFonts w:hint="eastAsia" w:ascii="宋体" w:hAnsi="宋体" w:eastAsia="宋体" w:cs="宋体"/>
          <w:color w:val="000000" w:themeColor="text1"/>
          <w:kern w:val="0"/>
          <w:sz w:val="24"/>
          <w:lang w:val="en-US" w:eastAsia="zh-CN" w:bidi="ar"/>
          <w14:textFill>
            <w14:solidFill>
              <w14:schemeClr w14:val="tx1"/>
            </w14:solidFill>
          </w14:textFill>
        </w:rPr>
        <w:t>5）</w:t>
      </w:r>
      <w:r>
        <w:rPr>
          <w:rFonts w:hint="eastAsia" w:ascii="宋体" w:hAnsi="宋体" w:eastAsia="宋体" w:cs="宋体"/>
          <w:color w:val="000000" w:themeColor="text1"/>
          <w:kern w:val="0"/>
          <w:sz w:val="24"/>
          <w:lang w:bidi="ar"/>
          <w14:textFill>
            <w14:solidFill>
              <w14:schemeClr w14:val="tx1"/>
            </w14:solidFill>
          </w14:textFill>
        </w:rPr>
        <w:t>非传统水收集系统布置图。</w:t>
      </w:r>
    </w:p>
    <w:p w14:paraId="2DA1A3C6">
      <w:pPr>
        <w:snapToGrid w:val="0"/>
        <w:spacing w:line="360" w:lineRule="auto"/>
        <w:jc w:val="center"/>
        <w:outlineLvl w:val="2"/>
        <w:rPr>
          <w:rFonts w:ascii="仿宋" w:hAnsi="仿宋" w:eastAsia="仿宋" w:cs="仿宋"/>
          <w:color w:val="000000" w:themeColor="text1"/>
          <w:sz w:val="28"/>
          <w:szCs w:val="28"/>
          <w14:textFill>
            <w14:solidFill>
              <w14:schemeClr w14:val="tx1"/>
            </w14:solidFill>
          </w14:textFill>
        </w:rPr>
      </w:pPr>
      <w:bookmarkStart w:id="760" w:name="_Toc26991"/>
      <w:bookmarkStart w:id="761" w:name="_Toc27254"/>
      <w:bookmarkStart w:id="762" w:name="_Toc29844"/>
      <w:bookmarkStart w:id="763" w:name="_Toc18349"/>
      <w:bookmarkStart w:id="764" w:name="_Toc20144"/>
      <w:r>
        <w:rPr>
          <w:rFonts w:hint="eastAsia" w:ascii="仿宋" w:hAnsi="仿宋" w:eastAsia="仿宋" w:cs="仿宋"/>
          <w:color w:val="000000" w:themeColor="text1"/>
          <w:sz w:val="28"/>
          <w:szCs w:val="28"/>
          <w14:textFill>
            <w14:solidFill>
              <w14:schemeClr w14:val="tx1"/>
            </w14:solidFill>
          </w14:textFill>
        </w:rPr>
        <w:t>Ⅲ 材料及固废资源</w:t>
      </w:r>
      <w:bookmarkEnd w:id="760"/>
      <w:bookmarkEnd w:id="761"/>
      <w:bookmarkEnd w:id="762"/>
      <w:bookmarkEnd w:id="763"/>
      <w:bookmarkEnd w:id="764"/>
    </w:p>
    <w:p w14:paraId="7A2E1901">
      <w:pPr>
        <w:widowControl/>
        <w:snapToGrid w:val="0"/>
        <w:spacing w:line="360" w:lineRule="auto"/>
        <w:jc w:val="left"/>
        <w:rPr>
          <w:rFonts w:ascii="宋体" w:hAnsi="宋体" w:eastAsia="宋体" w:cs="宋体"/>
          <w:color w:val="000000" w:themeColor="text1"/>
          <w:kern w:val="0"/>
          <w:sz w:val="24"/>
          <w:lang w:bidi="ar"/>
          <w14:textFill>
            <w14:solidFill>
              <w14:schemeClr w14:val="tx1"/>
            </w14:solidFill>
          </w14:textFill>
        </w:rPr>
      </w:pPr>
      <w:r>
        <w:rPr>
          <w:rFonts w:hint="eastAsia" w:ascii="宋体" w:hAnsi="宋体" w:eastAsia="宋体" w:cs="宋体"/>
          <w:color w:val="000000" w:themeColor="text1"/>
          <w:kern w:val="0"/>
          <w:sz w:val="24"/>
          <w:lang w:bidi="ar"/>
          <w14:textFill>
            <w14:solidFill>
              <w14:schemeClr w14:val="tx1"/>
            </w14:solidFill>
          </w14:textFill>
        </w:rPr>
        <w:t>5.2.6本条</w:t>
      </w:r>
      <w:r>
        <w:rPr>
          <w:rFonts w:hint="eastAsia" w:ascii="宋体" w:hAnsi="宋体" w:eastAsia="宋体" w:cs="宋体"/>
          <w:color w:val="000000" w:themeColor="text1"/>
          <w:kern w:val="0"/>
          <w:sz w:val="24"/>
          <w:lang w:val="en-US" w:eastAsia="zh-CN" w:bidi="ar"/>
          <w14:textFill>
            <w14:solidFill>
              <w14:schemeClr w14:val="tx1"/>
            </w14:solidFill>
          </w14:textFill>
        </w:rPr>
        <w:t>款</w:t>
      </w:r>
      <w:r>
        <w:rPr>
          <w:rFonts w:hint="eastAsia" w:ascii="宋体" w:hAnsi="宋体" w:eastAsia="宋体" w:cs="宋体"/>
          <w:color w:val="000000" w:themeColor="text1"/>
          <w:kern w:val="0"/>
          <w:sz w:val="24"/>
          <w:lang w:bidi="ar"/>
          <w14:textFill>
            <w14:solidFill>
              <w14:schemeClr w14:val="tx1"/>
            </w14:solidFill>
          </w14:textFill>
        </w:rPr>
        <w:t>适用于基础设施项目的</w:t>
      </w:r>
      <w:r>
        <w:rPr>
          <w:rFonts w:hint="eastAsia" w:ascii="宋体" w:hAnsi="宋体" w:eastAsia="宋体" w:cs="宋体"/>
          <w:color w:val="000000" w:themeColor="text1"/>
          <w:kern w:val="0"/>
          <w:sz w:val="24"/>
          <w:lang w:val="en-US" w:eastAsia="zh-CN" w:bidi="ar"/>
          <w14:textFill>
            <w14:solidFill>
              <w14:schemeClr w14:val="tx1"/>
            </w14:solidFill>
          </w14:textFill>
        </w:rPr>
        <w:t>规划设计阶段、</w:t>
      </w:r>
      <w:r>
        <w:rPr>
          <w:rFonts w:hint="eastAsia" w:ascii="宋体" w:hAnsi="宋体" w:eastAsia="宋体" w:cs="宋体"/>
          <w:color w:val="000000" w:themeColor="text1"/>
          <w:kern w:val="0"/>
          <w:sz w:val="24"/>
          <w:lang w:eastAsia="zh-CN" w:bidi="ar"/>
          <w14:textFill>
            <w14:solidFill>
              <w14:schemeClr w14:val="tx1"/>
            </w14:solidFill>
          </w14:textFill>
        </w:rPr>
        <w:t>施工建造</w:t>
      </w:r>
      <w:r>
        <w:rPr>
          <w:rFonts w:hint="eastAsia" w:ascii="宋体" w:hAnsi="宋体" w:eastAsia="宋体" w:cs="宋体"/>
          <w:color w:val="000000" w:themeColor="text1"/>
          <w:kern w:val="0"/>
          <w:sz w:val="24"/>
          <w:lang w:val="en-US" w:eastAsia="zh-CN" w:bidi="ar"/>
          <w14:textFill>
            <w14:solidFill>
              <w14:schemeClr w14:val="tx1"/>
            </w14:solidFill>
          </w14:textFill>
        </w:rPr>
        <w:t>阶段</w:t>
      </w:r>
      <w:r>
        <w:rPr>
          <w:rFonts w:hint="eastAsia" w:ascii="宋体" w:hAnsi="宋体" w:eastAsia="宋体" w:cs="宋体"/>
          <w:color w:val="000000" w:themeColor="text1"/>
          <w:kern w:val="0"/>
          <w:sz w:val="24"/>
          <w:lang w:eastAsia="zh-CN" w:bidi="ar"/>
          <w14:textFill>
            <w14:solidFill>
              <w14:schemeClr w14:val="tx1"/>
            </w14:solidFill>
          </w14:textFill>
        </w:rPr>
        <w:t>、</w:t>
      </w:r>
      <w:r>
        <w:rPr>
          <w:rFonts w:hint="eastAsia" w:ascii="宋体" w:hAnsi="宋体" w:eastAsia="宋体" w:cs="宋体"/>
          <w:color w:val="000000" w:themeColor="text1"/>
          <w:kern w:val="0"/>
          <w:sz w:val="24"/>
          <w:lang w:bidi="ar"/>
          <w14:textFill>
            <w14:solidFill>
              <w14:schemeClr w14:val="tx1"/>
            </w14:solidFill>
          </w14:textFill>
        </w:rPr>
        <w:t xml:space="preserve">运行阶段的评价。 </w:t>
      </w:r>
    </w:p>
    <w:p w14:paraId="119EAACF">
      <w:pPr>
        <w:widowControl/>
        <w:snapToGrid w:val="0"/>
        <w:spacing w:line="360" w:lineRule="auto"/>
        <w:ind w:firstLine="480" w:firstLineChars="200"/>
        <w:jc w:val="left"/>
        <w:rPr>
          <w:rFonts w:hint="eastAsia" w:ascii="宋体" w:hAnsi="宋体" w:eastAsia="宋体" w:cs="宋体"/>
          <w:color w:val="000000" w:themeColor="text1"/>
          <w:kern w:val="0"/>
          <w:sz w:val="24"/>
          <w:lang w:eastAsia="zh-CN" w:bidi="ar"/>
          <w14:textFill>
            <w14:solidFill>
              <w14:schemeClr w14:val="tx1"/>
            </w14:solidFill>
          </w14:textFill>
        </w:rPr>
      </w:pPr>
      <w:r>
        <w:rPr>
          <w:rFonts w:hint="eastAsia" w:ascii="宋体" w:hAnsi="宋体" w:eastAsia="宋体" w:cs="宋体"/>
          <w:color w:val="000000" w:themeColor="text1"/>
          <w:kern w:val="0"/>
          <w:sz w:val="24"/>
          <w:lang w:eastAsia="zh-CN" w:bidi="ar"/>
          <w14:textFill>
            <w14:solidFill>
              <w14:schemeClr w14:val="tx1"/>
            </w14:solidFill>
          </w14:textFill>
        </w:rPr>
        <w:t>利废建材</w:t>
      </w:r>
      <w:r>
        <w:rPr>
          <w:rFonts w:hint="eastAsia" w:ascii="宋体" w:hAnsi="宋体" w:eastAsia="宋体" w:cs="宋体"/>
          <w:color w:val="000000" w:themeColor="text1"/>
          <w:kern w:val="0"/>
          <w:sz w:val="24"/>
          <w:lang w:val="en-US" w:eastAsia="zh-CN" w:bidi="ar"/>
          <w14:textFill>
            <w14:solidFill>
              <w14:schemeClr w14:val="tx1"/>
            </w14:solidFill>
          </w14:textFill>
        </w:rPr>
        <w:t>是</w:t>
      </w:r>
      <w:r>
        <w:rPr>
          <w:rFonts w:hint="eastAsia" w:ascii="宋体" w:hAnsi="宋体" w:eastAsia="宋体" w:cs="宋体"/>
          <w:color w:val="000000" w:themeColor="text1"/>
          <w:kern w:val="0"/>
          <w:sz w:val="24"/>
          <w:lang w:eastAsia="zh-CN" w:bidi="ar"/>
          <w14:textFill>
            <w14:solidFill>
              <w14:schemeClr w14:val="tx1"/>
            </w14:solidFill>
          </w14:textFill>
        </w:rPr>
        <w:t>在满足安全和使用性能的前提下，使用废弃物等作为原材料生产出的建筑材料和构配件。</w:t>
      </w:r>
    </w:p>
    <w:p w14:paraId="2023C4EE">
      <w:pPr>
        <w:widowControl/>
        <w:snapToGrid w:val="0"/>
        <w:spacing w:line="360" w:lineRule="auto"/>
        <w:ind w:firstLine="480" w:firstLineChars="200"/>
        <w:jc w:val="left"/>
        <w:rPr>
          <w:rFonts w:hint="eastAsia" w:ascii="宋体" w:hAnsi="宋体" w:eastAsia="宋体" w:cs="宋体"/>
          <w:color w:val="000000" w:themeColor="text1"/>
          <w:kern w:val="0"/>
          <w:sz w:val="24"/>
          <w:lang w:bidi="ar"/>
          <w14:textFill>
            <w14:solidFill>
              <w14:schemeClr w14:val="tx1"/>
            </w14:solidFill>
          </w14:textFill>
        </w:rPr>
      </w:pPr>
      <w:r>
        <w:rPr>
          <w:rFonts w:hint="eastAsia" w:ascii="宋体" w:hAnsi="宋体" w:eastAsia="宋体" w:cs="宋体"/>
          <w:color w:val="000000" w:themeColor="text1"/>
          <w:kern w:val="0"/>
          <w:sz w:val="24"/>
          <w:lang w:eastAsia="zh-CN" w:bidi="ar"/>
          <w14:textFill>
            <w14:solidFill>
              <w14:schemeClr w14:val="tx1"/>
            </w14:solidFill>
          </w14:textFill>
        </w:rPr>
        <w:t>规划设计</w:t>
      </w:r>
      <w:r>
        <w:rPr>
          <w:rFonts w:hint="eastAsia" w:ascii="宋体" w:hAnsi="宋体" w:eastAsia="宋体" w:cs="宋体"/>
          <w:color w:val="000000" w:themeColor="text1"/>
          <w:kern w:val="0"/>
          <w:sz w:val="24"/>
          <w:lang w:bidi="ar"/>
          <w14:textFill>
            <w14:solidFill>
              <w14:schemeClr w14:val="tx1"/>
            </w14:solidFill>
          </w14:textFill>
        </w:rPr>
        <w:t xml:space="preserve">阶段考虑气候变化、自然灾害等因素，选用耐用和适应性强的材料。例如：耐腐蚀性强的钢材、混凝土，柔性的防水材料等，以延长基础设施的使用寿命，并能更好地适应未来的环境变化。 </w:t>
      </w:r>
    </w:p>
    <w:p w14:paraId="4E8F18D9">
      <w:pPr>
        <w:keepNext w:val="0"/>
        <w:keepLines w:val="0"/>
        <w:widowControl/>
        <w:suppressLineNumbers w:val="0"/>
        <w:shd w:val="clear" w:fill="FFFFFF"/>
        <w:snapToGrid w:val="0"/>
        <w:spacing w:before="0" w:beforeAutospacing="0" w:after="180" w:afterAutospacing="0" w:line="360" w:lineRule="auto"/>
        <w:ind w:left="0" w:right="0" w:firstLine="480" w:firstLineChars="200"/>
        <w:rPr>
          <w:rFonts w:hint="eastAsia" w:ascii="宋体" w:hAnsi="宋体" w:eastAsia="宋体" w:cs="宋体"/>
          <w:i w:val="0"/>
          <w:iCs w:val="0"/>
          <w:caps w:val="0"/>
          <w:color w:val="000000" w:themeColor="text1"/>
          <w:spacing w:val="0"/>
          <w:kern w:val="0"/>
          <w:sz w:val="24"/>
          <w:szCs w:val="24"/>
          <w:shd w:val="clear" w:fill="FFFFFF"/>
          <w:lang w:bidi="ar"/>
          <w14:textFill>
            <w14:solidFill>
              <w14:schemeClr w14:val="tx1"/>
            </w14:solidFill>
          </w14:textFill>
        </w:rPr>
      </w:pPr>
      <w:r>
        <w:rPr>
          <w:rFonts w:hint="eastAsia" w:ascii="宋体" w:hAnsi="宋体" w:eastAsia="宋体" w:cs="宋体"/>
          <w:i w:val="0"/>
          <w:iCs w:val="0"/>
          <w:caps w:val="0"/>
          <w:color w:val="000000" w:themeColor="text1"/>
          <w:spacing w:val="0"/>
          <w:kern w:val="0"/>
          <w:sz w:val="24"/>
          <w:szCs w:val="24"/>
          <w:shd w:val="clear" w:fill="FFFFFF"/>
          <w:lang w:bidi="ar"/>
          <w14:textFill>
            <w14:solidFill>
              <w14:schemeClr w14:val="tx1"/>
            </w14:solidFill>
          </w14:textFill>
        </w:rPr>
        <w:t>材料损耗率的计算公式如下：</w:t>
      </w:r>
    </w:p>
    <w:p w14:paraId="031F7DEA">
      <w:pPr>
        <w:keepNext w:val="0"/>
        <w:keepLines w:val="0"/>
        <w:widowControl/>
        <w:numPr>
          <w:ilvl w:val="0"/>
          <w:numId w:val="0"/>
        </w:numPr>
        <w:suppressLineNumbers w:val="0"/>
        <w:shd w:val="clear" w:fill="FFFFFF"/>
        <w:snapToGrid w:val="0"/>
        <w:spacing w:before="0" w:beforeAutospacing="0" w:after="0" w:afterAutospacing="0" w:line="360" w:lineRule="auto"/>
        <w:ind w:left="0" w:right="0" w:firstLine="480" w:firstLineChars="200"/>
        <w:rPr>
          <w:rFonts w:hint="eastAsia" w:ascii="宋体" w:hAnsi="宋体" w:eastAsia="宋体" w:cs="宋体"/>
          <w:i w:val="0"/>
          <w:iCs w:val="0"/>
          <w:caps w:val="0"/>
          <w:color w:val="000000" w:themeColor="text1"/>
          <w:spacing w:val="0"/>
          <w:kern w:val="0"/>
          <w:sz w:val="24"/>
          <w:szCs w:val="24"/>
          <w:shd w:val="clear" w:fill="FFFFFF"/>
          <w:lang w:bidi="ar"/>
          <w14:textFill>
            <w14:solidFill>
              <w14:schemeClr w14:val="tx1"/>
            </w14:solidFill>
          </w14:textFill>
        </w:rPr>
      </w:pPr>
      <w:r>
        <w:rPr>
          <w:rFonts w:hint="eastAsia" w:hAnsi="Cambria Math" w:cs="宋体"/>
          <w:b w:val="0"/>
          <w:i w:val="0"/>
          <w:caps w:val="0"/>
          <w:color w:val="000000" w:themeColor="text1"/>
          <w:spacing w:val="0"/>
          <w:kern w:val="0"/>
          <w:sz w:val="24"/>
          <w:szCs w:val="24"/>
          <w:highlight w:val="none"/>
          <w:shd w:val="clear" w:fill="FFFFFF"/>
          <w:lang w:val="en-US" w:eastAsia="zh-CN" w:bidi="ar"/>
          <w14:textFill>
            <w14:solidFill>
              <w14:schemeClr w14:val="tx1"/>
            </w14:solidFill>
          </w14:textFill>
        </w:rPr>
        <w:t>材料损耗</w:t>
      </w:r>
      <m:oMath>
        <m:r>
          <m:rPr>
            <m:sty m:val="p"/>
          </m:rPr>
          <w:rPr>
            <w:rFonts w:hint="eastAsia" w:ascii="Cambria Math" w:hAnsi="Cambria Math" w:cs="宋体"/>
            <w:caps w:val="0"/>
            <w:color w:val="000000" w:themeColor="text1"/>
            <w:spacing w:val="0"/>
            <w:kern w:val="0"/>
            <w:sz w:val="24"/>
            <w:szCs w:val="24"/>
            <w:highlight w:val="none"/>
            <w:shd w:val="clear" w:fill="FFFFFF"/>
            <w:lang w:val="en-US" w:eastAsia="zh-CN" w:bidi="ar"/>
            <w14:textFill>
              <w14:solidFill>
                <w14:schemeClr w14:val="tx1"/>
              </w14:solidFill>
            </w14:textFill>
          </w:rPr>
          <m:t>率（</m:t>
        </m:r>
        <m:r>
          <m:rPr>
            <m:sty m:val="p"/>
          </m:rPr>
          <w:rPr>
            <w:rFonts w:hint="default" w:ascii="Cambria Math" w:hAnsi="Cambria Math" w:cs="宋体"/>
            <w:caps w:val="0"/>
            <w:color w:val="000000" w:themeColor="text1"/>
            <w:spacing w:val="0"/>
            <w:kern w:val="0"/>
            <w:sz w:val="24"/>
            <w:szCs w:val="24"/>
            <w:highlight w:val="none"/>
            <w:shd w:val="clear" w:fill="FFFFFF"/>
            <w:lang w:val="en-US" w:eastAsia="zh-CN" w:bidi="ar"/>
            <w14:textFill>
              <w14:solidFill>
                <w14:schemeClr w14:val="tx1"/>
              </w14:solidFill>
            </w14:textFill>
          </w:rPr>
          <m:t>%</m:t>
        </m:r>
        <m:r>
          <m:rPr>
            <m:sty m:val="p"/>
          </m:rPr>
          <w:rPr>
            <w:rFonts w:hint="eastAsia" w:ascii="Cambria Math" w:hAnsi="Cambria Math" w:cs="宋体"/>
            <w:caps w:val="0"/>
            <w:color w:val="000000" w:themeColor="text1"/>
            <w:spacing w:val="0"/>
            <w:kern w:val="0"/>
            <w:sz w:val="24"/>
            <w:szCs w:val="24"/>
            <w:highlight w:val="none"/>
            <w:shd w:val="clear" w:fill="FFFFFF"/>
            <w:lang w:val="en-US" w:eastAsia="zh-CN" w:bidi="ar"/>
            <w14:textFill>
              <w14:solidFill>
                <w14:schemeClr w14:val="tx1"/>
              </w14:solidFill>
            </w14:textFill>
          </w:rPr>
          <m:t>）</m:t>
        </m:r>
        <m:r>
          <m:rPr>
            <m:sty m:val="p"/>
          </m:rPr>
          <w:rPr>
            <w:rFonts w:ascii="Cambria Math" w:hAnsi="Cambria Math" w:cs="宋体"/>
            <w:caps w:val="0"/>
            <w:color w:val="000000" w:themeColor="text1"/>
            <w:spacing w:val="0"/>
            <w:kern w:val="0"/>
            <w:sz w:val="24"/>
            <w:szCs w:val="24"/>
            <w:highlight w:val="none"/>
            <w:shd w:val="clear" w:fill="FFFFFF"/>
            <w:lang w:bidi="ar"/>
            <w14:textFill>
              <w14:solidFill>
                <w14:schemeClr w14:val="tx1"/>
              </w14:solidFill>
            </w14:textFill>
          </w:rPr>
          <m:t>=</m:t>
        </m:r>
        <m:r>
          <m:rPr>
            <m:sty m:val="p"/>
          </m:rPr>
          <w:rPr>
            <w:rFonts w:hint="eastAsia" w:ascii="Cambria Math" w:hAnsi="Cambria Math" w:cs="宋体"/>
            <w:caps w:val="0"/>
            <w:color w:val="000000" w:themeColor="text1"/>
            <w:spacing w:val="0"/>
            <w:kern w:val="0"/>
            <w:sz w:val="24"/>
            <w:szCs w:val="24"/>
            <w:highlight w:val="none"/>
            <w:shd w:val="clear" w:fill="FFFFFF"/>
            <w:lang w:eastAsia="zh-CN" w:bidi="ar"/>
            <w14:textFill>
              <w14:solidFill>
                <w14:schemeClr w14:val="tx1"/>
              </w14:solidFill>
            </w14:textFill>
          </w:rPr>
          <m:t>（</m:t>
        </m:r>
        <m:f>
          <m:fPr>
            <m:ctrlPr>
              <w:rPr>
                <w:rFonts w:ascii="Cambria Math" w:hAnsi="Cambria Math" w:cs="宋体"/>
                <w:i w:val="0"/>
                <w:iCs/>
                <w:caps w:val="0"/>
                <w:color w:val="000000" w:themeColor="text1"/>
                <w:spacing w:val="0"/>
                <w:kern w:val="0"/>
                <w:sz w:val="24"/>
                <w:szCs w:val="24"/>
                <w:highlight w:val="none"/>
                <w:shd w:val="clear" w:fill="FFFFFF"/>
                <w:lang w:bidi="ar"/>
                <w14:textFill>
                  <w14:solidFill>
                    <w14:schemeClr w14:val="tx1"/>
                  </w14:solidFill>
                </w14:textFill>
              </w:rPr>
            </m:ctrlPr>
          </m:fPr>
          <m:num>
            <m:r>
              <m:rPr>
                <m:sty m:val="p"/>
              </m:rPr>
              <w:rPr>
                <w:rFonts w:hint="eastAsia" w:ascii="Cambria Math" w:hAnsi="Cambria Math" w:cs="宋体"/>
                <w:caps w:val="0"/>
                <w:color w:val="000000" w:themeColor="text1"/>
                <w:spacing w:val="0"/>
                <w:kern w:val="0"/>
                <w:sz w:val="24"/>
                <w:szCs w:val="24"/>
                <w:highlight w:val="none"/>
                <w:shd w:val="clear" w:fill="FFFFFF"/>
                <w:lang w:val="en-US" w:eastAsia="zh-CN" w:bidi="ar"/>
                <w14:textFill>
                  <w14:solidFill>
                    <w14:schemeClr w14:val="tx1"/>
                  </w14:solidFill>
                </w14:textFill>
              </w:rPr>
              <m:t>材料总投入量</m:t>
            </m:r>
            <m:r>
              <m:rPr>
                <m:sty m:val="p"/>
              </m:rPr>
              <w:rPr>
                <w:rFonts w:hint="default" w:ascii="Cambria Math" w:hAnsi="Cambria Math" w:cs="宋体"/>
                <w:caps w:val="0"/>
                <w:color w:val="000000" w:themeColor="text1"/>
                <w:spacing w:val="0"/>
                <w:kern w:val="0"/>
                <w:sz w:val="24"/>
                <w:szCs w:val="24"/>
                <w:highlight w:val="none"/>
                <w:shd w:val="clear" w:fill="FFFFFF"/>
                <w:lang w:val="en-US" w:eastAsia="zh-CN" w:bidi="ar"/>
                <w14:textFill>
                  <w14:solidFill>
                    <w14:schemeClr w14:val="tx1"/>
                  </w14:solidFill>
                </w14:textFill>
              </w:rPr>
              <m:t>−</m:t>
            </m:r>
            <m:r>
              <m:rPr>
                <m:sty m:val="p"/>
              </m:rPr>
              <w:rPr>
                <w:rFonts w:hint="eastAsia" w:ascii="Cambria Math" w:hAnsi="Cambria Math" w:cs="宋体"/>
                <w:caps w:val="0"/>
                <w:color w:val="000000" w:themeColor="text1"/>
                <w:spacing w:val="0"/>
                <w:kern w:val="0"/>
                <w:sz w:val="24"/>
                <w:szCs w:val="24"/>
                <w:highlight w:val="none"/>
                <w:shd w:val="clear" w:fill="FFFFFF"/>
                <w:lang w:val="en-US" w:eastAsia="zh-CN" w:bidi="ar"/>
                <w14:textFill>
                  <w14:solidFill>
                    <w14:schemeClr w14:val="tx1"/>
                  </w14:solidFill>
                </w14:textFill>
              </w:rPr>
              <m:t>成品产出量</m:t>
            </m:r>
            <m:ctrlPr>
              <w:rPr>
                <w:rFonts w:ascii="Cambria Math" w:hAnsi="Cambria Math" w:cs="宋体"/>
                <w:i w:val="0"/>
                <w:iCs/>
                <w:caps w:val="0"/>
                <w:color w:val="000000" w:themeColor="text1"/>
                <w:spacing w:val="0"/>
                <w:kern w:val="0"/>
                <w:sz w:val="24"/>
                <w:szCs w:val="24"/>
                <w:highlight w:val="none"/>
                <w:shd w:val="clear" w:fill="FFFFFF"/>
                <w:lang w:bidi="ar"/>
                <w14:textFill>
                  <w14:solidFill>
                    <w14:schemeClr w14:val="tx1"/>
                  </w14:solidFill>
                </w14:textFill>
              </w:rPr>
            </m:ctrlPr>
          </m:num>
          <m:den>
            <m:r>
              <m:rPr>
                <m:sty m:val="p"/>
              </m:rPr>
              <w:rPr>
                <w:rFonts w:hint="eastAsia" w:ascii="Cambria Math" w:hAnsi="Cambria Math" w:cs="宋体"/>
                <w:caps w:val="0"/>
                <w:color w:val="000000" w:themeColor="text1"/>
                <w:spacing w:val="0"/>
                <w:kern w:val="0"/>
                <w:sz w:val="24"/>
                <w:szCs w:val="24"/>
                <w:highlight w:val="none"/>
                <w:shd w:val="clear" w:fill="FFFFFF"/>
                <w:lang w:val="en-US" w:eastAsia="zh-CN" w:bidi="ar"/>
                <w14:textFill>
                  <w14:solidFill>
                    <w14:schemeClr w14:val="tx1"/>
                  </w14:solidFill>
                </w14:textFill>
              </w:rPr>
              <m:t>材料总投入量</m:t>
            </m:r>
            <m:ctrlPr>
              <w:rPr>
                <w:rFonts w:ascii="Cambria Math" w:hAnsi="Cambria Math" w:cs="宋体"/>
                <w:i w:val="0"/>
                <w:iCs/>
                <w:caps w:val="0"/>
                <w:color w:val="000000" w:themeColor="text1"/>
                <w:spacing w:val="0"/>
                <w:kern w:val="0"/>
                <w:sz w:val="24"/>
                <w:szCs w:val="24"/>
                <w:highlight w:val="none"/>
                <w:shd w:val="clear" w:fill="FFFFFF"/>
                <w:lang w:bidi="ar"/>
                <w14:textFill>
                  <w14:solidFill>
                    <w14:schemeClr w14:val="tx1"/>
                  </w14:solidFill>
                </w14:textFill>
              </w:rPr>
            </m:ctrlPr>
          </m:den>
        </m:f>
        <m:r>
          <m:rPr>
            <m:sty m:val="p"/>
          </m:rPr>
          <w:rPr>
            <w:rFonts w:hint="eastAsia" w:ascii="Cambria Math" w:hAnsi="Cambria Math" w:cs="宋体"/>
            <w:caps w:val="0"/>
            <w:color w:val="000000" w:themeColor="text1"/>
            <w:spacing w:val="0"/>
            <w:kern w:val="0"/>
            <w:sz w:val="24"/>
            <w:szCs w:val="24"/>
            <w:highlight w:val="none"/>
            <w:shd w:val="clear" w:fill="FFFFFF"/>
            <w:lang w:eastAsia="zh-CN" w:bidi="ar"/>
            <w14:textFill>
              <w14:solidFill>
                <w14:schemeClr w14:val="tx1"/>
              </w14:solidFill>
            </w14:textFill>
          </w:rPr>
          <m:t>）</m:t>
        </m:r>
        <m:r>
          <m:rPr>
            <m:sty m:val="p"/>
          </m:rPr>
          <w:rPr>
            <w:rFonts w:hint="eastAsia" w:ascii="Cambria Math" w:hAnsi="Cambria Math" w:cs="宋体"/>
            <w:caps w:val="0"/>
            <w:color w:val="000000" w:themeColor="text1"/>
            <w:spacing w:val="0"/>
            <w:kern w:val="0"/>
            <w:sz w:val="24"/>
            <w:szCs w:val="24"/>
            <w:highlight w:val="none"/>
            <w:shd w:val="clear" w:fill="FFFFFF"/>
            <w:lang w:val="en-US" w:eastAsia="zh-CN" w:bidi="ar"/>
            <w14:textFill>
              <w14:solidFill>
                <w14:schemeClr w14:val="tx1"/>
              </w14:solidFill>
            </w14:textFill>
          </w:rPr>
          <m:t>×</m:t>
        </m:r>
        <m:r>
          <m:rPr>
            <m:sty m:val="p"/>
          </m:rPr>
          <w:rPr>
            <w:rFonts w:hint="default" w:ascii="Cambria Math" w:hAnsi="Cambria Math" w:cs="宋体"/>
            <w:caps w:val="0"/>
            <w:color w:val="000000" w:themeColor="text1"/>
            <w:spacing w:val="0"/>
            <w:kern w:val="0"/>
            <w:sz w:val="24"/>
            <w:szCs w:val="24"/>
            <w:highlight w:val="none"/>
            <w:shd w:val="clear" w:fill="FFFFFF"/>
            <w:lang w:val="en-US" w:eastAsia="zh-CN" w:bidi="ar"/>
            <w14:textFill>
              <w14:solidFill>
                <w14:schemeClr w14:val="tx1"/>
              </w14:solidFill>
            </w14:textFill>
          </w:rPr>
          <m:t>100%</m:t>
        </m:r>
      </m:oMath>
    </w:p>
    <w:p w14:paraId="27946A59">
      <w:pPr>
        <w:keepNext w:val="0"/>
        <w:keepLines w:val="0"/>
        <w:widowControl/>
        <w:suppressLineNumbers w:val="0"/>
        <w:shd w:val="clear" w:fill="FFFFFF"/>
        <w:snapToGrid w:val="0"/>
        <w:spacing w:before="0" w:beforeAutospacing="0" w:after="180" w:afterAutospacing="0" w:line="360" w:lineRule="auto"/>
        <w:ind w:left="0" w:right="0" w:firstLine="0" w:firstLineChars="0"/>
        <w:rPr>
          <w:rFonts w:hint="eastAsia" w:ascii="宋体" w:hAnsi="宋体" w:eastAsia="宋体" w:cs="宋体"/>
          <w:i w:val="0"/>
          <w:iCs w:val="0"/>
          <w:caps w:val="0"/>
          <w:color w:val="000000" w:themeColor="text1"/>
          <w:spacing w:val="0"/>
          <w:kern w:val="0"/>
          <w:sz w:val="24"/>
          <w:szCs w:val="24"/>
          <w:lang w:bidi="ar"/>
          <w14:textFill>
            <w14:solidFill>
              <w14:schemeClr w14:val="tx1"/>
            </w14:solidFill>
          </w14:textFill>
        </w:rPr>
      </w:pPr>
      <w:r>
        <w:rPr>
          <w:rFonts w:hint="eastAsia" w:ascii="宋体" w:hAnsi="宋体" w:eastAsia="宋体" w:cs="宋体"/>
          <w:i w:val="0"/>
          <w:iCs w:val="0"/>
          <w:caps w:val="0"/>
          <w:color w:val="000000" w:themeColor="text1"/>
          <w:spacing w:val="0"/>
          <w:kern w:val="0"/>
          <w:sz w:val="24"/>
          <w:szCs w:val="24"/>
          <w:shd w:val="clear" w:fill="FFFFFF"/>
          <w:lang w:bidi="ar"/>
          <w14:textFill>
            <w14:solidFill>
              <w14:schemeClr w14:val="tx1"/>
            </w14:solidFill>
          </w14:textFill>
        </w:rPr>
        <w:t>其中：</w:t>
      </w:r>
    </w:p>
    <w:p w14:paraId="1360E604">
      <w:pPr>
        <w:keepNext w:val="0"/>
        <w:keepLines w:val="0"/>
        <w:widowControl/>
        <w:numPr>
          <w:ilvl w:val="-1"/>
          <w:numId w:val="0"/>
        </w:numPr>
        <w:suppressLineNumbers w:val="0"/>
        <w:snapToGrid w:val="0"/>
        <w:spacing w:before="0" w:beforeAutospacing="0" w:after="0" w:afterAutospacing="0" w:line="360" w:lineRule="auto"/>
        <w:ind w:left="0" w:firstLine="480" w:firstLineChars="200"/>
        <w:jc w:val="left"/>
        <w:rPr>
          <w:rFonts w:hint="eastAsia" w:ascii="宋体" w:hAnsi="宋体" w:eastAsia="宋体" w:cs="宋体"/>
          <w:color w:val="000000" w:themeColor="text1"/>
          <w:spacing w:val="0"/>
          <w:kern w:val="0"/>
          <w:sz w:val="24"/>
          <w:lang w:bidi="ar"/>
          <w14:textFill>
            <w14:solidFill>
              <w14:schemeClr w14:val="tx1"/>
            </w14:solidFill>
          </w14:textFill>
        </w:rPr>
      </w:pPr>
      <w:r>
        <w:rPr>
          <w:rFonts w:hint="eastAsia" w:ascii="宋体" w:hAnsi="宋体" w:eastAsia="宋体" w:cs="宋体"/>
          <w:i w:val="0"/>
          <w:iCs w:val="0"/>
          <w:caps w:val="0"/>
          <w:color w:val="000000" w:themeColor="text1"/>
          <w:spacing w:val="0"/>
          <w:kern w:val="0"/>
          <w:sz w:val="24"/>
          <w:szCs w:val="24"/>
          <w:shd w:val="clear" w:fill="auto"/>
          <w:lang w:bidi="ar"/>
          <w14:textFill>
            <w14:solidFill>
              <w14:schemeClr w14:val="tx1"/>
            </w14:solidFill>
          </w14:textFill>
        </w:rPr>
        <w:t>材料总投入量：</w:t>
      </w:r>
      <w:r>
        <w:rPr>
          <w:rFonts w:hint="eastAsia" w:ascii="宋体" w:hAnsi="宋体" w:eastAsia="宋体" w:cs="宋体"/>
          <w:i w:val="0"/>
          <w:iCs w:val="0"/>
          <w:caps w:val="0"/>
          <w:color w:val="000000" w:themeColor="text1"/>
          <w:spacing w:val="0"/>
          <w:kern w:val="0"/>
          <w:sz w:val="24"/>
          <w:szCs w:val="24"/>
          <w:shd w:val="clear" w:fill="auto"/>
          <w:lang w:val="en-US" w:eastAsia="zh-CN" w:bidi="ar"/>
          <w14:textFill>
            <w14:solidFill>
              <w14:schemeClr w14:val="tx1"/>
            </w14:solidFill>
          </w14:textFill>
        </w:rPr>
        <w:t>施工建造</w:t>
      </w:r>
      <w:r>
        <w:rPr>
          <w:rFonts w:hint="eastAsia" w:ascii="宋体" w:hAnsi="宋体" w:eastAsia="宋体" w:cs="宋体"/>
          <w:i w:val="0"/>
          <w:iCs w:val="0"/>
          <w:caps w:val="0"/>
          <w:color w:val="000000" w:themeColor="text1"/>
          <w:spacing w:val="0"/>
          <w:kern w:val="0"/>
          <w:sz w:val="24"/>
          <w:szCs w:val="24"/>
          <w:shd w:val="clear" w:fill="auto"/>
          <w:lang w:bidi="ar"/>
          <w14:textFill>
            <w14:solidFill>
              <w14:schemeClr w14:val="tx1"/>
            </w14:solidFill>
          </w14:textFill>
        </w:rPr>
        <w:t>中投入的材料总量，单位可以是吨、立方米、千克等。</w:t>
      </w:r>
    </w:p>
    <w:p w14:paraId="1B546FE1">
      <w:pPr>
        <w:keepNext w:val="0"/>
        <w:keepLines w:val="0"/>
        <w:widowControl/>
        <w:numPr>
          <w:ilvl w:val="-1"/>
          <w:numId w:val="0"/>
        </w:numPr>
        <w:suppressLineNumbers w:val="0"/>
        <w:snapToGrid w:val="0"/>
        <w:spacing w:before="0" w:beforeAutospacing="0" w:after="0" w:afterAutospacing="0" w:line="360" w:lineRule="auto"/>
        <w:ind w:left="0" w:firstLine="480" w:firstLineChars="200"/>
        <w:jc w:val="left"/>
        <w:rPr>
          <w:rFonts w:hint="eastAsia" w:ascii="宋体" w:hAnsi="宋体" w:eastAsia="宋体" w:cs="宋体"/>
          <w:color w:val="000000" w:themeColor="text1"/>
          <w:spacing w:val="0"/>
          <w:kern w:val="0"/>
          <w:sz w:val="24"/>
          <w:lang w:bidi="ar"/>
          <w14:textFill>
            <w14:solidFill>
              <w14:schemeClr w14:val="tx1"/>
            </w14:solidFill>
          </w14:textFill>
        </w:rPr>
      </w:pPr>
      <w:r>
        <w:rPr>
          <w:rFonts w:hint="eastAsia" w:ascii="宋体" w:hAnsi="宋体" w:eastAsia="宋体" w:cs="宋体"/>
          <w:i w:val="0"/>
          <w:iCs w:val="0"/>
          <w:caps w:val="0"/>
          <w:color w:val="000000" w:themeColor="text1"/>
          <w:spacing w:val="0"/>
          <w:kern w:val="0"/>
          <w:sz w:val="24"/>
          <w:szCs w:val="24"/>
          <w:shd w:val="clear" w:fill="auto"/>
          <w:lang w:bidi="ar"/>
          <w14:textFill>
            <w14:solidFill>
              <w14:schemeClr w14:val="tx1"/>
            </w14:solidFill>
          </w14:textFill>
        </w:rPr>
        <w:t>成品产出量：生</w:t>
      </w:r>
      <w:r>
        <w:rPr>
          <w:rFonts w:hint="eastAsia" w:ascii="宋体" w:hAnsi="宋体" w:eastAsia="宋体" w:cs="宋体"/>
          <w:i w:val="0"/>
          <w:iCs w:val="0"/>
          <w:caps w:val="0"/>
          <w:color w:val="000000" w:themeColor="text1"/>
          <w:spacing w:val="0"/>
          <w:kern w:val="0"/>
          <w:sz w:val="24"/>
          <w:szCs w:val="24"/>
          <w:shd w:val="clear" w:fill="auto"/>
          <w:lang w:val="en-US" w:eastAsia="zh-CN" w:bidi="ar"/>
          <w14:textFill>
            <w14:solidFill>
              <w14:schemeClr w14:val="tx1"/>
            </w14:solidFill>
          </w14:textFill>
        </w:rPr>
        <w:t>施工建造</w:t>
      </w:r>
      <w:r>
        <w:rPr>
          <w:rFonts w:hint="eastAsia" w:ascii="宋体" w:hAnsi="宋体" w:eastAsia="宋体" w:cs="宋体"/>
          <w:i w:val="0"/>
          <w:iCs w:val="0"/>
          <w:caps w:val="0"/>
          <w:color w:val="000000" w:themeColor="text1"/>
          <w:spacing w:val="0"/>
          <w:kern w:val="0"/>
          <w:sz w:val="24"/>
          <w:szCs w:val="24"/>
          <w:shd w:val="clear" w:fill="auto"/>
          <w:lang w:bidi="ar"/>
          <w14:textFill>
            <w14:solidFill>
              <w14:schemeClr w14:val="tx1"/>
            </w14:solidFill>
          </w14:textFill>
        </w:rPr>
        <w:t>中产出的成品量，单位应与材料总投入量一致。</w:t>
      </w:r>
    </w:p>
    <w:p w14:paraId="454F6C19">
      <w:pPr>
        <w:widowControl/>
        <w:snapToGrid w:val="0"/>
        <w:spacing w:line="360" w:lineRule="auto"/>
        <w:ind w:firstLine="480" w:firstLineChars="200"/>
        <w:jc w:val="left"/>
        <w:rPr>
          <w:rFonts w:hint="eastAsia" w:ascii="宋体" w:hAnsi="宋体" w:eastAsia="宋体" w:cs="宋体"/>
          <w:color w:val="000000" w:themeColor="text1"/>
          <w:kern w:val="0"/>
          <w:sz w:val="24"/>
          <w:lang w:bidi="ar"/>
          <w14:textFill>
            <w14:solidFill>
              <w14:schemeClr w14:val="tx1"/>
            </w14:solidFill>
          </w14:textFill>
        </w:rPr>
      </w:pPr>
      <w:r>
        <w:rPr>
          <w:rFonts w:hint="eastAsia" w:ascii="宋体" w:hAnsi="宋体" w:eastAsia="宋体" w:cs="宋体"/>
          <w:color w:val="000000" w:themeColor="text1"/>
          <w:kern w:val="0"/>
          <w:sz w:val="24"/>
          <w:lang w:bidi="ar"/>
          <w14:textFill>
            <w14:solidFill>
              <w14:schemeClr w14:val="tx1"/>
            </w14:solidFill>
          </w14:textFill>
        </w:rPr>
        <w:t>考量内容：（1）材料损耗率；（2）</w:t>
      </w:r>
      <w:r>
        <w:rPr>
          <w:rFonts w:hint="eastAsia" w:ascii="宋体" w:hAnsi="宋体" w:eastAsia="宋体" w:cs="宋体"/>
          <w:color w:val="000000" w:themeColor="text1"/>
          <w:kern w:val="0"/>
          <w:sz w:val="24"/>
          <w:lang w:val="en-US" w:eastAsia="zh-CN" w:bidi="ar"/>
          <w14:textFill>
            <w14:solidFill>
              <w14:schemeClr w14:val="tx1"/>
            </w14:solidFill>
          </w14:textFill>
        </w:rPr>
        <w:t>利废建材使用率</w:t>
      </w:r>
      <w:r>
        <w:rPr>
          <w:rFonts w:hint="eastAsia" w:ascii="宋体" w:hAnsi="宋体" w:eastAsia="宋体" w:cs="宋体"/>
          <w:color w:val="000000" w:themeColor="text1"/>
          <w:kern w:val="0"/>
          <w:sz w:val="24"/>
          <w:lang w:bidi="ar"/>
          <w14:textFill>
            <w14:solidFill>
              <w14:schemeClr w14:val="tx1"/>
            </w14:solidFill>
          </w14:textFill>
        </w:rPr>
        <w:t>；（3）</w:t>
      </w:r>
      <w:r>
        <w:rPr>
          <w:rFonts w:hint="eastAsia" w:ascii="宋体" w:hAnsi="宋体" w:eastAsia="宋体" w:cs="宋体"/>
          <w:color w:val="000000" w:themeColor="text1"/>
          <w:kern w:val="0"/>
          <w:sz w:val="24"/>
          <w:lang w:eastAsia="zh-CN" w:bidi="ar"/>
          <w14:textFill>
            <w14:solidFill>
              <w14:schemeClr w14:val="tx1"/>
            </w14:solidFill>
          </w14:textFill>
        </w:rPr>
        <w:t>规划设计</w:t>
      </w:r>
      <w:r>
        <w:rPr>
          <w:rFonts w:hint="eastAsia" w:ascii="宋体" w:hAnsi="宋体" w:eastAsia="宋体" w:cs="宋体"/>
          <w:color w:val="000000" w:themeColor="text1"/>
          <w:kern w:val="0"/>
          <w:sz w:val="24"/>
          <w:lang w:bidi="ar"/>
          <w14:textFill>
            <w14:solidFill>
              <w14:schemeClr w14:val="tx1"/>
            </w14:solidFill>
          </w14:textFill>
        </w:rPr>
        <w:t>阶段采取的绿色建材选取优化策略；（4）</w:t>
      </w:r>
      <w:r>
        <w:rPr>
          <w:rFonts w:hint="eastAsia" w:ascii="宋体" w:hAnsi="宋体" w:eastAsia="宋体" w:cs="宋体"/>
          <w:color w:val="000000" w:themeColor="text1"/>
          <w:kern w:val="0"/>
          <w:sz w:val="24"/>
          <w:lang w:eastAsia="zh-CN" w:bidi="ar"/>
          <w14:textFill>
            <w14:solidFill>
              <w14:schemeClr w14:val="tx1"/>
            </w14:solidFill>
          </w14:textFill>
        </w:rPr>
        <w:t>施工建造阶段</w:t>
      </w:r>
      <w:r>
        <w:rPr>
          <w:rFonts w:hint="eastAsia" w:ascii="宋体" w:hAnsi="宋体" w:eastAsia="宋体" w:cs="宋体"/>
          <w:color w:val="000000" w:themeColor="text1"/>
          <w:kern w:val="0"/>
          <w:sz w:val="24"/>
          <w:lang w:bidi="ar"/>
          <w14:textFill>
            <w14:solidFill>
              <w14:schemeClr w14:val="tx1"/>
            </w14:solidFill>
          </w14:textFill>
        </w:rPr>
        <w:t>采取的节材措施；（5）施工中标准化定型产品使用清单；（</w:t>
      </w:r>
      <w:r>
        <w:rPr>
          <w:rFonts w:hint="eastAsia" w:ascii="宋体" w:hAnsi="宋体" w:eastAsia="宋体" w:cs="宋体"/>
          <w:color w:val="000000" w:themeColor="text1"/>
          <w:kern w:val="0"/>
          <w:sz w:val="24"/>
          <w:lang w:val="en-US" w:eastAsia="zh-CN" w:bidi="ar"/>
          <w14:textFill>
            <w14:solidFill>
              <w14:schemeClr w14:val="tx1"/>
            </w14:solidFill>
          </w14:textFill>
        </w:rPr>
        <w:t>6</w:t>
      </w:r>
      <w:r>
        <w:rPr>
          <w:rFonts w:hint="eastAsia" w:ascii="宋体" w:hAnsi="宋体" w:eastAsia="宋体" w:cs="宋体"/>
          <w:color w:val="000000" w:themeColor="text1"/>
          <w:kern w:val="0"/>
          <w:sz w:val="24"/>
          <w:lang w:bidi="ar"/>
          <w14:textFill>
            <w14:solidFill>
              <w14:schemeClr w14:val="tx1"/>
            </w14:solidFill>
          </w14:textFill>
        </w:rPr>
        <w:t>）施工中采用工厂化加工材料清单</w:t>
      </w:r>
      <w:r>
        <w:rPr>
          <w:rFonts w:hint="eastAsia" w:ascii="宋体" w:hAnsi="宋体" w:eastAsia="宋体" w:cs="宋体"/>
          <w:color w:val="000000" w:themeColor="text1"/>
          <w:kern w:val="0"/>
          <w:sz w:val="24"/>
          <w:lang w:eastAsia="zh-CN" w:bidi="ar"/>
          <w14:textFill>
            <w14:solidFill>
              <w14:schemeClr w14:val="tx1"/>
            </w14:solidFill>
          </w14:textFill>
        </w:rPr>
        <w:t>；（</w:t>
      </w:r>
      <w:r>
        <w:rPr>
          <w:rFonts w:hint="eastAsia" w:ascii="宋体" w:hAnsi="宋体" w:eastAsia="宋体" w:cs="宋体"/>
          <w:color w:val="000000" w:themeColor="text1"/>
          <w:kern w:val="0"/>
          <w:sz w:val="24"/>
          <w:lang w:val="en-US" w:eastAsia="zh-CN" w:bidi="ar"/>
          <w14:textFill>
            <w14:solidFill>
              <w14:schemeClr w14:val="tx1"/>
            </w14:solidFill>
          </w14:textFill>
        </w:rPr>
        <w:t>7</w:t>
      </w:r>
      <w:r>
        <w:rPr>
          <w:rFonts w:hint="eastAsia" w:ascii="宋体" w:hAnsi="宋体" w:eastAsia="宋体" w:cs="宋体"/>
          <w:color w:val="000000" w:themeColor="text1"/>
          <w:kern w:val="0"/>
          <w:sz w:val="24"/>
          <w:lang w:eastAsia="zh-CN" w:bidi="ar"/>
          <w14:textFill>
            <w14:solidFill>
              <w14:schemeClr w14:val="tx1"/>
            </w14:solidFill>
          </w14:textFill>
        </w:rPr>
        <w:t>）</w:t>
      </w:r>
      <w:r>
        <w:rPr>
          <w:rFonts w:hint="eastAsia" w:ascii="宋体" w:hAnsi="宋体" w:eastAsia="宋体" w:cs="宋体"/>
          <w:color w:val="000000" w:themeColor="text1"/>
          <w:kern w:val="0"/>
          <w:sz w:val="24"/>
          <w:lang w:val="en-US" w:eastAsia="zh-CN" w:bidi="ar"/>
          <w14:textFill>
            <w14:solidFill>
              <w14:schemeClr w14:val="tx1"/>
            </w14:solidFill>
          </w14:textFill>
        </w:rPr>
        <w:t>余料利用情况</w:t>
      </w:r>
      <w:r>
        <w:rPr>
          <w:rFonts w:hint="eastAsia" w:ascii="宋体" w:hAnsi="宋体" w:eastAsia="宋体" w:cs="宋体"/>
          <w:color w:val="000000" w:themeColor="text1"/>
          <w:kern w:val="0"/>
          <w:sz w:val="24"/>
          <w:lang w:bidi="ar"/>
          <w14:textFill>
            <w14:solidFill>
              <w14:schemeClr w14:val="tx1"/>
            </w14:solidFill>
          </w14:textFill>
        </w:rPr>
        <w:t>。</w:t>
      </w:r>
    </w:p>
    <w:p w14:paraId="4D416FBB">
      <w:pPr>
        <w:widowControl/>
        <w:snapToGrid w:val="0"/>
        <w:spacing w:line="360" w:lineRule="auto"/>
        <w:ind w:firstLine="0" w:firstLineChars="0"/>
        <w:jc w:val="left"/>
        <w:rPr>
          <w:rFonts w:hint="eastAsia" w:ascii="宋体" w:hAnsi="宋体" w:eastAsia="宋体" w:cs="宋体"/>
          <w:color w:val="000000" w:themeColor="text1"/>
          <w:kern w:val="0"/>
          <w:sz w:val="24"/>
          <w:lang w:bidi="ar"/>
          <w14:textFill>
            <w14:solidFill>
              <w14:schemeClr w14:val="tx1"/>
            </w14:solidFill>
          </w14:textFill>
        </w:rPr>
      </w:pPr>
      <w:r>
        <w:rPr>
          <w:rFonts w:hint="eastAsia" w:ascii="宋体" w:hAnsi="宋体" w:eastAsia="宋体" w:cs="宋体"/>
          <w:color w:val="000000" w:themeColor="text1"/>
          <w:kern w:val="0"/>
          <w:sz w:val="24"/>
          <w:lang w:bidi="ar"/>
          <w14:textFill>
            <w14:solidFill>
              <w14:schemeClr w14:val="tx1"/>
            </w14:solidFill>
          </w14:textFill>
        </w:rPr>
        <w:t>5.2.7 本条款适用于基础设施项目规划设计阶段、施工建造阶段的评价。</w:t>
      </w:r>
    </w:p>
    <w:p w14:paraId="1DB90782">
      <w:pPr>
        <w:widowControl/>
        <w:snapToGrid w:val="0"/>
        <w:spacing w:line="360" w:lineRule="auto"/>
        <w:ind w:firstLine="480" w:firstLineChars="200"/>
        <w:jc w:val="left"/>
        <w:rPr>
          <w:rFonts w:hint="eastAsia" w:ascii="宋体" w:hAnsi="宋体" w:eastAsia="宋体" w:cs="宋体"/>
          <w:color w:val="000000" w:themeColor="text1"/>
          <w:kern w:val="0"/>
          <w:sz w:val="24"/>
          <w:lang w:bidi="ar"/>
          <w14:textFill>
            <w14:solidFill>
              <w14:schemeClr w14:val="tx1"/>
            </w14:solidFill>
          </w14:textFill>
        </w:rPr>
      </w:pPr>
      <w:r>
        <w:rPr>
          <w:rFonts w:hint="eastAsia" w:ascii="宋体" w:hAnsi="宋体" w:eastAsia="宋体" w:cs="宋体"/>
          <w:color w:val="000000" w:themeColor="text1"/>
          <w:kern w:val="0"/>
          <w:sz w:val="24"/>
          <w:lang w:bidi="ar"/>
          <w14:textFill>
            <w14:solidFill>
              <w14:schemeClr w14:val="tx1"/>
            </w14:solidFill>
          </w14:textFill>
        </w:rPr>
        <w:t>考量内容：（1）BIM模型信息</w:t>
      </w:r>
      <w:r>
        <w:rPr>
          <w:rFonts w:hint="eastAsia" w:ascii="宋体" w:hAnsi="宋体" w:eastAsia="宋体" w:cs="宋体"/>
          <w:color w:val="000000" w:themeColor="text1"/>
          <w:kern w:val="0"/>
          <w:sz w:val="24"/>
          <w:lang w:val="en-US" w:eastAsia="zh-CN" w:bidi="ar"/>
          <w14:textFill>
            <w14:solidFill>
              <w14:schemeClr w14:val="tx1"/>
            </w14:solidFill>
          </w14:textFill>
        </w:rPr>
        <w:t>模型/</w:t>
      </w:r>
      <w:r>
        <w:rPr>
          <w:rFonts w:hint="eastAsia" w:ascii="宋体" w:hAnsi="宋体" w:eastAsia="宋体" w:cs="宋体"/>
          <w:color w:val="000000" w:themeColor="text1"/>
          <w:kern w:val="0"/>
          <w:sz w:val="24"/>
          <w:lang w:bidi="ar"/>
          <w14:textFill>
            <w14:solidFill>
              <w14:schemeClr w14:val="tx1"/>
            </w14:solidFill>
          </w14:textFill>
        </w:rPr>
        <w:t>管理平台（2）构件信息库；（3）构件管理流程</w:t>
      </w:r>
      <w:r>
        <w:rPr>
          <w:rFonts w:hint="eastAsia" w:ascii="宋体" w:hAnsi="宋体" w:eastAsia="宋体" w:cs="宋体"/>
          <w:color w:val="000000" w:themeColor="text1"/>
          <w:kern w:val="0"/>
          <w:sz w:val="24"/>
          <w:lang w:val="en-US" w:eastAsia="zh-CN" w:bidi="ar"/>
          <w14:textFill>
            <w14:solidFill>
              <w14:schemeClr w14:val="tx1"/>
            </w14:solidFill>
          </w14:textFill>
        </w:rPr>
        <w:t>/措施文件</w:t>
      </w:r>
      <w:r>
        <w:rPr>
          <w:rFonts w:hint="eastAsia" w:ascii="宋体" w:hAnsi="宋体" w:eastAsia="宋体" w:cs="宋体"/>
          <w:color w:val="000000" w:themeColor="text1"/>
          <w:kern w:val="0"/>
          <w:sz w:val="24"/>
          <w:lang w:bidi="ar"/>
          <w14:textFill>
            <w14:solidFill>
              <w14:schemeClr w14:val="tx1"/>
            </w14:solidFill>
          </w14:textFill>
        </w:rPr>
        <w:t>。</w:t>
      </w:r>
    </w:p>
    <w:p w14:paraId="1436DE3C">
      <w:pPr>
        <w:widowControl/>
        <w:snapToGrid w:val="0"/>
        <w:spacing w:line="360" w:lineRule="auto"/>
        <w:ind w:firstLine="0" w:firstLineChars="0"/>
        <w:jc w:val="left"/>
        <w:rPr>
          <w:rFonts w:ascii="宋体" w:hAnsi="宋体" w:eastAsia="宋体" w:cs="宋体"/>
          <w:color w:val="000000" w:themeColor="text1"/>
          <w:kern w:val="0"/>
          <w:sz w:val="24"/>
          <w:lang w:bidi="ar"/>
          <w14:textFill>
            <w14:solidFill>
              <w14:schemeClr w14:val="tx1"/>
            </w14:solidFill>
          </w14:textFill>
        </w:rPr>
      </w:pPr>
      <w:r>
        <w:rPr>
          <w:rFonts w:hint="eastAsia" w:ascii="宋体" w:hAnsi="宋体" w:eastAsia="宋体" w:cs="宋体"/>
          <w:color w:val="000000" w:themeColor="text1"/>
          <w:kern w:val="0"/>
          <w:sz w:val="24"/>
          <w:lang w:bidi="ar"/>
          <w14:textFill>
            <w14:solidFill>
              <w14:schemeClr w14:val="tx1"/>
            </w14:solidFill>
          </w14:textFill>
        </w:rPr>
        <w:t>5.2.8本条</w:t>
      </w:r>
      <w:r>
        <w:rPr>
          <w:rFonts w:hint="eastAsia" w:ascii="宋体" w:hAnsi="宋体" w:eastAsia="宋体" w:cs="宋体"/>
          <w:color w:val="000000" w:themeColor="text1"/>
          <w:kern w:val="0"/>
          <w:sz w:val="24"/>
          <w:lang w:val="en-US" w:eastAsia="zh-CN" w:bidi="ar"/>
          <w14:textFill>
            <w14:solidFill>
              <w14:schemeClr w14:val="tx1"/>
            </w14:solidFill>
          </w14:textFill>
        </w:rPr>
        <w:t>款</w:t>
      </w:r>
      <w:r>
        <w:rPr>
          <w:rFonts w:hint="eastAsia" w:ascii="宋体" w:hAnsi="宋体" w:eastAsia="宋体" w:cs="宋体"/>
          <w:color w:val="000000" w:themeColor="text1"/>
          <w:kern w:val="0"/>
          <w:sz w:val="24"/>
          <w:lang w:bidi="ar"/>
          <w14:textFill>
            <w14:solidFill>
              <w14:schemeClr w14:val="tx1"/>
            </w14:solidFill>
          </w14:textFill>
        </w:rPr>
        <w:t>适用于基础设施项目的</w:t>
      </w:r>
      <w:r>
        <w:rPr>
          <w:rFonts w:hint="eastAsia" w:ascii="宋体" w:hAnsi="宋体" w:eastAsia="宋体" w:cs="宋体"/>
          <w:color w:val="000000" w:themeColor="text1"/>
          <w:kern w:val="0"/>
          <w:sz w:val="24"/>
          <w:lang w:eastAsia="zh-CN" w:bidi="ar"/>
          <w14:textFill>
            <w14:solidFill>
              <w14:schemeClr w14:val="tx1"/>
            </w14:solidFill>
          </w14:textFill>
        </w:rPr>
        <w:t>施工建造</w:t>
      </w:r>
      <w:r>
        <w:rPr>
          <w:rFonts w:hint="eastAsia" w:ascii="宋体" w:hAnsi="宋体" w:eastAsia="宋体" w:cs="宋体"/>
          <w:color w:val="000000" w:themeColor="text1"/>
          <w:kern w:val="0"/>
          <w:sz w:val="24"/>
          <w:lang w:val="en-US" w:eastAsia="zh-CN" w:bidi="ar"/>
          <w14:textFill>
            <w14:solidFill>
              <w14:schemeClr w14:val="tx1"/>
            </w14:solidFill>
          </w14:textFill>
        </w:rPr>
        <w:t>阶段</w:t>
      </w:r>
      <w:r>
        <w:rPr>
          <w:rFonts w:hint="eastAsia" w:ascii="宋体" w:hAnsi="宋体" w:eastAsia="宋体" w:cs="宋体"/>
          <w:color w:val="000000" w:themeColor="text1"/>
          <w:kern w:val="0"/>
          <w:sz w:val="24"/>
          <w:lang w:eastAsia="zh-CN" w:bidi="ar"/>
          <w14:textFill>
            <w14:solidFill>
              <w14:schemeClr w14:val="tx1"/>
            </w14:solidFill>
          </w14:textFill>
        </w:rPr>
        <w:t>、</w:t>
      </w:r>
      <w:r>
        <w:rPr>
          <w:rFonts w:hint="eastAsia" w:ascii="宋体" w:hAnsi="宋体" w:eastAsia="宋体" w:cs="宋体"/>
          <w:color w:val="000000" w:themeColor="text1"/>
          <w:kern w:val="0"/>
          <w:sz w:val="24"/>
          <w:lang w:val="en-US" w:eastAsia="zh-CN" w:bidi="ar"/>
          <w14:textFill>
            <w14:solidFill>
              <w14:schemeClr w14:val="tx1"/>
            </w14:solidFill>
          </w14:textFill>
        </w:rPr>
        <w:t>运行</w:t>
      </w:r>
      <w:r>
        <w:rPr>
          <w:rFonts w:hint="eastAsia" w:ascii="宋体" w:hAnsi="宋体" w:eastAsia="宋体" w:cs="宋体"/>
          <w:color w:val="000000" w:themeColor="text1"/>
          <w:kern w:val="0"/>
          <w:sz w:val="24"/>
          <w:lang w:bidi="ar"/>
          <w14:textFill>
            <w14:solidFill>
              <w14:schemeClr w14:val="tx1"/>
            </w14:solidFill>
          </w14:textFill>
        </w:rPr>
        <w:t xml:space="preserve">阶段的评价。 </w:t>
      </w:r>
    </w:p>
    <w:p w14:paraId="6C14D792">
      <w:pPr>
        <w:widowControl/>
        <w:snapToGrid w:val="0"/>
        <w:spacing w:line="360" w:lineRule="auto"/>
        <w:ind w:firstLine="480" w:firstLineChars="200"/>
        <w:jc w:val="left"/>
        <w:rPr>
          <w:rFonts w:ascii="宋体" w:hAnsi="宋体" w:eastAsia="宋体" w:cs="宋体"/>
          <w:color w:val="000000" w:themeColor="text1"/>
          <w:kern w:val="0"/>
          <w:sz w:val="24"/>
          <w:lang w:bidi="ar"/>
          <w14:textFill>
            <w14:solidFill>
              <w14:schemeClr w14:val="tx1"/>
            </w14:solidFill>
          </w14:textFill>
        </w:rPr>
      </w:pPr>
      <w:r>
        <w:rPr>
          <w:rFonts w:hint="eastAsia" w:ascii="宋体" w:hAnsi="宋体" w:eastAsia="宋体" w:cs="宋体"/>
          <w:color w:val="000000" w:themeColor="text1"/>
          <w:kern w:val="0"/>
          <w:sz w:val="24"/>
          <w:highlight w:val="none"/>
          <w:lang w:val="en-US" w:eastAsia="zh-CN" w:bidi="ar"/>
          <w14:textFill>
            <w14:solidFill>
              <w14:schemeClr w14:val="tx1"/>
            </w14:solidFill>
          </w14:textFill>
        </w:rPr>
        <w:t>固体废物包含一般工业和生活两部分。</w:t>
      </w:r>
    </w:p>
    <w:p w14:paraId="0950724F">
      <w:pPr>
        <w:widowControl/>
        <w:snapToGrid w:val="0"/>
        <w:spacing w:line="360" w:lineRule="auto"/>
        <w:ind w:firstLine="480" w:firstLineChars="200"/>
        <w:jc w:val="left"/>
        <w:rPr>
          <w:rFonts w:hint="eastAsia" w:ascii="宋体" w:hAnsi="宋体" w:eastAsia="宋体" w:cs="宋体"/>
          <w:color w:val="000000" w:themeColor="text1"/>
          <w:kern w:val="0"/>
          <w:sz w:val="24"/>
          <w:lang w:bidi="ar"/>
          <w14:textFill>
            <w14:solidFill>
              <w14:schemeClr w14:val="tx1"/>
            </w14:solidFill>
          </w14:textFill>
        </w:rPr>
        <w:sectPr>
          <w:pgSz w:w="11906" w:h="16838"/>
          <w:pgMar w:top="1440" w:right="1800" w:bottom="1440" w:left="1800" w:header="851" w:footer="992" w:gutter="0"/>
          <w:pgNumType w:fmt="decimal"/>
          <w:cols w:space="425" w:num="1"/>
          <w:docGrid w:type="lines" w:linePitch="312" w:charSpace="0"/>
        </w:sectPr>
      </w:pPr>
      <w:r>
        <w:rPr>
          <w:rFonts w:hint="eastAsia" w:ascii="宋体" w:hAnsi="宋体" w:eastAsia="宋体" w:cs="宋体"/>
          <w:color w:val="000000" w:themeColor="text1"/>
          <w:kern w:val="0"/>
          <w:sz w:val="24"/>
          <w:lang w:bidi="ar"/>
          <w14:textFill>
            <w14:solidFill>
              <w14:schemeClr w14:val="tx1"/>
            </w14:solidFill>
          </w14:textFill>
        </w:rPr>
        <w:t>考量内容：（1）</w:t>
      </w:r>
      <w:r>
        <w:rPr>
          <w:rFonts w:hint="eastAsia" w:ascii="宋体" w:hAnsi="宋体" w:eastAsia="宋体" w:cs="宋体"/>
          <w:color w:val="000000" w:themeColor="text1"/>
          <w:kern w:val="0"/>
          <w:sz w:val="24"/>
          <w:lang w:val="en-US" w:eastAsia="zh-CN" w:bidi="ar"/>
          <w14:textFill>
            <w14:solidFill>
              <w14:schemeClr w14:val="tx1"/>
            </w14:solidFill>
          </w14:textFill>
        </w:rPr>
        <w:t>固体废物</w:t>
      </w:r>
      <w:r>
        <w:rPr>
          <w:rFonts w:hint="eastAsia" w:ascii="宋体" w:hAnsi="宋体" w:eastAsia="宋体" w:cs="宋体"/>
          <w:color w:val="000000" w:themeColor="text1"/>
          <w:kern w:val="0"/>
          <w:sz w:val="24"/>
          <w:lang w:bidi="ar"/>
          <w14:textFill>
            <w14:solidFill>
              <w14:schemeClr w14:val="tx1"/>
            </w14:solidFill>
          </w14:textFill>
        </w:rPr>
        <w:t>回收利用率；（2）回收利用措施。</w:t>
      </w:r>
    </w:p>
    <w:p w14:paraId="7E96478A">
      <w:pPr>
        <w:snapToGrid w:val="0"/>
        <w:spacing w:line="360" w:lineRule="auto"/>
        <w:jc w:val="center"/>
        <w:outlineLvl w:val="0"/>
        <w:rPr>
          <w:rFonts w:ascii="宋体" w:hAnsi="宋体" w:eastAsia="宋体" w:cs="宋体"/>
          <w:b/>
          <w:bCs/>
          <w:color w:val="000000" w:themeColor="text1"/>
          <w:sz w:val="30"/>
          <w:szCs w:val="30"/>
          <w14:textFill>
            <w14:solidFill>
              <w14:schemeClr w14:val="tx1"/>
            </w14:solidFill>
          </w14:textFill>
        </w:rPr>
      </w:pPr>
      <w:bookmarkStart w:id="765" w:name="_Toc22773"/>
      <w:bookmarkStart w:id="766" w:name="_Toc23514"/>
      <w:bookmarkStart w:id="767" w:name="_Toc26581"/>
      <w:bookmarkStart w:id="768" w:name="_Toc19396"/>
      <w:bookmarkStart w:id="769" w:name="_Toc21819"/>
      <w:bookmarkStart w:id="770" w:name="_Toc28437"/>
      <w:r>
        <w:rPr>
          <w:rFonts w:hint="eastAsia" w:ascii="宋体" w:hAnsi="宋体" w:eastAsia="宋体" w:cs="宋体"/>
          <w:b/>
          <w:bCs/>
          <w:color w:val="000000" w:themeColor="text1"/>
          <w:sz w:val="30"/>
          <w:szCs w:val="30"/>
          <w14:textFill>
            <w14:solidFill>
              <w14:schemeClr w14:val="tx1"/>
            </w14:solidFill>
          </w14:textFill>
        </w:rPr>
        <w:t>6 社会可持续</w:t>
      </w:r>
      <w:bookmarkEnd w:id="765"/>
      <w:bookmarkEnd w:id="766"/>
      <w:bookmarkEnd w:id="767"/>
      <w:bookmarkEnd w:id="768"/>
      <w:bookmarkEnd w:id="769"/>
      <w:bookmarkEnd w:id="770"/>
    </w:p>
    <w:p w14:paraId="6DA01513">
      <w:pPr>
        <w:snapToGrid w:val="0"/>
        <w:spacing w:line="360" w:lineRule="auto"/>
        <w:jc w:val="center"/>
        <w:outlineLvl w:val="1"/>
        <w:rPr>
          <w:rFonts w:ascii="黑体" w:hAnsi="黑体" w:eastAsia="黑体" w:cs="黑体"/>
          <w:b/>
          <w:bCs/>
          <w:color w:val="000000" w:themeColor="text1"/>
          <w:sz w:val="28"/>
          <w:szCs w:val="28"/>
          <w14:textFill>
            <w14:solidFill>
              <w14:schemeClr w14:val="tx1"/>
            </w14:solidFill>
          </w14:textFill>
        </w:rPr>
      </w:pPr>
      <w:bookmarkStart w:id="771" w:name="_Toc12272"/>
      <w:bookmarkStart w:id="772" w:name="_Toc26489"/>
      <w:bookmarkStart w:id="773" w:name="_Toc26444"/>
      <w:bookmarkStart w:id="774" w:name="_Toc503"/>
      <w:bookmarkStart w:id="775" w:name="_Toc10584"/>
      <w:bookmarkStart w:id="776" w:name="_Toc15233"/>
      <w:r>
        <w:rPr>
          <w:rFonts w:hint="eastAsia" w:ascii="黑体" w:hAnsi="黑体" w:eastAsia="黑体" w:cs="黑体"/>
          <w:b/>
          <w:bCs/>
          <w:color w:val="000000" w:themeColor="text1"/>
          <w:sz w:val="28"/>
          <w:szCs w:val="28"/>
          <w14:textFill>
            <w14:solidFill>
              <w14:schemeClr w14:val="tx1"/>
            </w14:solidFill>
          </w14:textFill>
        </w:rPr>
        <w:t>6.1 控制项</w:t>
      </w:r>
      <w:bookmarkEnd w:id="771"/>
      <w:bookmarkEnd w:id="772"/>
      <w:bookmarkEnd w:id="773"/>
      <w:bookmarkEnd w:id="774"/>
      <w:bookmarkEnd w:id="775"/>
      <w:bookmarkEnd w:id="776"/>
    </w:p>
    <w:p w14:paraId="6EE3651E">
      <w:pPr>
        <w:widowControl/>
        <w:snapToGrid w:val="0"/>
        <w:spacing w:line="360" w:lineRule="auto"/>
        <w:jc w:val="left"/>
        <w:rPr>
          <w:rFonts w:ascii="宋体" w:hAnsi="宋体" w:eastAsia="宋体" w:cs="宋体"/>
          <w:color w:val="000000" w:themeColor="text1"/>
          <w:kern w:val="0"/>
          <w:sz w:val="24"/>
          <w:lang w:bidi="ar"/>
          <w14:textFill>
            <w14:solidFill>
              <w14:schemeClr w14:val="tx1"/>
            </w14:solidFill>
          </w14:textFill>
        </w:rPr>
      </w:pPr>
      <w:r>
        <w:rPr>
          <w:rFonts w:hint="eastAsia" w:ascii="宋体" w:hAnsi="宋体" w:eastAsia="宋体" w:cs="宋体"/>
          <w:color w:val="000000" w:themeColor="text1"/>
          <w:kern w:val="0"/>
          <w:sz w:val="24"/>
          <w:lang w:bidi="ar"/>
          <w14:textFill>
            <w14:solidFill>
              <w14:schemeClr w14:val="tx1"/>
            </w14:solidFill>
          </w14:textFill>
        </w:rPr>
        <w:t>6.1.1本条</w:t>
      </w:r>
      <w:r>
        <w:rPr>
          <w:rFonts w:hint="eastAsia" w:ascii="宋体" w:hAnsi="宋体" w:eastAsia="宋体" w:cs="宋体"/>
          <w:color w:val="000000" w:themeColor="text1"/>
          <w:kern w:val="0"/>
          <w:sz w:val="24"/>
          <w:lang w:val="en-US" w:eastAsia="zh-CN" w:bidi="ar"/>
          <w14:textFill>
            <w14:solidFill>
              <w14:schemeClr w14:val="tx1"/>
            </w14:solidFill>
          </w14:textFill>
        </w:rPr>
        <w:t>款</w:t>
      </w:r>
      <w:r>
        <w:rPr>
          <w:rFonts w:hint="eastAsia" w:ascii="宋体" w:hAnsi="宋体" w:eastAsia="宋体" w:cs="宋体"/>
          <w:color w:val="000000" w:themeColor="text1"/>
          <w:kern w:val="0"/>
          <w:sz w:val="24"/>
          <w:lang w:bidi="ar"/>
          <w14:textFill>
            <w14:solidFill>
              <w14:schemeClr w14:val="tx1"/>
            </w14:solidFill>
          </w14:textFill>
        </w:rPr>
        <w:t>适用于基础设施项目</w:t>
      </w:r>
      <w:r>
        <w:rPr>
          <w:rFonts w:hint="eastAsia" w:ascii="宋体" w:hAnsi="宋体" w:eastAsia="宋体" w:cs="宋体"/>
          <w:color w:val="000000" w:themeColor="text1"/>
          <w:kern w:val="0"/>
          <w:sz w:val="24"/>
          <w:lang w:eastAsia="zh-CN" w:bidi="ar"/>
          <w14:textFill>
            <w14:solidFill>
              <w14:schemeClr w14:val="tx1"/>
            </w14:solidFill>
          </w14:textFill>
        </w:rPr>
        <w:t>施工建造</w:t>
      </w:r>
      <w:r>
        <w:rPr>
          <w:rFonts w:hint="eastAsia" w:ascii="宋体" w:hAnsi="宋体" w:eastAsia="宋体" w:cs="宋体"/>
          <w:color w:val="000000" w:themeColor="text1"/>
          <w:kern w:val="0"/>
          <w:sz w:val="24"/>
          <w:lang w:val="en-US" w:eastAsia="zh-CN" w:bidi="ar"/>
          <w14:textFill>
            <w14:solidFill>
              <w14:schemeClr w14:val="tx1"/>
            </w14:solidFill>
          </w14:textFill>
        </w:rPr>
        <w:t>阶段</w:t>
      </w:r>
      <w:r>
        <w:rPr>
          <w:rFonts w:hint="eastAsia" w:ascii="宋体" w:hAnsi="宋体" w:eastAsia="宋体" w:cs="宋体"/>
          <w:color w:val="000000" w:themeColor="text1"/>
          <w:kern w:val="0"/>
          <w:sz w:val="24"/>
          <w:lang w:eastAsia="zh-CN" w:bidi="ar"/>
          <w14:textFill>
            <w14:solidFill>
              <w14:schemeClr w14:val="tx1"/>
            </w14:solidFill>
          </w14:textFill>
        </w:rPr>
        <w:t>、</w:t>
      </w:r>
      <w:r>
        <w:rPr>
          <w:rFonts w:hint="eastAsia" w:ascii="宋体" w:hAnsi="宋体" w:eastAsia="宋体" w:cs="宋体"/>
          <w:color w:val="000000" w:themeColor="text1"/>
          <w:kern w:val="0"/>
          <w:sz w:val="24"/>
          <w:lang w:bidi="ar"/>
          <w14:textFill>
            <w14:solidFill>
              <w14:schemeClr w14:val="tx1"/>
            </w14:solidFill>
          </w14:textFill>
        </w:rPr>
        <w:t>运行</w:t>
      </w:r>
      <w:r>
        <w:rPr>
          <w:rFonts w:hint="eastAsia" w:ascii="宋体" w:hAnsi="宋体" w:eastAsia="宋体" w:cs="宋体"/>
          <w:color w:val="000000" w:themeColor="text1"/>
          <w:kern w:val="0"/>
          <w:sz w:val="24"/>
          <w:lang w:val="en-US" w:eastAsia="zh-CN" w:bidi="ar"/>
          <w14:textFill>
            <w14:solidFill>
              <w14:schemeClr w14:val="tx1"/>
            </w14:solidFill>
          </w14:textFill>
        </w:rPr>
        <w:t>阶段的评价</w:t>
      </w:r>
      <w:r>
        <w:rPr>
          <w:rFonts w:hint="eastAsia" w:ascii="宋体" w:hAnsi="宋体" w:eastAsia="宋体" w:cs="宋体"/>
          <w:color w:val="000000" w:themeColor="text1"/>
          <w:kern w:val="0"/>
          <w:sz w:val="24"/>
          <w:lang w:bidi="ar"/>
          <w14:textFill>
            <w14:solidFill>
              <w14:schemeClr w14:val="tx1"/>
            </w14:solidFill>
          </w14:textFill>
        </w:rPr>
        <w:t xml:space="preserve">。 </w:t>
      </w:r>
    </w:p>
    <w:p w14:paraId="64419BCE">
      <w:pPr>
        <w:widowControl/>
        <w:snapToGrid w:val="0"/>
        <w:spacing w:line="360" w:lineRule="auto"/>
        <w:ind w:firstLine="480" w:firstLineChars="200"/>
        <w:jc w:val="left"/>
        <w:rPr>
          <w:rFonts w:hint="eastAsia" w:ascii="宋体" w:hAnsi="宋体" w:eastAsia="宋体" w:cs="宋体"/>
          <w:color w:val="000000" w:themeColor="text1"/>
          <w:kern w:val="0"/>
          <w:sz w:val="24"/>
          <w:lang w:val="en-US" w:eastAsia="zh-CN" w:bidi="ar"/>
          <w14:textFill>
            <w14:solidFill>
              <w14:schemeClr w14:val="tx1"/>
            </w14:solidFill>
          </w14:textFill>
        </w:rPr>
      </w:pPr>
      <w:r>
        <w:rPr>
          <w:rFonts w:hint="eastAsia" w:ascii="宋体" w:hAnsi="宋体" w:eastAsia="宋体" w:cs="宋体"/>
          <w:color w:val="000000" w:themeColor="text1"/>
          <w:kern w:val="0"/>
          <w:sz w:val="24"/>
          <w:lang w:bidi="ar"/>
          <w14:textFill>
            <w14:solidFill>
              <w14:schemeClr w14:val="tx1"/>
            </w14:solidFill>
          </w14:textFill>
        </w:rPr>
        <w:t>考量内容：</w:t>
      </w:r>
      <w:r>
        <w:rPr>
          <w:rFonts w:hint="eastAsia" w:ascii="宋体" w:hAnsi="宋体" w:eastAsia="宋体" w:cs="宋体"/>
          <w:color w:val="000000" w:themeColor="text1"/>
          <w:kern w:val="0"/>
          <w:sz w:val="24"/>
          <w:lang w:val="en-US" w:eastAsia="zh-CN" w:bidi="ar"/>
          <w14:textFill>
            <w14:solidFill>
              <w14:schemeClr w14:val="tx1"/>
            </w14:solidFill>
          </w14:textFill>
        </w:rPr>
        <w:t xml:space="preserve">（1）职业病预防措施；（2）保证作业环境安全的预案。 </w:t>
      </w:r>
    </w:p>
    <w:p w14:paraId="72488F19">
      <w:pPr>
        <w:widowControl/>
        <w:snapToGrid w:val="0"/>
        <w:spacing w:line="360" w:lineRule="auto"/>
        <w:jc w:val="left"/>
        <w:rPr>
          <w:rFonts w:ascii="宋体" w:hAnsi="宋体" w:eastAsia="宋体" w:cs="宋体"/>
          <w:color w:val="000000" w:themeColor="text1"/>
          <w:kern w:val="0"/>
          <w:sz w:val="24"/>
          <w:lang w:bidi="ar"/>
          <w14:textFill>
            <w14:solidFill>
              <w14:schemeClr w14:val="tx1"/>
            </w14:solidFill>
          </w14:textFill>
        </w:rPr>
      </w:pPr>
      <w:r>
        <w:rPr>
          <w:rFonts w:hint="eastAsia" w:ascii="宋体" w:hAnsi="宋体" w:eastAsia="宋体" w:cs="宋体"/>
          <w:color w:val="000000" w:themeColor="text1"/>
          <w:kern w:val="0"/>
          <w:sz w:val="24"/>
          <w:lang w:bidi="ar"/>
          <w14:textFill>
            <w14:solidFill>
              <w14:schemeClr w14:val="tx1"/>
            </w14:solidFill>
          </w14:textFill>
        </w:rPr>
        <w:t>6.1.2本条</w:t>
      </w:r>
      <w:r>
        <w:rPr>
          <w:rFonts w:hint="eastAsia" w:ascii="宋体" w:hAnsi="宋体" w:eastAsia="宋体" w:cs="宋体"/>
          <w:color w:val="000000" w:themeColor="text1"/>
          <w:kern w:val="0"/>
          <w:sz w:val="24"/>
          <w:lang w:val="en-US" w:eastAsia="zh-CN" w:bidi="ar"/>
          <w14:textFill>
            <w14:solidFill>
              <w14:schemeClr w14:val="tx1"/>
            </w14:solidFill>
          </w14:textFill>
        </w:rPr>
        <w:t>款</w:t>
      </w:r>
      <w:r>
        <w:rPr>
          <w:rFonts w:hint="eastAsia" w:ascii="宋体" w:hAnsi="宋体" w:eastAsia="宋体" w:cs="宋体"/>
          <w:color w:val="000000" w:themeColor="text1"/>
          <w:kern w:val="0"/>
          <w:sz w:val="24"/>
          <w:lang w:bidi="ar"/>
          <w14:textFill>
            <w14:solidFill>
              <w14:schemeClr w14:val="tx1"/>
            </w14:solidFill>
          </w14:textFill>
        </w:rPr>
        <w:t>适用于基础设施项项目的</w:t>
      </w:r>
      <w:r>
        <w:rPr>
          <w:rFonts w:hint="eastAsia" w:ascii="宋体" w:hAnsi="宋体" w:eastAsia="宋体" w:cs="宋体"/>
          <w:color w:val="000000" w:themeColor="text1"/>
          <w:kern w:val="0"/>
          <w:sz w:val="24"/>
          <w:lang w:val="en-US" w:eastAsia="zh-CN" w:bidi="ar"/>
          <w14:textFill>
            <w14:solidFill>
              <w14:schemeClr w14:val="tx1"/>
            </w14:solidFill>
          </w14:textFill>
        </w:rPr>
        <w:t>规划</w:t>
      </w:r>
      <w:r>
        <w:rPr>
          <w:rFonts w:hint="eastAsia" w:ascii="宋体" w:hAnsi="宋体" w:eastAsia="宋体" w:cs="宋体"/>
          <w:color w:val="000000" w:themeColor="text1"/>
          <w:kern w:val="0"/>
          <w:sz w:val="24"/>
          <w:lang w:bidi="ar"/>
          <w14:textFill>
            <w14:solidFill>
              <w14:schemeClr w14:val="tx1"/>
            </w14:solidFill>
          </w14:textFill>
        </w:rPr>
        <w:t>设计</w:t>
      </w:r>
      <w:r>
        <w:rPr>
          <w:rFonts w:hint="eastAsia" w:ascii="宋体" w:hAnsi="宋体" w:eastAsia="宋体" w:cs="宋体"/>
          <w:color w:val="000000" w:themeColor="text1"/>
          <w:kern w:val="0"/>
          <w:sz w:val="24"/>
          <w:lang w:val="en-US" w:eastAsia="zh-CN" w:bidi="ar"/>
          <w14:textFill>
            <w14:solidFill>
              <w14:schemeClr w14:val="tx1"/>
            </w14:solidFill>
          </w14:textFill>
        </w:rPr>
        <w:t>阶段</w:t>
      </w:r>
      <w:r>
        <w:rPr>
          <w:rFonts w:hint="eastAsia" w:ascii="宋体" w:hAnsi="宋体" w:eastAsia="宋体" w:cs="宋体"/>
          <w:color w:val="000000" w:themeColor="text1"/>
          <w:kern w:val="0"/>
          <w:sz w:val="24"/>
          <w:lang w:bidi="ar"/>
          <w14:textFill>
            <w14:solidFill>
              <w14:schemeClr w14:val="tx1"/>
            </w14:solidFill>
          </w14:textFill>
        </w:rPr>
        <w:t>、</w:t>
      </w:r>
      <w:r>
        <w:rPr>
          <w:rFonts w:hint="eastAsia" w:ascii="宋体" w:hAnsi="宋体" w:eastAsia="宋体" w:cs="宋体"/>
          <w:color w:val="000000" w:themeColor="text1"/>
          <w:kern w:val="0"/>
          <w:sz w:val="24"/>
          <w:lang w:eastAsia="zh-CN" w:bidi="ar"/>
          <w14:textFill>
            <w14:solidFill>
              <w14:schemeClr w14:val="tx1"/>
            </w14:solidFill>
          </w14:textFill>
        </w:rPr>
        <w:t>施工建造</w:t>
      </w:r>
      <w:r>
        <w:rPr>
          <w:rFonts w:hint="eastAsia" w:ascii="宋体" w:hAnsi="宋体" w:eastAsia="宋体" w:cs="宋体"/>
          <w:color w:val="000000" w:themeColor="text1"/>
          <w:kern w:val="0"/>
          <w:sz w:val="24"/>
          <w:lang w:val="en-US" w:eastAsia="zh-CN" w:bidi="ar"/>
          <w14:textFill>
            <w14:solidFill>
              <w14:schemeClr w14:val="tx1"/>
            </w14:solidFill>
          </w14:textFill>
        </w:rPr>
        <w:t>阶段</w:t>
      </w:r>
      <w:r>
        <w:rPr>
          <w:rFonts w:hint="eastAsia" w:ascii="宋体" w:hAnsi="宋体" w:eastAsia="宋体" w:cs="宋体"/>
          <w:color w:val="000000" w:themeColor="text1"/>
          <w:kern w:val="0"/>
          <w:sz w:val="24"/>
          <w:lang w:eastAsia="zh-CN" w:bidi="ar"/>
          <w14:textFill>
            <w14:solidFill>
              <w14:schemeClr w14:val="tx1"/>
            </w14:solidFill>
          </w14:textFill>
        </w:rPr>
        <w:t>、</w:t>
      </w:r>
      <w:r>
        <w:rPr>
          <w:rFonts w:hint="eastAsia" w:ascii="宋体" w:hAnsi="宋体" w:eastAsia="宋体" w:cs="宋体"/>
          <w:color w:val="000000" w:themeColor="text1"/>
          <w:kern w:val="0"/>
          <w:sz w:val="24"/>
          <w:lang w:bidi="ar"/>
          <w14:textFill>
            <w14:solidFill>
              <w14:schemeClr w14:val="tx1"/>
            </w14:solidFill>
          </w14:textFill>
        </w:rPr>
        <w:t>运行</w:t>
      </w:r>
      <w:r>
        <w:rPr>
          <w:rFonts w:hint="eastAsia" w:ascii="宋体" w:hAnsi="宋体" w:eastAsia="宋体" w:cs="宋体"/>
          <w:color w:val="000000" w:themeColor="text1"/>
          <w:kern w:val="0"/>
          <w:sz w:val="24"/>
          <w:lang w:val="en-US" w:eastAsia="zh-CN" w:bidi="ar"/>
          <w14:textFill>
            <w14:solidFill>
              <w14:schemeClr w14:val="tx1"/>
            </w14:solidFill>
          </w14:textFill>
        </w:rPr>
        <w:t>阶段的评价</w:t>
      </w:r>
      <w:r>
        <w:rPr>
          <w:rFonts w:hint="eastAsia" w:ascii="宋体" w:hAnsi="宋体" w:eastAsia="宋体" w:cs="宋体"/>
          <w:color w:val="000000" w:themeColor="text1"/>
          <w:kern w:val="0"/>
          <w:sz w:val="24"/>
          <w:lang w:bidi="ar"/>
          <w14:textFill>
            <w14:solidFill>
              <w14:schemeClr w14:val="tx1"/>
            </w14:solidFill>
          </w14:textFill>
        </w:rPr>
        <w:t xml:space="preserve">。 </w:t>
      </w:r>
    </w:p>
    <w:p w14:paraId="1F61EE7A">
      <w:pPr>
        <w:widowControl/>
        <w:snapToGrid w:val="0"/>
        <w:spacing w:line="360" w:lineRule="auto"/>
        <w:ind w:firstLine="480" w:firstLineChars="200"/>
        <w:jc w:val="left"/>
        <w:rPr>
          <w:rFonts w:hint="eastAsia" w:ascii="宋体" w:hAnsi="宋体" w:eastAsia="宋体" w:cs="宋体"/>
          <w:color w:val="000000" w:themeColor="text1"/>
          <w:kern w:val="0"/>
          <w:sz w:val="24"/>
          <w:lang w:bidi="ar"/>
          <w14:textFill>
            <w14:solidFill>
              <w14:schemeClr w14:val="tx1"/>
            </w14:solidFill>
          </w14:textFill>
        </w:rPr>
      </w:pPr>
      <w:r>
        <w:rPr>
          <w:rFonts w:hint="eastAsia" w:ascii="宋体" w:hAnsi="宋体" w:eastAsia="宋体" w:cs="宋体"/>
          <w:color w:val="000000" w:themeColor="text1"/>
          <w:kern w:val="0"/>
          <w:sz w:val="24"/>
          <w:lang w:bidi="ar"/>
          <w14:textFill>
            <w14:solidFill>
              <w14:schemeClr w14:val="tx1"/>
            </w14:solidFill>
          </w14:textFill>
        </w:rPr>
        <w:t xml:space="preserve">本条要求按照企业的质量管理体系，建立项目质量管理体系，通过有计划、有组织、有控制地对工程活动进行规范化和标准化，确保工程质量稳定和可靠。 </w:t>
      </w:r>
    </w:p>
    <w:p w14:paraId="6AFBBC07">
      <w:pPr>
        <w:widowControl/>
        <w:snapToGrid w:val="0"/>
        <w:spacing w:line="360" w:lineRule="auto"/>
        <w:ind w:firstLine="480" w:firstLineChars="200"/>
        <w:jc w:val="left"/>
        <w:rPr>
          <w:rFonts w:ascii="宋体" w:hAnsi="宋体" w:eastAsia="宋体" w:cs="宋体"/>
          <w:color w:val="000000" w:themeColor="text1"/>
          <w:kern w:val="0"/>
          <w:sz w:val="24"/>
          <w:lang w:bidi="ar"/>
          <w14:textFill>
            <w14:solidFill>
              <w14:schemeClr w14:val="tx1"/>
            </w14:solidFill>
          </w14:textFill>
        </w:rPr>
      </w:pPr>
      <w:r>
        <w:rPr>
          <w:rFonts w:hint="eastAsia" w:ascii="宋体" w:hAnsi="宋体" w:eastAsia="宋体" w:cs="宋体"/>
          <w:color w:val="000000" w:themeColor="text1"/>
          <w:kern w:val="0"/>
          <w:sz w:val="24"/>
          <w:lang w:bidi="ar"/>
          <w14:textFill>
            <w14:solidFill>
              <w14:schemeClr w14:val="tx1"/>
            </w14:solidFill>
          </w14:textFill>
        </w:rPr>
        <w:t>考量内容：（1）项目的质量管理体系和质量目标；（</w:t>
      </w:r>
      <w:r>
        <w:rPr>
          <w:rFonts w:hint="eastAsia" w:ascii="宋体" w:hAnsi="宋体" w:eastAsia="宋体" w:cs="宋体"/>
          <w:color w:val="000000" w:themeColor="text1"/>
          <w:kern w:val="0"/>
          <w:sz w:val="24"/>
          <w:lang w:val="en-US" w:eastAsia="zh-CN" w:bidi="ar"/>
          <w14:textFill>
            <w14:solidFill>
              <w14:schemeClr w14:val="tx1"/>
            </w14:solidFill>
          </w14:textFill>
        </w:rPr>
        <w:t>2</w:t>
      </w:r>
      <w:r>
        <w:rPr>
          <w:rFonts w:hint="eastAsia" w:ascii="宋体" w:hAnsi="宋体" w:eastAsia="宋体" w:cs="宋体"/>
          <w:color w:val="000000" w:themeColor="text1"/>
          <w:kern w:val="0"/>
          <w:sz w:val="24"/>
          <w:lang w:bidi="ar"/>
          <w14:textFill>
            <w14:solidFill>
              <w14:schemeClr w14:val="tx1"/>
            </w14:solidFill>
          </w14:textFill>
        </w:rPr>
        <w:t>）质量验收记录；（</w:t>
      </w:r>
      <w:r>
        <w:rPr>
          <w:rFonts w:hint="eastAsia" w:ascii="宋体" w:hAnsi="宋体" w:eastAsia="宋体" w:cs="宋体"/>
          <w:color w:val="000000" w:themeColor="text1"/>
          <w:kern w:val="0"/>
          <w:sz w:val="24"/>
          <w:lang w:val="en-US" w:eastAsia="zh-CN" w:bidi="ar"/>
          <w14:textFill>
            <w14:solidFill>
              <w14:schemeClr w14:val="tx1"/>
            </w14:solidFill>
          </w14:textFill>
        </w:rPr>
        <w:t>3</w:t>
      </w:r>
      <w:r>
        <w:rPr>
          <w:rFonts w:hint="eastAsia" w:ascii="宋体" w:hAnsi="宋体" w:eastAsia="宋体" w:cs="宋体"/>
          <w:color w:val="000000" w:themeColor="text1"/>
          <w:kern w:val="0"/>
          <w:sz w:val="24"/>
          <w:lang w:bidi="ar"/>
          <w14:textFill>
            <w14:solidFill>
              <w14:schemeClr w14:val="tx1"/>
            </w14:solidFill>
          </w14:textFill>
        </w:rPr>
        <w:t>）安全质量管理过程记录</w:t>
      </w:r>
      <w:r>
        <w:rPr>
          <w:rFonts w:hint="eastAsia" w:ascii="宋体" w:hAnsi="宋体" w:eastAsia="宋体" w:cs="宋体"/>
          <w:color w:val="000000" w:themeColor="text1"/>
          <w:kern w:val="0"/>
          <w:sz w:val="24"/>
          <w:lang w:eastAsia="zh-CN" w:bidi="ar"/>
          <w14:textFill>
            <w14:solidFill>
              <w14:schemeClr w14:val="tx1"/>
            </w14:solidFill>
          </w14:textFill>
        </w:rPr>
        <w:t>；</w:t>
      </w:r>
      <w:r>
        <w:rPr>
          <w:rFonts w:hint="eastAsia" w:ascii="宋体" w:hAnsi="宋体" w:eastAsia="宋体" w:cs="宋体"/>
          <w:color w:val="000000" w:themeColor="text1"/>
          <w:kern w:val="0"/>
          <w:sz w:val="24"/>
          <w:lang w:bidi="ar"/>
          <w14:textFill>
            <w14:solidFill>
              <w14:schemeClr w14:val="tx1"/>
            </w14:solidFill>
          </w14:textFill>
        </w:rPr>
        <w:t>（</w:t>
      </w:r>
      <w:r>
        <w:rPr>
          <w:rFonts w:hint="eastAsia" w:ascii="宋体" w:hAnsi="宋体" w:eastAsia="宋体" w:cs="宋体"/>
          <w:color w:val="000000" w:themeColor="text1"/>
          <w:kern w:val="0"/>
          <w:sz w:val="24"/>
          <w:lang w:val="en-US" w:eastAsia="zh-CN" w:bidi="ar"/>
          <w14:textFill>
            <w14:solidFill>
              <w14:schemeClr w14:val="tx1"/>
            </w14:solidFill>
          </w14:textFill>
        </w:rPr>
        <w:t>4</w:t>
      </w:r>
      <w:r>
        <w:rPr>
          <w:rFonts w:hint="eastAsia" w:ascii="宋体" w:hAnsi="宋体" w:eastAsia="宋体" w:cs="宋体"/>
          <w:color w:val="000000" w:themeColor="text1"/>
          <w:kern w:val="0"/>
          <w:sz w:val="24"/>
          <w:lang w:bidi="ar"/>
          <w14:textFill>
            <w14:solidFill>
              <w14:schemeClr w14:val="tx1"/>
            </w14:solidFill>
          </w14:textFill>
        </w:rPr>
        <w:t>）投诉与纠纷处理记录</w:t>
      </w:r>
      <w:r>
        <w:rPr>
          <w:rFonts w:hint="eastAsia" w:ascii="宋体" w:hAnsi="宋体" w:eastAsia="宋体" w:cs="宋体"/>
          <w:color w:val="000000" w:themeColor="text1"/>
          <w:kern w:val="0"/>
          <w:sz w:val="24"/>
          <w:lang w:eastAsia="zh-CN" w:bidi="ar"/>
          <w14:textFill>
            <w14:solidFill>
              <w14:schemeClr w14:val="tx1"/>
            </w14:solidFill>
          </w14:textFill>
        </w:rPr>
        <w:t>；</w:t>
      </w:r>
      <w:r>
        <w:rPr>
          <w:rFonts w:hint="eastAsia" w:ascii="宋体" w:hAnsi="宋体" w:eastAsia="宋体" w:cs="宋体"/>
          <w:color w:val="000000" w:themeColor="text1"/>
          <w:kern w:val="0"/>
          <w:sz w:val="24"/>
          <w:lang w:bidi="ar"/>
          <w14:textFill>
            <w14:solidFill>
              <w14:schemeClr w14:val="tx1"/>
            </w14:solidFill>
          </w14:textFill>
        </w:rPr>
        <w:t>（</w:t>
      </w:r>
      <w:r>
        <w:rPr>
          <w:rFonts w:hint="eastAsia" w:ascii="宋体" w:hAnsi="宋体" w:eastAsia="宋体" w:cs="宋体"/>
          <w:color w:val="000000" w:themeColor="text1"/>
          <w:kern w:val="0"/>
          <w:sz w:val="24"/>
          <w:lang w:val="en-US" w:eastAsia="zh-CN" w:bidi="ar"/>
          <w14:textFill>
            <w14:solidFill>
              <w14:schemeClr w14:val="tx1"/>
            </w14:solidFill>
          </w14:textFill>
        </w:rPr>
        <w:t>5</w:t>
      </w:r>
      <w:r>
        <w:rPr>
          <w:rFonts w:hint="eastAsia" w:ascii="宋体" w:hAnsi="宋体" w:eastAsia="宋体" w:cs="宋体"/>
          <w:color w:val="000000" w:themeColor="text1"/>
          <w:kern w:val="0"/>
          <w:sz w:val="24"/>
          <w:lang w:bidi="ar"/>
          <w14:textFill>
            <w14:solidFill>
              <w14:schemeClr w14:val="tx1"/>
            </w14:solidFill>
          </w14:textFill>
        </w:rPr>
        <w:t>）质量检验机制的建立与实施效果。</w:t>
      </w:r>
    </w:p>
    <w:p w14:paraId="540C2C17">
      <w:pPr>
        <w:widowControl/>
        <w:snapToGrid w:val="0"/>
        <w:spacing w:line="360" w:lineRule="auto"/>
        <w:jc w:val="left"/>
        <w:rPr>
          <w:rFonts w:ascii="宋体" w:hAnsi="宋体" w:eastAsia="宋体" w:cs="宋体"/>
          <w:color w:val="000000" w:themeColor="text1"/>
          <w:kern w:val="0"/>
          <w:sz w:val="24"/>
          <w:lang w:bidi="ar"/>
          <w14:textFill>
            <w14:solidFill>
              <w14:schemeClr w14:val="tx1"/>
            </w14:solidFill>
          </w14:textFill>
        </w:rPr>
      </w:pPr>
      <w:r>
        <w:rPr>
          <w:rFonts w:hint="eastAsia" w:ascii="宋体" w:hAnsi="宋体" w:eastAsia="宋体" w:cs="宋体"/>
          <w:color w:val="000000" w:themeColor="text1"/>
          <w:kern w:val="0"/>
          <w:sz w:val="24"/>
          <w:lang w:bidi="ar"/>
          <w14:textFill>
            <w14:solidFill>
              <w14:schemeClr w14:val="tx1"/>
            </w14:solidFill>
          </w14:textFill>
        </w:rPr>
        <w:t>6.1.3本条</w:t>
      </w:r>
      <w:r>
        <w:rPr>
          <w:rFonts w:hint="eastAsia" w:ascii="宋体" w:hAnsi="宋体" w:eastAsia="宋体" w:cs="宋体"/>
          <w:color w:val="000000" w:themeColor="text1"/>
          <w:kern w:val="0"/>
          <w:sz w:val="24"/>
          <w:lang w:val="en-US" w:eastAsia="zh-CN" w:bidi="ar"/>
          <w14:textFill>
            <w14:solidFill>
              <w14:schemeClr w14:val="tx1"/>
            </w14:solidFill>
          </w14:textFill>
        </w:rPr>
        <w:t>款</w:t>
      </w:r>
      <w:r>
        <w:rPr>
          <w:rFonts w:hint="eastAsia" w:ascii="宋体" w:hAnsi="宋体" w:eastAsia="宋体" w:cs="宋体"/>
          <w:color w:val="000000" w:themeColor="text1"/>
          <w:kern w:val="0"/>
          <w:sz w:val="24"/>
          <w:lang w:bidi="ar"/>
          <w14:textFill>
            <w14:solidFill>
              <w14:schemeClr w14:val="tx1"/>
            </w14:solidFill>
          </w14:textFill>
        </w:rPr>
        <w:t>适用于基础设施项目</w:t>
      </w:r>
      <w:r>
        <w:rPr>
          <w:rFonts w:hint="eastAsia" w:ascii="宋体" w:hAnsi="宋体" w:eastAsia="宋体" w:cs="宋体"/>
          <w:color w:val="000000" w:themeColor="text1"/>
          <w:kern w:val="0"/>
          <w:sz w:val="24"/>
          <w:lang w:val="en-US" w:eastAsia="zh-CN" w:bidi="ar"/>
          <w14:textFill>
            <w14:solidFill>
              <w14:schemeClr w14:val="tx1"/>
            </w14:solidFill>
          </w14:textFill>
        </w:rPr>
        <w:t>规划</w:t>
      </w:r>
      <w:r>
        <w:rPr>
          <w:rFonts w:hint="eastAsia" w:ascii="宋体" w:hAnsi="宋体" w:eastAsia="宋体" w:cs="宋体"/>
          <w:color w:val="000000" w:themeColor="text1"/>
          <w:kern w:val="0"/>
          <w:sz w:val="24"/>
          <w:lang w:bidi="ar"/>
          <w14:textFill>
            <w14:solidFill>
              <w14:schemeClr w14:val="tx1"/>
            </w14:solidFill>
          </w14:textFill>
        </w:rPr>
        <w:t>设计</w:t>
      </w:r>
      <w:r>
        <w:rPr>
          <w:rFonts w:hint="eastAsia" w:ascii="宋体" w:hAnsi="宋体" w:eastAsia="宋体" w:cs="宋体"/>
          <w:color w:val="000000" w:themeColor="text1"/>
          <w:kern w:val="0"/>
          <w:sz w:val="24"/>
          <w:lang w:val="en-US" w:eastAsia="zh-CN" w:bidi="ar"/>
          <w14:textFill>
            <w14:solidFill>
              <w14:schemeClr w14:val="tx1"/>
            </w14:solidFill>
          </w14:textFill>
        </w:rPr>
        <w:t>阶段</w:t>
      </w:r>
      <w:r>
        <w:rPr>
          <w:rFonts w:hint="eastAsia" w:ascii="宋体" w:hAnsi="宋体" w:eastAsia="宋体" w:cs="宋体"/>
          <w:color w:val="000000" w:themeColor="text1"/>
          <w:kern w:val="0"/>
          <w:sz w:val="24"/>
          <w:lang w:bidi="ar"/>
          <w14:textFill>
            <w14:solidFill>
              <w14:schemeClr w14:val="tx1"/>
            </w14:solidFill>
          </w14:textFill>
        </w:rPr>
        <w:t>、</w:t>
      </w:r>
      <w:r>
        <w:rPr>
          <w:rFonts w:hint="eastAsia" w:ascii="宋体" w:hAnsi="宋体" w:eastAsia="宋体" w:cs="宋体"/>
          <w:color w:val="000000" w:themeColor="text1"/>
          <w:kern w:val="0"/>
          <w:sz w:val="24"/>
          <w:lang w:eastAsia="zh-CN" w:bidi="ar"/>
          <w14:textFill>
            <w14:solidFill>
              <w14:schemeClr w14:val="tx1"/>
            </w14:solidFill>
          </w14:textFill>
        </w:rPr>
        <w:t>施工建造</w:t>
      </w:r>
      <w:r>
        <w:rPr>
          <w:rFonts w:hint="eastAsia" w:ascii="宋体" w:hAnsi="宋体" w:eastAsia="宋体" w:cs="宋体"/>
          <w:color w:val="000000" w:themeColor="text1"/>
          <w:kern w:val="0"/>
          <w:sz w:val="24"/>
          <w:lang w:val="en-US" w:eastAsia="zh-CN" w:bidi="ar"/>
          <w14:textFill>
            <w14:solidFill>
              <w14:schemeClr w14:val="tx1"/>
            </w14:solidFill>
          </w14:textFill>
        </w:rPr>
        <w:t>阶段</w:t>
      </w:r>
      <w:r>
        <w:rPr>
          <w:rFonts w:hint="eastAsia" w:ascii="宋体" w:hAnsi="宋体" w:eastAsia="宋体" w:cs="宋体"/>
          <w:color w:val="000000" w:themeColor="text1"/>
          <w:kern w:val="0"/>
          <w:sz w:val="24"/>
          <w:lang w:eastAsia="zh-CN" w:bidi="ar"/>
          <w14:textFill>
            <w14:solidFill>
              <w14:schemeClr w14:val="tx1"/>
            </w14:solidFill>
          </w14:textFill>
        </w:rPr>
        <w:t>、</w:t>
      </w:r>
      <w:r>
        <w:rPr>
          <w:rFonts w:hint="eastAsia" w:ascii="宋体" w:hAnsi="宋体" w:eastAsia="宋体" w:cs="宋体"/>
          <w:color w:val="000000" w:themeColor="text1"/>
          <w:kern w:val="0"/>
          <w:sz w:val="24"/>
          <w:lang w:bidi="ar"/>
          <w14:textFill>
            <w14:solidFill>
              <w14:schemeClr w14:val="tx1"/>
            </w14:solidFill>
          </w14:textFill>
        </w:rPr>
        <w:t>运行</w:t>
      </w:r>
      <w:r>
        <w:rPr>
          <w:rFonts w:hint="eastAsia" w:ascii="宋体" w:hAnsi="宋体" w:eastAsia="宋体" w:cs="宋体"/>
          <w:color w:val="000000" w:themeColor="text1"/>
          <w:kern w:val="0"/>
          <w:sz w:val="24"/>
          <w:lang w:val="en-US" w:eastAsia="zh-CN" w:bidi="ar"/>
          <w14:textFill>
            <w14:solidFill>
              <w14:schemeClr w14:val="tx1"/>
            </w14:solidFill>
          </w14:textFill>
        </w:rPr>
        <w:t>阶段的评价</w:t>
      </w:r>
      <w:r>
        <w:rPr>
          <w:rFonts w:hint="eastAsia" w:ascii="宋体" w:hAnsi="宋体" w:eastAsia="宋体" w:cs="宋体"/>
          <w:color w:val="000000" w:themeColor="text1"/>
          <w:kern w:val="0"/>
          <w:sz w:val="24"/>
          <w:lang w:bidi="ar"/>
          <w14:textFill>
            <w14:solidFill>
              <w14:schemeClr w14:val="tx1"/>
            </w14:solidFill>
          </w14:textFill>
        </w:rPr>
        <w:t xml:space="preserve">。 </w:t>
      </w:r>
    </w:p>
    <w:p w14:paraId="7F4087D8">
      <w:pPr>
        <w:widowControl/>
        <w:snapToGrid w:val="0"/>
        <w:spacing w:line="360" w:lineRule="auto"/>
        <w:ind w:firstLine="480" w:firstLineChars="200"/>
        <w:jc w:val="left"/>
        <w:rPr>
          <w:rFonts w:ascii="宋体" w:hAnsi="宋体" w:eastAsia="宋体" w:cs="宋体"/>
          <w:color w:val="000000" w:themeColor="text1"/>
          <w:kern w:val="0"/>
          <w:sz w:val="24"/>
          <w:lang w:bidi="ar"/>
          <w14:textFill>
            <w14:solidFill>
              <w14:schemeClr w14:val="tx1"/>
            </w14:solidFill>
          </w14:textFill>
        </w:rPr>
      </w:pPr>
      <w:r>
        <w:rPr>
          <w:rFonts w:hint="eastAsia" w:ascii="宋体" w:hAnsi="宋体" w:eastAsia="宋体" w:cs="宋体"/>
          <w:color w:val="000000" w:themeColor="text1"/>
          <w:kern w:val="0"/>
          <w:sz w:val="24"/>
          <w:lang w:bidi="ar"/>
          <w14:textFill>
            <w14:solidFill>
              <w14:schemeClr w14:val="tx1"/>
            </w14:solidFill>
          </w14:textFill>
        </w:rPr>
        <w:t xml:space="preserve">本条要求评判供应商的社会责任，环境影响和资源效率，实现项目可持续发展。避免出现分供商失控及供应链中断现象，禁止项目施工过程因分供商管理不当引发、造成具有恶劣社会影响或群体性事件。 </w:t>
      </w:r>
    </w:p>
    <w:p w14:paraId="7EC2CC5D">
      <w:pPr>
        <w:widowControl/>
        <w:snapToGrid w:val="0"/>
        <w:spacing w:line="360" w:lineRule="auto"/>
        <w:ind w:firstLine="240" w:firstLineChars="100"/>
        <w:jc w:val="left"/>
        <w:rPr>
          <w:rFonts w:ascii="宋体" w:hAnsi="宋体" w:eastAsia="宋体" w:cs="宋体"/>
          <w:color w:val="000000" w:themeColor="text1"/>
          <w:kern w:val="0"/>
          <w:sz w:val="24"/>
          <w:lang w:bidi="ar"/>
          <w14:textFill>
            <w14:solidFill>
              <w14:schemeClr w14:val="tx1"/>
            </w14:solidFill>
          </w14:textFill>
        </w:rPr>
      </w:pPr>
      <w:r>
        <w:rPr>
          <w:rFonts w:hint="eastAsia" w:ascii="宋体" w:hAnsi="宋体" w:eastAsia="宋体" w:cs="宋体"/>
          <w:color w:val="000000" w:themeColor="text1"/>
          <w:kern w:val="0"/>
          <w:sz w:val="24"/>
          <w:lang w:bidi="ar"/>
          <w14:textFill>
            <w14:solidFill>
              <w14:schemeClr w14:val="tx1"/>
            </w14:solidFill>
          </w14:textFill>
        </w:rPr>
        <w:t>考量内容：（1）供应链管理</w:t>
      </w:r>
      <w:r>
        <w:rPr>
          <w:rFonts w:hint="eastAsia" w:ascii="宋体" w:hAnsi="宋体" w:eastAsia="宋体" w:cs="宋体"/>
          <w:color w:val="000000" w:themeColor="text1"/>
          <w:kern w:val="0"/>
          <w:sz w:val="24"/>
          <w:lang w:val="en-US" w:eastAsia="zh-CN" w:bidi="ar"/>
          <w14:textFill>
            <w14:solidFill>
              <w14:schemeClr w14:val="tx1"/>
            </w14:solidFill>
          </w14:textFill>
        </w:rPr>
        <w:t>措施</w:t>
      </w:r>
      <w:r>
        <w:rPr>
          <w:rFonts w:hint="eastAsia" w:ascii="宋体" w:hAnsi="宋体" w:eastAsia="宋体" w:cs="宋体"/>
          <w:color w:val="000000" w:themeColor="text1"/>
          <w:kern w:val="0"/>
          <w:sz w:val="24"/>
          <w:lang w:bidi="ar"/>
          <w14:textFill>
            <w14:solidFill>
              <w14:schemeClr w14:val="tx1"/>
            </w14:solidFill>
          </w14:textFill>
        </w:rPr>
        <w:t>；（2）</w:t>
      </w:r>
      <w:r>
        <w:rPr>
          <w:rFonts w:hint="eastAsia" w:ascii="宋体" w:hAnsi="宋体" w:eastAsia="宋体" w:cs="宋体"/>
          <w:color w:val="000000" w:themeColor="text1"/>
          <w:kern w:val="0"/>
          <w:sz w:val="24"/>
          <w:lang w:val="en-US" w:eastAsia="zh-CN" w:bidi="ar"/>
          <w14:textFill>
            <w14:solidFill>
              <w14:schemeClr w14:val="tx1"/>
            </w14:solidFill>
          </w14:textFill>
        </w:rPr>
        <w:t>供应链管理措施执行情况</w:t>
      </w:r>
      <w:r>
        <w:rPr>
          <w:rFonts w:hint="eastAsia" w:ascii="宋体" w:hAnsi="宋体" w:eastAsia="宋体" w:cs="宋体"/>
          <w:color w:val="000000" w:themeColor="text1"/>
          <w:kern w:val="0"/>
          <w:sz w:val="24"/>
          <w:lang w:bidi="ar"/>
          <w14:textFill>
            <w14:solidFill>
              <w14:schemeClr w14:val="tx1"/>
            </w14:solidFill>
          </w14:textFill>
        </w:rPr>
        <w:t xml:space="preserve">。 </w:t>
      </w:r>
    </w:p>
    <w:p w14:paraId="57D7F4C8">
      <w:pPr>
        <w:snapToGrid w:val="0"/>
        <w:spacing w:line="360" w:lineRule="auto"/>
        <w:jc w:val="center"/>
        <w:outlineLvl w:val="1"/>
        <w:rPr>
          <w:rFonts w:ascii="黑体" w:hAnsi="黑体" w:eastAsia="黑体" w:cs="黑体"/>
          <w:b/>
          <w:bCs/>
          <w:color w:val="000000" w:themeColor="text1"/>
          <w:sz w:val="28"/>
          <w:szCs w:val="28"/>
          <w14:textFill>
            <w14:solidFill>
              <w14:schemeClr w14:val="tx1"/>
            </w14:solidFill>
          </w14:textFill>
        </w:rPr>
      </w:pPr>
      <w:bookmarkStart w:id="777" w:name="_Toc16530"/>
      <w:bookmarkStart w:id="778" w:name="_Toc8917"/>
      <w:bookmarkStart w:id="779" w:name="_Toc32334"/>
      <w:bookmarkStart w:id="780" w:name="_Toc13051"/>
      <w:bookmarkStart w:id="781" w:name="_Toc2986"/>
      <w:bookmarkStart w:id="782" w:name="_Toc2783"/>
      <w:r>
        <w:rPr>
          <w:rFonts w:hint="eastAsia" w:ascii="黑体" w:hAnsi="黑体" w:eastAsia="黑体" w:cs="黑体"/>
          <w:b/>
          <w:bCs/>
          <w:color w:val="000000" w:themeColor="text1"/>
          <w:sz w:val="28"/>
          <w:szCs w:val="28"/>
          <w14:textFill>
            <w14:solidFill>
              <w14:schemeClr w14:val="tx1"/>
            </w14:solidFill>
          </w14:textFill>
        </w:rPr>
        <w:t>6.2 评分项</w:t>
      </w:r>
      <w:bookmarkEnd w:id="777"/>
      <w:bookmarkEnd w:id="778"/>
      <w:bookmarkEnd w:id="779"/>
      <w:bookmarkEnd w:id="780"/>
      <w:bookmarkEnd w:id="781"/>
      <w:bookmarkEnd w:id="782"/>
    </w:p>
    <w:p w14:paraId="6BFBF7BF">
      <w:pPr>
        <w:snapToGrid w:val="0"/>
        <w:spacing w:line="360" w:lineRule="auto"/>
        <w:jc w:val="center"/>
        <w:outlineLvl w:val="2"/>
        <w:rPr>
          <w:rFonts w:ascii="宋体" w:hAnsi="宋体" w:eastAsia="宋体" w:cs="宋体"/>
          <w:color w:val="000000" w:themeColor="text1"/>
          <w:sz w:val="24"/>
          <w14:textFill>
            <w14:solidFill>
              <w14:schemeClr w14:val="tx1"/>
            </w14:solidFill>
          </w14:textFill>
        </w:rPr>
      </w:pPr>
      <w:bookmarkStart w:id="783" w:name="_Toc31295"/>
      <w:bookmarkStart w:id="784" w:name="_Toc9295"/>
      <w:bookmarkStart w:id="785" w:name="_Toc20269"/>
      <w:r>
        <w:rPr>
          <w:rFonts w:hint="eastAsia" w:ascii="仿宋" w:hAnsi="仿宋" w:eastAsia="仿宋" w:cs="仿宋"/>
          <w:color w:val="000000" w:themeColor="text1"/>
          <w:sz w:val="28"/>
          <w:szCs w:val="28"/>
          <w14:textFill>
            <w14:solidFill>
              <w14:schemeClr w14:val="tx1"/>
            </w14:solidFill>
          </w14:textFill>
        </w:rPr>
        <w:t>Ⅰ 员工权益保护</w:t>
      </w:r>
      <w:bookmarkEnd w:id="783"/>
      <w:bookmarkEnd w:id="784"/>
      <w:bookmarkEnd w:id="785"/>
    </w:p>
    <w:p w14:paraId="1F8AC4B2">
      <w:pPr>
        <w:widowControl/>
        <w:snapToGrid w:val="0"/>
        <w:spacing w:line="360" w:lineRule="auto"/>
        <w:jc w:val="left"/>
        <w:rPr>
          <w:rFonts w:hint="eastAsia" w:ascii="宋体" w:hAnsi="宋体" w:eastAsia="宋体" w:cs="宋体"/>
          <w:color w:val="000000" w:themeColor="text1"/>
          <w:kern w:val="0"/>
          <w:sz w:val="24"/>
          <w:lang w:bidi="ar"/>
          <w14:textFill>
            <w14:solidFill>
              <w14:schemeClr w14:val="tx1"/>
            </w14:solidFill>
          </w14:textFill>
        </w:rPr>
      </w:pPr>
      <w:r>
        <w:rPr>
          <w:rFonts w:hint="eastAsia" w:ascii="宋体" w:hAnsi="宋体" w:eastAsia="宋体" w:cs="宋体"/>
          <w:color w:val="000000" w:themeColor="text1"/>
          <w:kern w:val="0"/>
          <w:sz w:val="24"/>
          <w:lang w:bidi="ar"/>
          <w14:textFill>
            <w14:solidFill>
              <w14:schemeClr w14:val="tx1"/>
            </w14:solidFill>
          </w14:textFill>
        </w:rPr>
        <w:t xml:space="preserve">6.2.1 本条款适用于基础设施项目规划设计阶段、施工建造阶段、运行阶段的评价。 </w:t>
      </w:r>
    </w:p>
    <w:p w14:paraId="37F1A031">
      <w:pPr>
        <w:widowControl/>
        <w:snapToGrid w:val="0"/>
        <w:spacing w:line="360" w:lineRule="auto"/>
        <w:ind w:firstLine="480" w:firstLineChars="200"/>
        <w:jc w:val="left"/>
        <w:rPr>
          <w:rFonts w:hint="eastAsia" w:ascii="宋体" w:hAnsi="宋体" w:eastAsia="宋体" w:cs="宋体"/>
          <w:color w:val="000000" w:themeColor="text1"/>
          <w:kern w:val="0"/>
          <w:sz w:val="24"/>
          <w:lang w:bidi="ar"/>
          <w14:textFill>
            <w14:solidFill>
              <w14:schemeClr w14:val="tx1"/>
            </w14:solidFill>
          </w14:textFill>
        </w:rPr>
      </w:pPr>
      <w:r>
        <w:rPr>
          <w:rFonts w:hint="eastAsia" w:ascii="宋体" w:hAnsi="宋体" w:eastAsia="宋体" w:cs="宋体"/>
          <w:color w:val="000000" w:themeColor="text1"/>
          <w:kern w:val="0"/>
          <w:sz w:val="24"/>
          <w:lang w:bidi="ar"/>
          <w14:textFill>
            <w14:solidFill>
              <w14:schemeClr w14:val="tx1"/>
            </w14:solidFill>
          </w14:textFill>
        </w:rPr>
        <w:t xml:space="preserve">多元化和平等就业机会体现在：无性别、民族、宗教信仰等的歧视，员工知识水平分布合理。 </w:t>
      </w:r>
    </w:p>
    <w:p w14:paraId="0E0610EB">
      <w:pPr>
        <w:widowControl/>
        <w:snapToGrid w:val="0"/>
        <w:spacing w:line="360" w:lineRule="auto"/>
        <w:ind w:firstLine="480" w:firstLineChars="200"/>
        <w:jc w:val="left"/>
        <w:rPr>
          <w:rFonts w:hint="eastAsia" w:ascii="宋体" w:hAnsi="宋体" w:eastAsia="宋体" w:cs="宋体"/>
          <w:color w:val="000000" w:themeColor="text1"/>
          <w:kern w:val="0"/>
          <w:sz w:val="24"/>
          <w:lang w:bidi="ar"/>
          <w14:textFill>
            <w14:solidFill>
              <w14:schemeClr w14:val="tx1"/>
            </w14:solidFill>
          </w14:textFill>
        </w:rPr>
      </w:pPr>
      <w:r>
        <w:rPr>
          <w:rFonts w:hint="eastAsia" w:ascii="宋体" w:hAnsi="宋体" w:eastAsia="宋体" w:cs="宋体"/>
          <w:color w:val="000000" w:themeColor="text1"/>
          <w:kern w:val="0"/>
          <w:sz w:val="24"/>
          <w:lang w:bidi="ar"/>
          <w14:textFill>
            <w14:solidFill>
              <w14:schemeClr w14:val="tx1"/>
            </w14:solidFill>
          </w14:textFill>
        </w:rPr>
        <w:t xml:space="preserve">本条款要求员工享有国家规定的节假日和周休息日、年休假、探亲假、婚丧假、计划生育假等带薪休假以及劳动合同中约定的其他假期。 </w:t>
      </w:r>
    </w:p>
    <w:p w14:paraId="396B7AD3">
      <w:pPr>
        <w:widowControl/>
        <w:snapToGrid w:val="0"/>
        <w:spacing w:line="360" w:lineRule="auto"/>
        <w:ind w:firstLine="480" w:firstLineChars="200"/>
        <w:jc w:val="left"/>
        <w:rPr>
          <w:rFonts w:hint="eastAsia" w:ascii="宋体" w:hAnsi="宋体" w:eastAsia="宋体" w:cs="宋体"/>
          <w:color w:val="000000" w:themeColor="text1"/>
          <w:kern w:val="0"/>
          <w:sz w:val="24"/>
          <w:lang w:bidi="ar"/>
          <w14:textFill>
            <w14:solidFill>
              <w14:schemeClr w14:val="tx1"/>
            </w14:solidFill>
          </w14:textFill>
        </w:rPr>
      </w:pPr>
      <w:r>
        <w:rPr>
          <w:rFonts w:hint="eastAsia" w:ascii="宋体" w:hAnsi="宋体" w:eastAsia="宋体" w:cs="宋体"/>
          <w:color w:val="000000" w:themeColor="text1"/>
          <w:kern w:val="0"/>
          <w:sz w:val="24"/>
          <w:lang w:bidi="ar"/>
          <w14:textFill>
            <w14:solidFill>
              <w14:schemeClr w14:val="tx1"/>
            </w14:solidFill>
          </w14:textFill>
        </w:rPr>
        <w:t>薪资和福利符合相关行业水平，且不低于当地最低要求。</w:t>
      </w:r>
    </w:p>
    <w:p w14:paraId="77AF0B34">
      <w:pPr>
        <w:widowControl/>
        <w:snapToGrid w:val="0"/>
        <w:spacing w:line="360" w:lineRule="auto"/>
        <w:ind w:firstLine="480" w:firstLineChars="200"/>
        <w:jc w:val="left"/>
        <w:rPr>
          <w:rFonts w:hint="eastAsia" w:ascii="宋体" w:hAnsi="宋体" w:eastAsia="宋体" w:cs="宋体"/>
          <w:color w:val="000000" w:themeColor="text1"/>
          <w:kern w:val="0"/>
          <w:sz w:val="24"/>
          <w:lang w:bidi="ar"/>
          <w14:textFill>
            <w14:solidFill>
              <w14:schemeClr w14:val="tx1"/>
            </w14:solidFill>
          </w14:textFill>
        </w:rPr>
      </w:pPr>
      <w:r>
        <w:rPr>
          <w:rFonts w:hint="eastAsia" w:ascii="宋体" w:hAnsi="宋体" w:eastAsia="宋体" w:cs="宋体"/>
          <w:color w:val="000000" w:themeColor="text1"/>
          <w:kern w:val="0"/>
          <w:sz w:val="24"/>
          <w:lang w:bidi="ar"/>
          <w14:textFill>
            <w14:solidFill>
              <w14:schemeClr w14:val="tx1"/>
            </w14:solidFill>
          </w14:textFill>
        </w:rPr>
        <w:t>员工诉求反映和沟通渠道例如工会、员工意见箱、员工座谈会、投诉电话、投诉邮件等。</w:t>
      </w:r>
    </w:p>
    <w:p w14:paraId="3A28333D">
      <w:pPr>
        <w:widowControl/>
        <w:snapToGrid w:val="0"/>
        <w:spacing w:line="360" w:lineRule="auto"/>
        <w:ind w:firstLine="480" w:firstLineChars="200"/>
        <w:jc w:val="left"/>
        <w:rPr>
          <w:rFonts w:hint="eastAsia" w:ascii="宋体" w:hAnsi="宋体" w:eastAsia="宋体" w:cs="宋体"/>
          <w:color w:val="000000" w:themeColor="text1"/>
          <w:kern w:val="0"/>
          <w:sz w:val="24"/>
          <w:lang w:bidi="ar"/>
          <w14:textFill>
            <w14:solidFill>
              <w14:schemeClr w14:val="tx1"/>
            </w14:solidFill>
          </w14:textFill>
        </w:rPr>
      </w:pPr>
      <w:r>
        <w:rPr>
          <w:rFonts w:hint="eastAsia" w:ascii="宋体" w:hAnsi="宋体" w:eastAsia="宋体" w:cs="宋体"/>
          <w:color w:val="000000" w:themeColor="text1"/>
          <w:kern w:val="0"/>
          <w:sz w:val="24"/>
          <w:lang w:bidi="ar"/>
          <w14:textFill>
            <w14:solidFill>
              <w14:schemeClr w14:val="tx1"/>
            </w14:solidFill>
          </w14:textFill>
        </w:rPr>
        <w:t>考量内容：</w:t>
      </w:r>
      <w:r>
        <w:rPr>
          <w:rFonts w:hint="eastAsia" w:ascii="宋体" w:hAnsi="宋体" w:eastAsia="宋体" w:cs="宋体"/>
          <w:color w:val="000000" w:themeColor="text1"/>
          <w:kern w:val="0"/>
          <w:sz w:val="24"/>
          <w:lang w:eastAsia="zh-CN" w:bidi="ar"/>
          <w14:textFill>
            <w14:solidFill>
              <w14:schemeClr w14:val="tx1"/>
            </w14:solidFill>
          </w14:textFill>
        </w:rPr>
        <w:t>（</w:t>
      </w:r>
      <w:r>
        <w:rPr>
          <w:rFonts w:hint="eastAsia" w:ascii="宋体" w:hAnsi="宋体" w:eastAsia="宋体" w:cs="宋体"/>
          <w:color w:val="000000" w:themeColor="text1"/>
          <w:kern w:val="0"/>
          <w:sz w:val="24"/>
          <w:lang w:val="en-US" w:eastAsia="zh-CN" w:bidi="ar"/>
          <w14:textFill>
            <w14:solidFill>
              <w14:schemeClr w14:val="tx1"/>
            </w14:solidFill>
          </w14:textFill>
        </w:rPr>
        <w:t>1</w:t>
      </w:r>
      <w:r>
        <w:rPr>
          <w:rFonts w:hint="eastAsia" w:ascii="宋体" w:hAnsi="宋体" w:eastAsia="宋体" w:cs="宋体"/>
          <w:color w:val="000000" w:themeColor="text1"/>
          <w:kern w:val="0"/>
          <w:sz w:val="24"/>
          <w:lang w:eastAsia="zh-CN" w:bidi="ar"/>
          <w14:textFill>
            <w14:solidFill>
              <w14:schemeClr w14:val="tx1"/>
            </w14:solidFill>
          </w14:textFill>
        </w:rPr>
        <w:t>）</w:t>
      </w:r>
      <w:r>
        <w:rPr>
          <w:rFonts w:hint="eastAsia" w:ascii="宋体" w:hAnsi="宋体" w:eastAsia="宋体" w:cs="宋体"/>
          <w:color w:val="000000" w:themeColor="text1"/>
          <w:kern w:val="0"/>
          <w:sz w:val="24"/>
          <w:lang w:bidi="ar"/>
          <w14:textFill>
            <w14:solidFill>
              <w14:schemeClr w14:val="tx1"/>
            </w14:solidFill>
          </w14:textFill>
        </w:rPr>
        <w:t>招聘政策、各类（不同性别、民族等）员工占比（%）；（2）员工教育程度占比（%）</w:t>
      </w:r>
      <w:r>
        <w:rPr>
          <w:rFonts w:hint="eastAsia" w:ascii="宋体" w:hAnsi="宋体" w:eastAsia="宋体" w:cs="宋体"/>
          <w:color w:val="000000" w:themeColor="text1"/>
          <w:kern w:val="0"/>
          <w:sz w:val="24"/>
          <w:lang w:eastAsia="zh-CN" w:bidi="ar"/>
          <w14:textFill>
            <w14:solidFill>
              <w14:schemeClr w14:val="tx1"/>
            </w14:solidFill>
          </w14:textFill>
        </w:rPr>
        <w:t>；</w:t>
      </w:r>
      <w:r>
        <w:rPr>
          <w:rFonts w:hint="eastAsia" w:ascii="宋体" w:hAnsi="宋体" w:eastAsia="宋体" w:cs="宋体"/>
          <w:color w:val="000000" w:themeColor="text1"/>
          <w:kern w:val="0"/>
          <w:sz w:val="24"/>
          <w:lang w:bidi="ar"/>
          <w14:textFill>
            <w14:solidFill>
              <w14:schemeClr w14:val="tx1"/>
            </w14:solidFill>
          </w14:textFill>
        </w:rPr>
        <w:t>（</w:t>
      </w:r>
      <w:r>
        <w:rPr>
          <w:rFonts w:hint="eastAsia" w:ascii="宋体" w:hAnsi="宋体" w:eastAsia="宋体" w:cs="宋体"/>
          <w:color w:val="000000" w:themeColor="text1"/>
          <w:kern w:val="0"/>
          <w:sz w:val="24"/>
          <w:lang w:val="en-US" w:eastAsia="zh-CN" w:bidi="ar"/>
          <w14:textFill>
            <w14:solidFill>
              <w14:schemeClr w14:val="tx1"/>
            </w14:solidFill>
          </w14:textFill>
        </w:rPr>
        <w:t>3</w:t>
      </w:r>
      <w:r>
        <w:rPr>
          <w:rFonts w:hint="eastAsia" w:ascii="宋体" w:hAnsi="宋体" w:eastAsia="宋体" w:cs="宋体"/>
          <w:color w:val="000000" w:themeColor="text1"/>
          <w:kern w:val="0"/>
          <w:sz w:val="24"/>
          <w:lang w:bidi="ar"/>
          <w14:textFill>
            <w14:solidFill>
              <w14:schemeClr w14:val="tx1"/>
            </w14:solidFill>
          </w14:textFill>
        </w:rPr>
        <w:t>）员工权益保障文件、社保覆盖比率；（</w:t>
      </w:r>
      <w:r>
        <w:rPr>
          <w:rFonts w:hint="eastAsia" w:ascii="宋体" w:hAnsi="宋体" w:eastAsia="宋体" w:cs="宋体"/>
          <w:color w:val="000000" w:themeColor="text1"/>
          <w:kern w:val="0"/>
          <w:sz w:val="24"/>
          <w:lang w:val="en-US" w:eastAsia="zh-CN" w:bidi="ar"/>
          <w14:textFill>
            <w14:solidFill>
              <w14:schemeClr w14:val="tx1"/>
            </w14:solidFill>
          </w14:textFill>
        </w:rPr>
        <w:t>4</w:t>
      </w:r>
      <w:r>
        <w:rPr>
          <w:rFonts w:hint="eastAsia" w:ascii="宋体" w:hAnsi="宋体" w:eastAsia="宋体" w:cs="宋体"/>
          <w:color w:val="000000" w:themeColor="text1"/>
          <w:kern w:val="0"/>
          <w:sz w:val="24"/>
          <w:lang w:bidi="ar"/>
          <w14:textFill>
            <w14:solidFill>
              <w14:schemeClr w14:val="tx1"/>
            </w14:solidFill>
          </w14:textFill>
        </w:rPr>
        <w:t>）员工参与满意度调查的情况。</w:t>
      </w:r>
    </w:p>
    <w:p w14:paraId="127179BF">
      <w:pPr>
        <w:widowControl/>
        <w:numPr>
          <w:ilvl w:val="-1"/>
          <w:numId w:val="0"/>
        </w:numPr>
        <w:snapToGrid w:val="0"/>
        <w:spacing w:line="360" w:lineRule="auto"/>
        <w:jc w:val="left"/>
        <w:rPr>
          <w:rFonts w:hint="eastAsia" w:ascii="宋体" w:hAnsi="宋体" w:eastAsia="宋体" w:cs="宋体"/>
          <w:color w:val="000000" w:themeColor="text1"/>
          <w:kern w:val="0"/>
          <w:sz w:val="24"/>
          <w:lang w:eastAsia="zh-CN" w:bidi="ar"/>
          <w14:textFill>
            <w14:solidFill>
              <w14:schemeClr w14:val="tx1"/>
            </w14:solidFill>
          </w14:textFill>
        </w:rPr>
      </w:pPr>
      <w:r>
        <w:rPr>
          <w:rFonts w:hint="eastAsia" w:ascii="宋体" w:hAnsi="宋体" w:eastAsia="宋体" w:cs="宋体"/>
          <w:color w:val="000000" w:themeColor="text1"/>
          <w:kern w:val="0"/>
          <w:sz w:val="24"/>
          <w:lang w:eastAsia="zh-CN" w:bidi="ar"/>
          <w14:textFill>
            <w14:solidFill>
              <w14:schemeClr w14:val="tx1"/>
            </w14:solidFill>
          </w14:textFill>
        </w:rPr>
        <w:t xml:space="preserve">6.2.2 本条款适用于基础设施项目规划设计阶段、施工建造阶段、运行阶段的评价。 </w:t>
      </w:r>
    </w:p>
    <w:p w14:paraId="1971BD8E">
      <w:pPr>
        <w:widowControl/>
        <w:numPr>
          <w:ilvl w:val="-1"/>
          <w:numId w:val="0"/>
        </w:numPr>
        <w:snapToGrid w:val="0"/>
        <w:spacing w:line="360" w:lineRule="auto"/>
        <w:ind w:firstLine="480" w:firstLineChars="200"/>
        <w:jc w:val="left"/>
        <w:rPr>
          <w:rFonts w:hint="eastAsia" w:ascii="宋体" w:hAnsi="宋体" w:eastAsia="宋体" w:cs="宋体"/>
          <w:color w:val="000000" w:themeColor="text1"/>
          <w:kern w:val="0"/>
          <w:sz w:val="24"/>
          <w:lang w:eastAsia="zh-CN" w:bidi="ar"/>
          <w14:textFill>
            <w14:solidFill>
              <w14:schemeClr w14:val="tx1"/>
            </w14:solidFill>
          </w14:textFill>
        </w:rPr>
      </w:pPr>
      <w:r>
        <w:rPr>
          <w:rFonts w:hint="eastAsia" w:ascii="宋体" w:hAnsi="宋体" w:eastAsia="宋体" w:cs="宋体"/>
          <w:color w:val="000000" w:themeColor="text1"/>
          <w:kern w:val="0"/>
          <w:sz w:val="24"/>
          <w:lang w:eastAsia="zh-CN" w:bidi="ar"/>
          <w14:textFill>
            <w14:solidFill>
              <w14:schemeClr w14:val="tx1"/>
            </w14:solidFill>
          </w14:textFill>
        </w:rPr>
        <w:t>员工的多元化发展，要求企业随着科学技术的进步、‌产业结构的调整等，培养员工多方面的能力。</w:t>
      </w:r>
    </w:p>
    <w:p w14:paraId="4962CE4E">
      <w:pPr>
        <w:widowControl/>
        <w:numPr>
          <w:ilvl w:val="-1"/>
          <w:numId w:val="0"/>
        </w:numPr>
        <w:snapToGrid w:val="0"/>
        <w:spacing w:line="360" w:lineRule="auto"/>
        <w:ind w:firstLine="480" w:firstLineChars="200"/>
        <w:jc w:val="left"/>
        <w:rPr>
          <w:rFonts w:hint="eastAsia" w:ascii="宋体" w:hAnsi="宋体" w:eastAsia="宋体" w:cs="宋体"/>
          <w:color w:val="000000" w:themeColor="text1"/>
          <w:kern w:val="0"/>
          <w:sz w:val="24"/>
          <w:lang w:eastAsia="zh-CN" w:bidi="ar"/>
          <w14:textFill>
            <w14:solidFill>
              <w14:schemeClr w14:val="tx1"/>
            </w14:solidFill>
          </w14:textFill>
        </w:rPr>
      </w:pPr>
      <w:r>
        <w:rPr>
          <w:rFonts w:hint="eastAsia" w:ascii="宋体" w:hAnsi="宋体" w:eastAsia="宋体" w:cs="宋体"/>
          <w:color w:val="000000" w:themeColor="text1"/>
          <w:kern w:val="0"/>
          <w:sz w:val="24"/>
          <w:lang w:eastAsia="zh-CN" w:bidi="ar"/>
          <w14:textFill>
            <w14:solidFill>
              <w14:schemeClr w14:val="tx1"/>
            </w14:solidFill>
          </w14:textFill>
        </w:rPr>
        <w:t>考量内容：（1）员工发展规划；（2）培训计划制度、措施和实施情况；（3）职位设置；（4）员工培训频率、员工培训覆盖率（%）；（5）年度培训支出（万元）；（6）员工流动率。</w:t>
      </w:r>
    </w:p>
    <w:p w14:paraId="372D0B2D">
      <w:pPr>
        <w:widowControl/>
        <w:numPr>
          <w:ilvl w:val="-1"/>
          <w:numId w:val="0"/>
        </w:numPr>
        <w:snapToGrid w:val="0"/>
        <w:spacing w:line="360" w:lineRule="auto"/>
        <w:jc w:val="left"/>
        <w:rPr>
          <w:rFonts w:hint="eastAsia" w:ascii="宋体" w:hAnsi="宋体" w:eastAsia="宋体" w:cs="宋体"/>
          <w:color w:val="000000" w:themeColor="text1"/>
          <w:kern w:val="0"/>
          <w:sz w:val="24"/>
          <w:lang w:eastAsia="zh-CN" w:bidi="ar"/>
          <w14:textFill>
            <w14:solidFill>
              <w14:schemeClr w14:val="tx1"/>
            </w14:solidFill>
          </w14:textFill>
        </w:rPr>
      </w:pPr>
    </w:p>
    <w:p w14:paraId="1EFDF3D6">
      <w:pPr>
        <w:spacing w:line="360" w:lineRule="auto"/>
        <w:jc w:val="center"/>
        <w:outlineLvl w:val="2"/>
        <w:rPr>
          <w:rFonts w:ascii="仿宋" w:hAnsi="仿宋" w:eastAsia="仿宋" w:cs="仿宋"/>
          <w:color w:val="000000" w:themeColor="text1"/>
          <w:sz w:val="28"/>
          <w:szCs w:val="28"/>
          <w14:textFill>
            <w14:solidFill>
              <w14:schemeClr w14:val="tx1"/>
            </w14:solidFill>
          </w14:textFill>
        </w:rPr>
      </w:pPr>
      <w:bookmarkStart w:id="786" w:name="_Toc24828"/>
      <w:r>
        <w:rPr>
          <w:rFonts w:hint="eastAsia" w:ascii="仿宋" w:hAnsi="仿宋" w:eastAsia="仿宋" w:cs="仿宋"/>
          <w:color w:val="000000" w:themeColor="text1"/>
          <w:sz w:val="28"/>
          <w:szCs w:val="28"/>
          <w14:textFill>
            <w14:solidFill>
              <w14:schemeClr w14:val="tx1"/>
            </w14:solidFill>
          </w14:textFill>
        </w:rPr>
        <w:t>Ⅱ 职业健康和安全</w:t>
      </w:r>
      <w:bookmarkEnd w:id="786"/>
    </w:p>
    <w:p w14:paraId="787A2C01">
      <w:pPr>
        <w:widowControl/>
        <w:numPr>
          <w:ilvl w:val="-1"/>
          <w:numId w:val="0"/>
        </w:numPr>
        <w:snapToGrid w:val="0"/>
        <w:spacing w:line="360" w:lineRule="auto"/>
        <w:jc w:val="left"/>
        <w:rPr>
          <w:rFonts w:hint="eastAsia" w:ascii="宋体" w:hAnsi="宋体" w:eastAsia="宋体" w:cs="宋体"/>
          <w:color w:val="000000" w:themeColor="text1"/>
          <w:kern w:val="0"/>
          <w:sz w:val="24"/>
          <w:lang w:eastAsia="zh-CN" w:bidi="ar"/>
          <w14:textFill>
            <w14:solidFill>
              <w14:schemeClr w14:val="tx1"/>
            </w14:solidFill>
          </w14:textFill>
        </w:rPr>
      </w:pPr>
      <w:r>
        <w:rPr>
          <w:rFonts w:hint="eastAsia" w:ascii="宋体" w:hAnsi="宋体" w:eastAsia="宋体" w:cs="宋体"/>
          <w:color w:val="000000" w:themeColor="text1"/>
          <w:kern w:val="0"/>
          <w:sz w:val="24"/>
          <w:lang w:eastAsia="zh-CN" w:bidi="ar"/>
          <w14:textFill>
            <w14:solidFill>
              <w14:schemeClr w14:val="tx1"/>
            </w14:solidFill>
          </w14:textFill>
        </w:rPr>
        <w:t xml:space="preserve">6.2.3 本条款适用于基础设施项目施工建造阶段、运行阶段的评价。 </w:t>
      </w:r>
    </w:p>
    <w:p w14:paraId="5296953C">
      <w:pPr>
        <w:widowControl/>
        <w:numPr>
          <w:ilvl w:val="-1"/>
          <w:numId w:val="0"/>
        </w:numPr>
        <w:snapToGrid w:val="0"/>
        <w:spacing w:line="360" w:lineRule="auto"/>
        <w:ind w:firstLine="480" w:firstLineChars="200"/>
        <w:jc w:val="left"/>
        <w:rPr>
          <w:rFonts w:hint="eastAsia" w:ascii="宋体" w:hAnsi="宋体" w:eastAsia="宋体" w:cs="宋体"/>
          <w:color w:val="000000" w:themeColor="text1"/>
          <w:kern w:val="0"/>
          <w:sz w:val="24"/>
          <w:lang w:eastAsia="zh-CN" w:bidi="ar"/>
          <w14:textFill>
            <w14:solidFill>
              <w14:schemeClr w14:val="tx1"/>
            </w14:solidFill>
          </w14:textFill>
        </w:rPr>
      </w:pPr>
      <w:r>
        <w:rPr>
          <w:rFonts w:hint="eastAsia" w:ascii="宋体" w:hAnsi="宋体" w:eastAsia="宋体" w:cs="宋体"/>
          <w:color w:val="000000" w:themeColor="text1"/>
          <w:kern w:val="0"/>
          <w:sz w:val="24"/>
          <w:lang w:eastAsia="zh-CN" w:bidi="ar"/>
          <w14:textFill>
            <w14:solidFill>
              <w14:schemeClr w14:val="tx1"/>
            </w14:solidFill>
          </w14:textFill>
        </w:rPr>
        <w:t>考量内容：（1）重大危险源进行识别情况；（2）安全风险预防措施和应急预案；（3）安全风险监控预警信息化管理工具；（</w:t>
      </w:r>
      <w:r>
        <w:rPr>
          <w:rFonts w:hint="eastAsia" w:ascii="宋体" w:hAnsi="宋体" w:eastAsia="宋体" w:cs="宋体"/>
          <w:color w:val="000000" w:themeColor="text1"/>
          <w:kern w:val="0"/>
          <w:sz w:val="24"/>
          <w:lang w:val="en-US" w:eastAsia="zh-CN" w:bidi="ar"/>
          <w14:textFill>
            <w14:solidFill>
              <w14:schemeClr w14:val="tx1"/>
            </w14:solidFill>
          </w14:textFill>
        </w:rPr>
        <w:t>4</w:t>
      </w:r>
      <w:r>
        <w:rPr>
          <w:rFonts w:hint="eastAsia" w:ascii="宋体" w:hAnsi="宋体" w:eastAsia="宋体" w:cs="宋体"/>
          <w:color w:val="000000" w:themeColor="text1"/>
          <w:kern w:val="0"/>
          <w:sz w:val="24"/>
          <w:lang w:eastAsia="zh-CN" w:bidi="ar"/>
          <w14:textFill>
            <w14:solidFill>
              <w14:schemeClr w14:val="tx1"/>
            </w14:solidFill>
          </w14:textFill>
        </w:rPr>
        <w:t>）安全岗位责任书。</w:t>
      </w:r>
    </w:p>
    <w:p w14:paraId="5B273B9C">
      <w:pPr>
        <w:widowControl/>
        <w:numPr>
          <w:ilvl w:val="-1"/>
          <w:numId w:val="0"/>
        </w:numPr>
        <w:snapToGrid w:val="0"/>
        <w:spacing w:line="360" w:lineRule="auto"/>
        <w:jc w:val="left"/>
        <w:rPr>
          <w:rFonts w:hint="eastAsia" w:ascii="宋体" w:hAnsi="宋体" w:eastAsia="宋体" w:cs="宋体"/>
          <w:color w:val="000000" w:themeColor="text1"/>
          <w:kern w:val="0"/>
          <w:sz w:val="24"/>
          <w:lang w:eastAsia="zh-CN" w:bidi="ar"/>
          <w14:textFill>
            <w14:solidFill>
              <w14:schemeClr w14:val="tx1"/>
            </w14:solidFill>
          </w14:textFill>
        </w:rPr>
      </w:pPr>
      <w:r>
        <w:rPr>
          <w:rFonts w:hint="eastAsia" w:ascii="宋体" w:hAnsi="宋体" w:eastAsia="宋体" w:cs="宋体"/>
          <w:color w:val="000000" w:themeColor="text1"/>
          <w:kern w:val="0"/>
          <w:sz w:val="24"/>
          <w:lang w:eastAsia="zh-CN" w:bidi="ar"/>
          <w14:textFill>
            <w14:solidFill>
              <w14:schemeClr w14:val="tx1"/>
            </w14:solidFill>
          </w14:textFill>
        </w:rPr>
        <w:t>6.2.</w:t>
      </w:r>
      <w:r>
        <w:rPr>
          <w:rFonts w:hint="eastAsia" w:ascii="宋体" w:hAnsi="宋体" w:eastAsia="宋体" w:cs="宋体"/>
          <w:color w:val="000000" w:themeColor="text1"/>
          <w:kern w:val="0"/>
          <w:sz w:val="24"/>
          <w:lang w:val="en-US" w:eastAsia="zh-CN" w:bidi="ar"/>
          <w14:textFill>
            <w14:solidFill>
              <w14:schemeClr w14:val="tx1"/>
            </w14:solidFill>
          </w14:textFill>
        </w:rPr>
        <w:t>4</w:t>
      </w:r>
      <w:r>
        <w:rPr>
          <w:rFonts w:hint="eastAsia" w:ascii="宋体" w:hAnsi="宋体" w:eastAsia="宋体" w:cs="宋体"/>
          <w:color w:val="000000" w:themeColor="text1"/>
          <w:kern w:val="0"/>
          <w:sz w:val="24"/>
          <w:lang w:eastAsia="zh-CN" w:bidi="ar"/>
          <w14:textFill>
            <w14:solidFill>
              <w14:schemeClr w14:val="tx1"/>
            </w14:solidFill>
          </w14:textFill>
        </w:rPr>
        <w:t xml:space="preserve"> 本条款适用于基础设施项目施工建造阶段、运行阶段的评价。 </w:t>
      </w:r>
    </w:p>
    <w:p w14:paraId="3F4CEBE1">
      <w:pPr>
        <w:widowControl/>
        <w:numPr>
          <w:ilvl w:val="-1"/>
          <w:numId w:val="0"/>
        </w:numPr>
        <w:snapToGrid w:val="0"/>
        <w:spacing w:line="360" w:lineRule="auto"/>
        <w:ind w:firstLine="480" w:firstLineChars="200"/>
        <w:jc w:val="left"/>
        <w:rPr>
          <w:rFonts w:hint="eastAsia" w:ascii="宋体" w:hAnsi="宋体" w:eastAsia="宋体" w:cs="宋体"/>
          <w:color w:val="000000" w:themeColor="text1"/>
          <w:kern w:val="0"/>
          <w:sz w:val="24"/>
          <w:lang w:eastAsia="zh-CN" w:bidi="ar"/>
          <w14:textFill>
            <w14:solidFill>
              <w14:schemeClr w14:val="tx1"/>
            </w14:solidFill>
          </w14:textFill>
        </w:rPr>
      </w:pPr>
      <w:r>
        <w:rPr>
          <w:rFonts w:hint="eastAsia" w:ascii="宋体" w:hAnsi="宋体" w:eastAsia="宋体" w:cs="宋体"/>
          <w:color w:val="000000" w:themeColor="text1"/>
          <w:kern w:val="0"/>
          <w:sz w:val="24"/>
          <w:lang w:eastAsia="zh-CN" w:bidi="ar"/>
          <w14:textFill>
            <w14:solidFill>
              <w14:schemeClr w14:val="tx1"/>
            </w14:solidFill>
          </w14:textFill>
        </w:rPr>
        <w:t>考量内容：安全风险防护培训（含演练）记录等。</w:t>
      </w:r>
    </w:p>
    <w:p w14:paraId="65BD1C44">
      <w:pPr>
        <w:widowControl/>
        <w:numPr>
          <w:ilvl w:val="-1"/>
          <w:numId w:val="0"/>
        </w:numPr>
        <w:snapToGrid w:val="0"/>
        <w:spacing w:line="360" w:lineRule="auto"/>
        <w:jc w:val="left"/>
        <w:rPr>
          <w:rFonts w:hint="eastAsia" w:ascii="宋体" w:hAnsi="宋体" w:eastAsia="宋体" w:cs="宋体"/>
          <w:color w:val="000000" w:themeColor="text1"/>
          <w:kern w:val="0"/>
          <w:sz w:val="24"/>
          <w:lang w:eastAsia="zh-CN" w:bidi="ar"/>
          <w14:textFill>
            <w14:solidFill>
              <w14:schemeClr w14:val="tx1"/>
            </w14:solidFill>
          </w14:textFill>
        </w:rPr>
      </w:pPr>
      <w:r>
        <w:rPr>
          <w:rFonts w:hint="eastAsia" w:ascii="宋体" w:hAnsi="宋体" w:eastAsia="宋体" w:cs="宋体"/>
          <w:color w:val="000000" w:themeColor="text1"/>
          <w:kern w:val="0"/>
          <w:sz w:val="24"/>
          <w:lang w:eastAsia="zh-CN" w:bidi="ar"/>
          <w14:textFill>
            <w14:solidFill>
              <w14:schemeClr w14:val="tx1"/>
            </w14:solidFill>
          </w14:textFill>
        </w:rPr>
        <w:t>6.2.</w:t>
      </w:r>
      <w:r>
        <w:rPr>
          <w:rFonts w:hint="eastAsia" w:ascii="宋体" w:hAnsi="宋体" w:eastAsia="宋体" w:cs="宋体"/>
          <w:color w:val="000000" w:themeColor="text1"/>
          <w:kern w:val="0"/>
          <w:sz w:val="24"/>
          <w:lang w:val="en-US" w:eastAsia="zh-CN" w:bidi="ar"/>
          <w14:textFill>
            <w14:solidFill>
              <w14:schemeClr w14:val="tx1"/>
            </w14:solidFill>
          </w14:textFill>
        </w:rPr>
        <w:t>5</w:t>
      </w:r>
      <w:r>
        <w:rPr>
          <w:rFonts w:hint="eastAsia" w:ascii="宋体" w:hAnsi="宋体" w:eastAsia="宋体" w:cs="宋体"/>
          <w:color w:val="000000" w:themeColor="text1"/>
          <w:kern w:val="0"/>
          <w:sz w:val="24"/>
          <w:lang w:eastAsia="zh-CN" w:bidi="ar"/>
          <w14:textFill>
            <w14:solidFill>
              <w14:schemeClr w14:val="tx1"/>
            </w14:solidFill>
          </w14:textFill>
        </w:rPr>
        <w:t xml:space="preserve"> 本条款适用于基础设施项目规划设计阶段、施工建造阶段、运行阶段评价。</w:t>
      </w:r>
    </w:p>
    <w:p w14:paraId="1E0055A4">
      <w:pPr>
        <w:widowControl/>
        <w:numPr>
          <w:ilvl w:val="-1"/>
          <w:numId w:val="0"/>
        </w:numPr>
        <w:snapToGrid w:val="0"/>
        <w:spacing w:line="360" w:lineRule="auto"/>
        <w:ind w:firstLine="480" w:firstLineChars="200"/>
        <w:jc w:val="left"/>
        <w:rPr>
          <w:rFonts w:hint="eastAsia" w:ascii="宋体" w:hAnsi="宋体" w:eastAsia="宋体" w:cs="宋体"/>
          <w:color w:val="000000" w:themeColor="text1"/>
          <w:kern w:val="0"/>
          <w:sz w:val="24"/>
          <w:lang w:eastAsia="zh-CN" w:bidi="ar"/>
          <w14:textFill>
            <w14:solidFill>
              <w14:schemeClr w14:val="tx1"/>
            </w14:solidFill>
          </w14:textFill>
        </w:rPr>
      </w:pPr>
      <w:r>
        <w:rPr>
          <w:rFonts w:hint="eastAsia" w:ascii="宋体" w:hAnsi="宋体" w:eastAsia="宋体" w:cs="宋体"/>
          <w:color w:val="000000" w:themeColor="text1"/>
          <w:kern w:val="0"/>
          <w:sz w:val="24"/>
          <w:lang w:eastAsia="zh-CN" w:bidi="ar"/>
          <w14:textFill>
            <w14:solidFill>
              <w14:schemeClr w14:val="tx1"/>
            </w14:solidFill>
          </w14:textFill>
        </w:rPr>
        <w:t xml:space="preserve">员工心理健康援助渠道，如：设置心理帮扶场所，设置心理问题求助热线等措施。 </w:t>
      </w:r>
    </w:p>
    <w:p w14:paraId="1605B8A2">
      <w:pPr>
        <w:widowControl/>
        <w:numPr>
          <w:ilvl w:val="-1"/>
          <w:numId w:val="0"/>
        </w:numPr>
        <w:snapToGrid w:val="0"/>
        <w:spacing w:line="360" w:lineRule="auto"/>
        <w:ind w:firstLine="480" w:firstLineChars="200"/>
        <w:jc w:val="left"/>
        <w:rPr>
          <w:rFonts w:hint="eastAsia" w:ascii="宋体" w:hAnsi="宋体" w:eastAsia="宋体" w:cs="宋体"/>
          <w:color w:val="000000" w:themeColor="text1"/>
          <w:kern w:val="0"/>
          <w:sz w:val="24"/>
          <w:lang w:eastAsia="zh-CN" w:bidi="ar"/>
          <w14:textFill>
            <w14:solidFill>
              <w14:schemeClr w14:val="tx1"/>
            </w14:solidFill>
          </w14:textFill>
        </w:rPr>
      </w:pPr>
      <w:r>
        <w:rPr>
          <w:rFonts w:hint="eastAsia" w:ascii="宋体" w:hAnsi="宋体" w:eastAsia="宋体" w:cs="宋体"/>
          <w:color w:val="000000" w:themeColor="text1"/>
          <w:kern w:val="0"/>
          <w:sz w:val="24"/>
          <w:lang w:eastAsia="zh-CN" w:bidi="ar"/>
          <w14:textFill>
            <w14:solidFill>
              <w14:schemeClr w14:val="tx1"/>
            </w14:solidFill>
          </w14:textFill>
        </w:rPr>
        <w:t>考量内容：（1）年度健康体检覆盖率、特殊工种年度体验覆盖率；（2）职业病发病率；（</w:t>
      </w:r>
      <w:r>
        <w:rPr>
          <w:rFonts w:hint="eastAsia" w:ascii="宋体" w:hAnsi="宋体" w:eastAsia="宋体" w:cs="宋体"/>
          <w:color w:val="000000" w:themeColor="text1"/>
          <w:kern w:val="0"/>
          <w:sz w:val="24"/>
          <w:lang w:val="en-US" w:eastAsia="zh-CN" w:bidi="ar"/>
          <w14:textFill>
            <w14:solidFill>
              <w14:schemeClr w14:val="tx1"/>
            </w14:solidFill>
          </w14:textFill>
        </w:rPr>
        <w:t>3</w:t>
      </w:r>
      <w:r>
        <w:rPr>
          <w:rFonts w:hint="eastAsia" w:ascii="宋体" w:hAnsi="宋体" w:eastAsia="宋体" w:cs="宋体"/>
          <w:color w:val="000000" w:themeColor="text1"/>
          <w:kern w:val="0"/>
          <w:sz w:val="24"/>
          <w:lang w:eastAsia="zh-CN" w:bidi="ar"/>
          <w14:textFill>
            <w14:solidFill>
              <w14:schemeClr w14:val="tx1"/>
            </w14:solidFill>
          </w14:textFill>
        </w:rPr>
        <w:t>）为员工提供心理健康培训和咨询的全职及兼职医生情况（个/千人）；（</w:t>
      </w:r>
      <w:r>
        <w:rPr>
          <w:rFonts w:hint="eastAsia" w:ascii="宋体" w:hAnsi="宋体" w:eastAsia="宋体" w:cs="宋体"/>
          <w:color w:val="000000" w:themeColor="text1"/>
          <w:kern w:val="0"/>
          <w:sz w:val="24"/>
          <w:lang w:val="en-US" w:eastAsia="zh-CN" w:bidi="ar"/>
          <w14:textFill>
            <w14:solidFill>
              <w14:schemeClr w14:val="tx1"/>
            </w14:solidFill>
          </w14:textFill>
        </w:rPr>
        <w:t>4</w:t>
      </w:r>
      <w:r>
        <w:rPr>
          <w:rFonts w:hint="eastAsia" w:ascii="宋体" w:hAnsi="宋体" w:eastAsia="宋体" w:cs="宋体"/>
          <w:color w:val="000000" w:themeColor="text1"/>
          <w:kern w:val="0"/>
          <w:sz w:val="24"/>
          <w:lang w:eastAsia="zh-CN" w:bidi="ar"/>
          <w14:textFill>
            <w14:solidFill>
              <w14:schemeClr w14:val="tx1"/>
            </w14:solidFill>
          </w14:textFill>
        </w:rPr>
        <w:t>）工作环境安全管理制度文件等。</w:t>
      </w:r>
    </w:p>
    <w:p w14:paraId="11606989">
      <w:pPr>
        <w:spacing w:line="360" w:lineRule="auto"/>
        <w:jc w:val="center"/>
        <w:outlineLvl w:val="2"/>
        <w:rPr>
          <w:rFonts w:ascii="仿宋" w:hAnsi="仿宋" w:eastAsia="仿宋" w:cs="仿宋"/>
          <w:color w:val="000000" w:themeColor="text1"/>
          <w:sz w:val="28"/>
          <w:szCs w:val="28"/>
          <w14:textFill>
            <w14:solidFill>
              <w14:schemeClr w14:val="tx1"/>
            </w14:solidFill>
          </w14:textFill>
        </w:rPr>
      </w:pPr>
      <w:bookmarkStart w:id="787" w:name="_Toc843"/>
      <w:r>
        <w:rPr>
          <w:rFonts w:hint="eastAsia" w:ascii="仿宋" w:hAnsi="仿宋" w:eastAsia="仿宋" w:cs="仿宋"/>
          <w:color w:val="000000" w:themeColor="text1"/>
          <w:sz w:val="28"/>
          <w:szCs w:val="28"/>
          <w14:textFill>
            <w14:solidFill>
              <w14:schemeClr w14:val="tx1"/>
            </w14:solidFill>
          </w14:textFill>
        </w:rPr>
        <w:t>Ⅲ 质量管理</w:t>
      </w:r>
      <w:bookmarkEnd w:id="787"/>
    </w:p>
    <w:p w14:paraId="17C1C714">
      <w:pPr>
        <w:widowControl/>
        <w:numPr>
          <w:ilvl w:val="-1"/>
          <w:numId w:val="0"/>
        </w:numPr>
        <w:snapToGrid w:val="0"/>
        <w:spacing w:line="360" w:lineRule="auto"/>
        <w:jc w:val="left"/>
        <w:rPr>
          <w:rFonts w:hint="eastAsia" w:ascii="宋体" w:hAnsi="宋体" w:eastAsia="宋体" w:cs="宋体"/>
          <w:color w:val="000000" w:themeColor="text1"/>
          <w:kern w:val="0"/>
          <w:sz w:val="24"/>
          <w:lang w:eastAsia="zh-CN" w:bidi="ar"/>
          <w14:textFill>
            <w14:solidFill>
              <w14:schemeClr w14:val="tx1"/>
            </w14:solidFill>
          </w14:textFill>
        </w:rPr>
      </w:pPr>
      <w:r>
        <w:rPr>
          <w:rFonts w:hint="eastAsia" w:ascii="宋体" w:hAnsi="宋体" w:eastAsia="宋体" w:cs="宋体"/>
          <w:color w:val="000000" w:themeColor="text1"/>
          <w:kern w:val="0"/>
          <w:sz w:val="24"/>
          <w:lang w:eastAsia="zh-CN" w:bidi="ar"/>
          <w14:textFill>
            <w14:solidFill>
              <w14:schemeClr w14:val="tx1"/>
            </w14:solidFill>
          </w14:textFill>
        </w:rPr>
        <w:t>6.2.</w:t>
      </w:r>
      <w:r>
        <w:rPr>
          <w:rFonts w:hint="eastAsia" w:ascii="宋体" w:hAnsi="宋体" w:eastAsia="宋体" w:cs="宋体"/>
          <w:color w:val="000000" w:themeColor="text1"/>
          <w:kern w:val="0"/>
          <w:sz w:val="24"/>
          <w:lang w:val="en-US" w:eastAsia="zh-CN" w:bidi="ar"/>
          <w14:textFill>
            <w14:solidFill>
              <w14:schemeClr w14:val="tx1"/>
            </w14:solidFill>
          </w14:textFill>
        </w:rPr>
        <w:t>6</w:t>
      </w:r>
      <w:r>
        <w:rPr>
          <w:rFonts w:hint="eastAsia" w:ascii="宋体" w:hAnsi="宋体" w:eastAsia="宋体" w:cs="宋体"/>
          <w:color w:val="000000" w:themeColor="text1"/>
          <w:kern w:val="0"/>
          <w:sz w:val="24"/>
          <w:lang w:eastAsia="zh-CN" w:bidi="ar"/>
          <w14:textFill>
            <w14:solidFill>
              <w14:schemeClr w14:val="tx1"/>
            </w14:solidFill>
          </w14:textFill>
        </w:rPr>
        <w:t xml:space="preserve"> 本条款适用于基础设施项目规划设计、施工建造阶段、运行阶段的评价。</w:t>
      </w:r>
    </w:p>
    <w:p w14:paraId="11A72CF7">
      <w:pPr>
        <w:widowControl/>
        <w:numPr>
          <w:ilvl w:val="-1"/>
          <w:numId w:val="0"/>
        </w:numPr>
        <w:snapToGrid w:val="0"/>
        <w:spacing w:line="360" w:lineRule="auto"/>
        <w:ind w:firstLine="480" w:firstLineChars="200"/>
        <w:jc w:val="left"/>
        <w:rPr>
          <w:rFonts w:hint="eastAsia" w:ascii="宋体" w:hAnsi="宋体" w:eastAsia="宋体" w:cs="宋体"/>
          <w:color w:val="000000" w:themeColor="text1"/>
          <w:kern w:val="0"/>
          <w:sz w:val="24"/>
          <w:lang w:eastAsia="zh-CN" w:bidi="ar"/>
          <w14:textFill>
            <w14:solidFill>
              <w14:schemeClr w14:val="tx1"/>
            </w14:solidFill>
          </w14:textFill>
        </w:rPr>
      </w:pPr>
      <w:r>
        <w:rPr>
          <w:rFonts w:hint="eastAsia" w:ascii="宋体" w:hAnsi="宋体" w:eastAsia="宋体" w:cs="宋体"/>
          <w:color w:val="000000" w:themeColor="text1"/>
          <w:kern w:val="0"/>
          <w:sz w:val="24"/>
          <w:lang w:eastAsia="zh-CN" w:bidi="ar"/>
          <w14:textFill>
            <w14:solidFill>
              <w14:schemeClr w14:val="tx1"/>
            </w14:solidFill>
          </w14:textFill>
        </w:rPr>
        <w:t>建立标准化、规范化的技术保障体系，依据国家工程建设强制性标准及行业规程，通过技术标准执行、质量控制闭环、安全保障强化及环境保护落地四大措施实现全过程受控管理；通过技术参数数字化管控、质量检验可追溯化、安全防护</w:t>
      </w:r>
      <w:r>
        <w:rPr>
          <w:rFonts w:hint="eastAsia" w:ascii="宋体" w:hAnsi="宋体" w:eastAsia="宋体" w:cs="宋体"/>
          <w:color w:val="000000" w:themeColor="text1"/>
          <w:kern w:val="0"/>
          <w:sz w:val="24"/>
          <w:lang w:val="en-US" w:eastAsia="zh-CN" w:bidi="ar"/>
          <w14:textFill>
            <w14:solidFill>
              <w14:schemeClr w14:val="tx1"/>
            </w14:solidFill>
          </w14:textFill>
        </w:rPr>
        <w:t>等保护措施，</w:t>
      </w:r>
      <w:r>
        <w:rPr>
          <w:rFonts w:hint="eastAsia" w:ascii="宋体" w:hAnsi="宋体" w:eastAsia="宋体" w:cs="宋体"/>
          <w:color w:val="000000" w:themeColor="text1"/>
          <w:kern w:val="0"/>
          <w:sz w:val="24"/>
          <w:lang w:eastAsia="zh-CN" w:bidi="ar"/>
          <w14:textFill>
            <w14:solidFill>
              <w14:schemeClr w14:val="tx1"/>
            </w14:solidFill>
          </w14:textFill>
        </w:rPr>
        <w:t>实时化及环保指标严控化，提升合格率，降低安全事故率，环保违规事件零发生，为工程质量安全与绿色建造提供基础支撑。</w:t>
      </w:r>
    </w:p>
    <w:p w14:paraId="79E90FBD">
      <w:pPr>
        <w:widowControl/>
        <w:numPr>
          <w:ilvl w:val="-1"/>
          <w:numId w:val="0"/>
        </w:numPr>
        <w:snapToGrid w:val="0"/>
        <w:spacing w:line="360" w:lineRule="auto"/>
        <w:ind w:firstLine="480" w:firstLineChars="200"/>
        <w:jc w:val="left"/>
        <w:rPr>
          <w:rFonts w:hint="eastAsia" w:ascii="宋体" w:hAnsi="宋体" w:eastAsia="宋体" w:cs="宋体"/>
          <w:color w:val="000000" w:themeColor="text1"/>
          <w:kern w:val="0"/>
          <w:sz w:val="24"/>
          <w:lang w:eastAsia="zh-CN" w:bidi="ar"/>
          <w14:textFill>
            <w14:solidFill>
              <w14:schemeClr w14:val="tx1"/>
            </w14:solidFill>
          </w14:textFill>
        </w:rPr>
      </w:pPr>
      <w:r>
        <w:rPr>
          <w:rFonts w:hint="eastAsia" w:ascii="宋体" w:hAnsi="宋体" w:eastAsia="宋体" w:cs="宋体"/>
          <w:color w:val="000000" w:themeColor="text1"/>
          <w:kern w:val="0"/>
          <w:sz w:val="24"/>
          <w:lang w:eastAsia="zh-CN" w:bidi="ar"/>
          <w14:textFill>
            <w14:solidFill>
              <w14:schemeClr w14:val="tx1"/>
            </w14:solidFill>
          </w14:textFill>
        </w:rPr>
        <w:t>考量内容：（1）现场技术标准</w:t>
      </w:r>
      <w:r>
        <w:rPr>
          <w:rFonts w:hint="eastAsia" w:ascii="宋体" w:hAnsi="宋体" w:eastAsia="宋体" w:cs="宋体"/>
          <w:color w:val="000000" w:themeColor="text1"/>
          <w:kern w:val="0"/>
          <w:sz w:val="24"/>
          <w:lang w:val="en-US" w:eastAsia="zh-CN" w:bidi="ar"/>
          <w14:textFill>
            <w14:solidFill>
              <w14:schemeClr w14:val="tx1"/>
            </w14:solidFill>
          </w14:textFill>
        </w:rPr>
        <w:t>及机制</w:t>
      </w:r>
      <w:r>
        <w:rPr>
          <w:rFonts w:hint="eastAsia" w:ascii="宋体" w:hAnsi="宋体" w:eastAsia="宋体" w:cs="宋体"/>
          <w:color w:val="000000" w:themeColor="text1"/>
          <w:kern w:val="0"/>
          <w:sz w:val="24"/>
          <w:lang w:eastAsia="zh-CN" w:bidi="ar"/>
          <w14:textFill>
            <w14:solidFill>
              <w14:schemeClr w14:val="tx1"/>
            </w14:solidFill>
          </w14:textFill>
        </w:rPr>
        <w:t>文件；（2）现场管理制度、安全生产等文件；（</w:t>
      </w:r>
      <w:r>
        <w:rPr>
          <w:rFonts w:hint="eastAsia" w:ascii="宋体" w:hAnsi="宋体" w:eastAsia="宋体" w:cs="宋体"/>
          <w:color w:val="000000" w:themeColor="text1"/>
          <w:kern w:val="0"/>
          <w:sz w:val="24"/>
          <w:lang w:val="en-US" w:eastAsia="zh-CN" w:bidi="ar"/>
          <w14:textFill>
            <w14:solidFill>
              <w14:schemeClr w14:val="tx1"/>
            </w14:solidFill>
          </w14:textFill>
        </w:rPr>
        <w:t>3</w:t>
      </w:r>
      <w:r>
        <w:rPr>
          <w:rFonts w:hint="eastAsia" w:ascii="宋体" w:hAnsi="宋体" w:eastAsia="宋体" w:cs="宋体"/>
          <w:color w:val="000000" w:themeColor="text1"/>
          <w:kern w:val="0"/>
          <w:sz w:val="24"/>
          <w:lang w:eastAsia="zh-CN" w:bidi="ar"/>
          <w14:textFill>
            <w14:solidFill>
              <w14:schemeClr w14:val="tx1"/>
            </w14:solidFill>
          </w14:textFill>
        </w:rPr>
        <w:t>）项目质量管理记录；（4）检验机构情况；（5）</w:t>
      </w:r>
      <w:r>
        <w:rPr>
          <w:rFonts w:hint="eastAsia" w:ascii="宋体" w:hAnsi="宋体" w:eastAsia="宋体" w:cs="宋体"/>
          <w:color w:val="000000" w:themeColor="text1"/>
          <w:kern w:val="0"/>
          <w:sz w:val="24"/>
          <w:lang w:val="en-US" w:eastAsia="zh-CN" w:bidi="ar"/>
          <w14:textFill>
            <w14:solidFill>
              <w14:schemeClr w14:val="tx1"/>
            </w14:solidFill>
          </w14:textFill>
        </w:rPr>
        <w:t>保护措施</w:t>
      </w:r>
      <w:r>
        <w:rPr>
          <w:rFonts w:hint="eastAsia" w:ascii="宋体" w:hAnsi="宋体" w:eastAsia="宋体" w:cs="宋体"/>
          <w:color w:val="000000" w:themeColor="text1"/>
          <w:kern w:val="0"/>
          <w:sz w:val="24"/>
          <w:lang w:eastAsia="zh-CN" w:bidi="ar"/>
          <w14:textFill>
            <w14:solidFill>
              <w14:schemeClr w14:val="tx1"/>
            </w14:solidFill>
          </w14:textFill>
        </w:rPr>
        <w:t>。</w:t>
      </w:r>
    </w:p>
    <w:p w14:paraId="3FCF380F">
      <w:pPr>
        <w:widowControl/>
        <w:snapToGrid w:val="0"/>
        <w:spacing w:line="360" w:lineRule="auto"/>
        <w:jc w:val="left"/>
        <w:rPr>
          <w:rFonts w:hint="eastAsia" w:ascii="宋体" w:hAnsi="宋体" w:eastAsia="宋体" w:cs="宋体"/>
          <w:color w:val="000000" w:themeColor="text1"/>
          <w:kern w:val="0"/>
          <w:sz w:val="24"/>
          <w:highlight w:val="none"/>
          <w:lang w:bidi="ar"/>
          <w14:textFill>
            <w14:solidFill>
              <w14:schemeClr w14:val="tx1"/>
            </w14:solidFill>
          </w14:textFill>
        </w:rPr>
      </w:pPr>
      <w:r>
        <w:rPr>
          <w:rFonts w:hint="eastAsia" w:ascii="宋体" w:hAnsi="宋体" w:eastAsia="宋体" w:cs="宋体"/>
          <w:color w:val="000000" w:themeColor="text1"/>
          <w:kern w:val="0"/>
          <w:sz w:val="24"/>
          <w:highlight w:val="none"/>
          <w:lang w:bidi="ar"/>
          <w14:textFill>
            <w14:solidFill>
              <w14:schemeClr w14:val="tx1"/>
            </w14:solidFill>
          </w14:textFill>
        </w:rPr>
        <w:t>6.2.</w:t>
      </w:r>
      <w:r>
        <w:rPr>
          <w:rFonts w:hint="eastAsia" w:ascii="宋体" w:hAnsi="宋体" w:eastAsia="宋体" w:cs="宋体"/>
          <w:color w:val="000000" w:themeColor="text1"/>
          <w:kern w:val="0"/>
          <w:sz w:val="24"/>
          <w:highlight w:val="none"/>
          <w:lang w:val="en-US" w:eastAsia="zh-CN" w:bidi="ar"/>
          <w14:textFill>
            <w14:solidFill>
              <w14:schemeClr w14:val="tx1"/>
            </w14:solidFill>
          </w14:textFill>
        </w:rPr>
        <w:t>7</w:t>
      </w:r>
      <w:r>
        <w:rPr>
          <w:rFonts w:hint="eastAsia" w:ascii="宋体" w:hAnsi="宋体" w:eastAsia="宋体" w:cs="宋体"/>
          <w:color w:val="000000" w:themeColor="text1"/>
          <w:kern w:val="0"/>
          <w:sz w:val="24"/>
          <w:highlight w:val="none"/>
          <w:lang w:bidi="ar"/>
          <w14:textFill>
            <w14:solidFill>
              <w14:schemeClr w14:val="tx1"/>
            </w14:solidFill>
          </w14:textFill>
        </w:rPr>
        <w:t>本条</w:t>
      </w:r>
      <w:r>
        <w:rPr>
          <w:rFonts w:hint="eastAsia" w:ascii="宋体" w:hAnsi="宋体" w:eastAsia="宋体" w:cs="宋体"/>
          <w:color w:val="000000" w:themeColor="text1"/>
          <w:kern w:val="0"/>
          <w:sz w:val="24"/>
          <w:lang w:val="en-US" w:eastAsia="zh-CN" w:bidi="ar"/>
          <w14:textFill>
            <w14:solidFill>
              <w14:schemeClr w14:val="tx1"/>
            </w14:solidFill>
          </w14:textFill>
        </w:rPr>
        <w:t>款</w:t>
      </w:r>
      <w:r>
        <w:rPr>
          <w:rFonts w:hint="eastAsia" w:ascii="宋体" w:hAnsi="宋体" w:eastAsia="宋体" w:cs="宋体"/>
          <w:color w:val="000000" w:themeColor="text1"/>
          <w:kern w:val="0"/>
          <w:sz w:val="24"/>
          <w:highlight w:val="none"/>
          <w:lang w:bidi="ar"/>
          <w14:textFill>
            <w14:solidFill>
              <w14:schemeClr w14:val="tx1"/>
            </w14:solidFill>
          </w14:textFill>
        </w:rPr>
        <w:t>适用于各类基础设施项目的</w:t>
      </w:r>
      <w:r>
        <w:rPr>
          <w:rFonts w:hint="eastAsia" w:ascii="宋体" w:hAnsi="宋体" w:eastAsia="宋体" w:cs="宋体"/>
          <w:color w:val="000000" w:themeColor="text1"/>
          <w:kern w:val="0"/>
          <w:sz w:val="24"/>
          <w:highlight w:val="none"/>
          <w:lang w:eastAsia="zh-CN" w:bidi="ar"/>
          <w14:textFill>
            <w14:solidFill>
              <w14:schemeClr w14:val="tx1"/>
            </w14:solidFill>
          </w14:textFill>
        </w:rPr>
        <w:t>施工建造</w:t>
      </w:r>
      <w:r>
        <w:rPr>
          <w:rFonts w:hint="eastAsia" w:ascii="宋体" w:hAnsi="宋体" w:eastAsia="宋体" w:cs="宋体"/>
          <w:color w:val="000000" w:themeColor="text1"/>
          <w:kern w:val="0"/>
          <w:sz w:val="24"/>
          <w:highlight w:val="none"/>
          <w:lang w:val="en-US" w:eastAsia="zh-CN" w:bidi="ar"/>
          <w14:textFill>
            <w14:solidFill>
              <w14:schemeClr w14:val="tx1"/>
            </w14:solidFill>
          </w14:textFill>
        </w:rPr>
        <w:t>阶段</w:t>
      </w:r>
      <w:r>
        <w:rPr>
          <w:rFonts w:hint="eastAsia" w:ascii="宋体" w:hAnsi="宋体" w:eastAsia="宋体" w:cs="宋体"/>
          <w:color w:val="000000" w:themeColor="text1"/>
          <w:kern w:val="0"/>
          <w:sz w:val="24"/>
          <w:highlight w:val="none"/>
          <w:lang w:bidi="ar"/>
          <w14:textFill>
            <w14:solidFill>
              <w14:schemeClr w14:val="tx1"/>
            </w14:solidFill>
          </w14:textFill>
        </w:rPr>
        <w:t xml:space="preserve">评价。 </w:t>
      </w:r>
    </w:p>
    <w:p w14:paraId="5D7F03E4">
      <w:pPr>
        <w:widowControl/>
        <w:snapToGrid w:val="0"/>
        <w:spacing w:line="360" w:lineRule="auto"/>
        <w:ind w:firstLine="480" w:firstLineChars="200"/>
        <w:jc w:val="left"/>
        <w:rPr>
          <w:rFonts w:hint="default"/>
          <w:color w:val="000000" w:themeColor="text1"/>
          <w:sz w:val="24"/>
          <w:lang w:val="en-US" w:eastAsia="zh-CN"/>
          <w14:textFill>
            <w14:solidFill>
              <w14:schemeClr w14:val="tx1"/>
            </w14:solidFill>
          </w14:textFill>
        </w:rPr>
      </w:pPr>
      <w:r>
        <w:rPr>
          <w:rFonts w:hint="eastAsia"/>
          <w:color w:val="000000" w:themeColor="text1"/>
          <w:sz w:val="24"/>
          <w:lang w:val="en-US" w:eastAsia="zh-CN"/>
          <w14:textFill>
            <w14:solidFill>
              <w14:schemeClr w14:val="tx1"/>
            </w14:solidFill>
          </w14:textFill>
        </w:rPr>
        <w:t>应采取措施进行事中动态质量监管，妥善处理质量问题，具备完善的</w:t>
      </w:r>
      <w:r>
        <w:rPr>
          <w:rFonts w:hint="eastAsia" w:ascii="宋体" w:hAnsi="宋体" w:eastAsia="宋体" w:cs="宋体"/>
          <w:color w:val="000000" w:themeColor="text1"/>
          <w:kern w:val="0"/>
          <w:sz w:val="24"/>
          <w:highlight w:val="none"/>
          <w:lang w:val="en-US" w:eastAsia="zh-CN" w:bidi="ar"/>
          <w14:textFill>
            <w14:solidFill>
              <w14:schemeClr w14:val="tx1"/>
            </w14:solidFill>
          </w14:textFill>
        </w:rPr>
        <w:t>质量</w:t>
      </w:r>
      <w:r>
        <w:rPr>
          <w:rFonts w:hint="eastAsia"/>
          <w:color w:val="000000" w:themeColor="text1"/>
          <w:sz w:val="24"/>
          <w:lang w:val="en-US" w:eastAsia="zh-CN"/>
          <w14:textFill>
            <w14:solidFill>
              <w14:schemeClr w14:val="tx1"/>
            </w14:solidFill>
          </w14:textFill>
        </w:rPr>
        <w:t>问题记录、整改记录、改进总结与经验分享等内容。</w:t>
      </w:r>
    </w:p>
    <w:p w14:paraId="33AE31B5">
      <w:pPr>
        <w:keepNext w:val="0"/>
        <w:keepLines w:val="0"/>
        <w:pageBreakBefore w:val="0"/>
        <w:kinsoku/>
        <w:wordWrap/>
        <w:overflowPunct/>
        <w:topLinePunct w:val="0"/>
        <w:autoSpaceDE/>
        <w:autoSpaceDN/>
        <w:bidi w:val="0"/>
        <w:spacing w:line="360" w:lineRule="auto"/>
        <w:ind w:firstLine="480" w:firstLineChars="200"/>
        <w:textAlignment w:val="auto"/>
        <w:rPr>
          <w:rFonts w:hint="default"/>
          <w:color w:val="000000" w:themeColor="text1"/>
          <w:sz w:val="24"/>
          <w:lang w:val="en-US" w:eastAsia="zh-CN"/>
          <w14:textFill>
            <w14:solidFill>
              <w14:schemeClr w14:val="tx1"/>
            </w14:solidFill>
          </w14:textFill>
        </w:rPr>
      </w:pPr>
      <w:r>
        <w:rPr>
          <w:rFonts w:hint="eastAsia" w:ascii="宋体" w:hAnsi="宋体" w:eastAsia="宋体" w:cs="宋体"/>
          <w:color w:val="000000" w:themeColor="text1"/>
          <w:kern w:val="0"/>
          <w:sz w:val="24"/>
          <w:highlight w:val="none"/>
          <w:lang w:bidi="ar"/>
          <w14:textFill>
            <w14:solidFill>
              <w14:schemeClr w14:val="tx1"/>
            </w14:solidFill>
          </w14:textFill>
        </w:rPr>
        <w:t>考量内容：</w:t>
      </w:r>
      <w:r>
        <w:rPr>
          <w:rFonts w:hint="eastAsia" w:ascii="宋体" w:hAnsi="宋体" w:eastAsia="宋体" w:cs="宋体"/>
          <w:color w:val="000000" w:themeColor="text1"/>
          <w:kern w:val="0"/>
          <w:sz w:val="24"/>
          <w:highlight w:val="none"/>
          <w:lang w:eastAsia="zh-CN" w:bidi="ar"/>
          <w14:textFill>
            <w14:solidFill>
              <w14:schemeClr w14:val="tx1"/>
            </w14:solidFill>
          </w14:textFill>
        </w:rPr>
        <w:t>（</w:t>
      </w:r>
      <w:r>
        <w:rPr>
          <w:rFonts w:hint="eastAsia" w:ascii="宋体" w:hAnsi="宋体" w:eastAsia="宋体" w:cs="宋体"/>
          <w:color w:val="000000" w:themeColor="text1"/>
          <w:kern w:val="0"/>
          <w:sz w:val="24"/>
          <w:highlight w:val="none"/>
          <w:lang w:val="en-US" w:eastAsia="zh-CN" w:bidi="ar"/>
          <w14:textFill>
            <w14:solidFill>
              <w14:schemeClr w14:val="tx1"/>
            </w14:solidFill>
          </w14:textFill>
        </w:rPr>
        <w:t>1</w:t>
      </w:r>
      <w:r>
        <w:rPr>
          <w:rFonts w:hint="eastAsia" w:ascii="宋体" w:hAnsi="宋体" w:eastAsia="宋体" w:cs="宋体"/>
          <w:color w:val="000000" w:themeColor="text1"/>
          <w:kern w:val="0"/>
          <w:sz w:val="24"/>
          <w:highlight w:val="none"/>
          <w:lang w:eastAsia="zh-CN" w:bidi="ar"/>
          <w14:textFill>
            <w14:solidFill>
              <w14:schemeClr w14:val="tx1"/>
            </w14:solidFill>
          </w14:textFill>
        </w:rPr>
        <w:t>）</w:t>
      </w:r>
      <w:r>
        <w:rPr>
          <w:rFonts w:hint="eastAsia" w:ascii="宋体" w:hAnsi="宋体" w:eastAsia="宋体" w:cs="宋体"/>
          <w:color w:val="000000" w:themeColor="text1"/>
          <w:kern w:val="0"/>
          <w:sz w:val="24"/>
          <w:highlight w:val="none"/>
          <w:lang w:val="en-US" w:eastAsia="zh-CN" w:bidi="ar"/>
          <w14:textFill>
            <w14:solidFill>
              <w14:schemeClr w14:val="tx1"/>
            </w14:solidFill>
          </w14:textFill>
        </w:rPr>
        <w:t>项目质量管理记录；（2）质量问题处理方案、改进验证</w:t>
      </w:r>
      <w:r>
        <w:rPr>
          <w:rFonts w:hint="eastAsia" w:ascii="宋体" w:hAnsi="宋体" w:eastAsia="宋体" w:cs="宋体"/>
          <w:color w:val="000000" w:themeColor="text1"/>
          <w:kern w:val="0"/>
          <w:sz w:val="24"/>
          <w:highlight w:val="none"/>
          <w:lang w:bidi="ar"/>
          <w14:textFill>
            <w14:solidFill>
              <w14:schemeClr w14:val="tx1"/>
            </w14:solidFill>
          </w14:textFill>
        </w:rPr>
        <w:t>记录</w:t>
      </w:r>
      <w:r>
        <w:rPr>
          <w:rFonts w:hint="eastAsia" w:ascii="宋体" w:hAnsi="宋体" w:eastAsia="宋体" w:cs="宋体"/>
          <w:color w:val="000000" w:themeColor="text1"/>
          <w:kern w:val="0"/>
          <w:sz w:val="24"/>
          <w:highlight w:val="none"/>
          <w:lang w:eastAsia="zh-CN" w:bidi="ar"/>
          <w14:textFill>
            <w14:solidFill>
              <w14:schemeClr w14:val="tx1"/>
            </w14:solidFill>
          </w14:textFill>
        </w:rPr>
        <w:t>；（</w:t>
      </w:r>
      <w:r>
        <w:rPr>
          <w:rFonts w:hint="eastAsia" w:ascii="宋体" w:hAnsi="宋体" w:eastAsia="宋体" w:cs="宋体"/>
          <w:color w:val="000000" w:themeColor="text1"/>
          <w:kern w:val="0"/>
          <w:sz w:val="24"/>
          <w:highlight w:val="none"/>
          <w:lang w:val="en-US" w:eastAsia="zh-CN" w:bidi="ar"/>
          <w14:textFill>
            <w14:solidFill>
              <w14:schemeClr w14:val="tx1"/>
            </w14:solidFill>
          </w14:textFill>
        </w:rPr>
        <w:t>3</w:t>
      </w:r>
      <w:r>
        <w:rPr>
          <w:rFonts w:hint="eastAsia" w:ascii="宋体" w:hAnsi="宋体" w:eastAsia="宋体" w:cs="宋体"/>
          <w:color w:val="000000" w:themeColor="text1"/>
          <w:kern w:val="0"/>
          <w:sz w:val="24"/>
          <w:highlight w:val="none"/>
          <w:lang w:eastAsia="zh-CN" w:bidi="ar"/>
          <w14:textFill>
            <w14:solidFill>
              <w14:schemeClr w14:val="tx1"/>
            </w14:solidFill>
          </w14:textFill>
        </w:rPr>
        <w:t>）</w:t>
      </w:r>
      <w:r>
        <w:rPr>
          <w:rFonts w:hint="eastAsia" w:ascii="宋体" w:hAnsi="宋体" w:eastAsia="宋体" w:cs="宋体"/>
          <w:color w:val="000000" w:themeColor="text1"/>
          <w:kern w:val="0"/>
          <w:sz w:val="24"/>
          <w:highlight w:val="none"/>
          <w:lang w:val="en-US" w:eastAsia="zh-CN" w:bidi="ar"/>
          <w14:textFill>
            <w14:solidFill>
              <w14:schemeClr w14:val="tx1"/>
            </w14:solidFill>
          </w14:textFill>
        </w:rPr>
        <w:t>项目质量管理报告。</w:t>
      </w:r>
    </w:p>
    <w:p w14:paraId="6AD2F8C0">
      <w:pPr>
        <w:widowControl/>
        <w:numPr>
          <w:ilvl w:val="-1"/>
          <w:numId w:val="0"/>
        </w:numPr>
        <w:snapToGrid w:val="0"/>
        <w:spacing w:line="360" w:lineRule="auto"/>
        <w:jc w:val="left"/>
        <w:rPr>
          <w:rFonts w:hint="eastAsia" w:ascii="宋体" w:hAnsi="宋体" w:eastAsia="宋体" w:cs="宋体"/>
          <w:color w:val="000000" w:themeColor="text1"/>
          <w:kern w:val="0"/>
          <w:sz w:val="24"/>
          <w:lang w:eastAsia="zh-CN" w:bidi="ar"/>
          <w14:textFill>
            <w14:solidFill>
              <w14:schemeClr w14:val="tx1"/>
            </w14:solidFill>
          </w14:textFill>
        </w:rPr>
      </w:pPr>
      <w:r>
        <w:rPr>
          <w:rFonts w:hint="eastAsia" w:ascii="宋体" w:hAnsi="宋体" w:eastAsia="宋体" w:cs="宋体"/>
          <w:color w:val="000000" w:themeColor="text1"/>
          <w:kern w:val="0"/>
          <w:sz w:val="24"/>
          <w:lang w:eastAsia="zh-CN" w:bidi="ar"/>
          <w14:textFill>
            <w14:solidFill>
              <w14:schemeClr w14:val="tx1"/>
            </w14:solidFill>
          </w14:textFill>
        </w:rPr>
        <w:t>6.2.</w:t>
      </w:r>
      <w:r>
        <w:rPr>
          <w:rFonts w:hint="eastAsia" w:ascii="宋体" w:hAnsi="宋体" w:eastAsia="宋体" w:cs="宋体"/>
          <w:color w:val="000000" w:themeColor="text1"/>
          <w:kern w:val="0"/>
          <w:sz w:val="24"/>
          <w:lang w:val="en-US" w:eastAsia="zh-CN" w:bidi="ar"/>
          <w14:textFill>
            <w14:solidFill>
              <w14:schemeClr w14:val="tx1"/>
            </w14:solidFill>
          </w14:textFill>
        </w:rPr>
        <w:t>8</w:t>
      </w:r>
      <w:r>
        <w:rPr>
          <w:rFonts w:hint="eastAsia" w:ascii="宋体" w:hAnsi="宋体" w:eastAsia="宋体" w:cs="宋体"/>
          <w:color w:val="000000" w:themeColor="text1"/>
          <w:kern w:val="0"/>
          <w:sz w:val="24"/>
          <w:lang w:eastAsia="zh-CN" w:bidi="ar"/>
          <w14:textFill>
            <w14:solidFill>
              <w14:schemeClr w14:val="tx1"/>
            </w14:solidFill>
          </w14:textFill>
        </w:rPr>
        <w:t xml:space="preserve"> 本条款适用于基础设施项目运行阶段</w:t>
      </w:r>
      <w:r>
        <w:rPr>
          <w:rFonts w:hint="eastAsia" w:ascii="宋体" w:hAnsi="宋体" w:eastAsia="宋体" w:cs="宋体"/>
          <w:color w:val="000000" w:themeColor="text1"/>
          <w:kern w:val="0"/>
          <w:sz w:val="24"/>
          <w:lang w:val="en-US" w:eastAsia="zh-CN" w:bidi="ar"/>
          <w14:textFill>
            <w14:solidFill>
              <w14:schemeClr w14:val="tx1"/>
            </w14:solidFill>
          </w14:textFill>
        </w:rPr>
        <w:t>的</w:t>
      </w:r>
      <w:r>
        <w:rPr>
          <w:rFonts w:hint="eastAsia" w:ascii="宋体" w:hAnsi="宋体" w:eastAsia="宋体" w:cs="宋体"/>
          <w:color w:val="000000" w:themeColor="text1"/>
          <w:kern w:val="0"/>
          <w:sz w:val="24"/>
          <w:lang w:eastAsia="zh-CN" w:bidi="ar"/>
          <w14:textFill>
            <w14:solidFill>
              <w14:schemeClr w14:val="tx1"/>
            </w14:solidFill>
          </w14:textFill>
        </w:rPr>
        <w:t xml:space="preserve">评价。 </w:t>
      </w:r>
    </w:p>
    <w:p w14:paraId="3765E533">
      <w:pPr>
        <w:widowControl/>
        <w:numPr>
          <w:ilvl w:val="-1"/>
          <w:numId w:val="0"/>
        </w:numPr>
        <w:snapToGrid w:val="0"/>
        <w:spacing w:line="360" w:lineRule="auto"/>
        <w:ind w:firstLine="480" w:firstLineChars="200"/>
        <w:jc w:val="left"/>
        <w:rPr>
          <w:rFonts w:hint="eastAsia" w:ascii="宋体" w:hAnsi="宋体" w:eastAsia="宋体" w:cs="宋体"/>
          <w:color w:val="000000" w:themeColor="text1"/>
          <w:kern w:val="0"/>
          <w:sz w:val="24"/>
          <w:lang w:eastAsia="zh-CN" w:bidi="ar"/>
          <w14:textFill>
            <w14:solidFill>
              <w14:schemeClr w14:val="tx1"/>
            </w14:solidFill>
          </w14:textFill>
        </w:rPr>
      </w:pPr>
      <w:r>
        <w:rPr>
          <w:rFonts w:hint="eastAsia" w:ascii="宋体" w:hAnsi="宋体" w:eastAsia="宋体" w:cs="宋体"/>
          <w:color w:val="000000" w:themeColor="text1"/>
          <w:kern w:val="0"/>
          <w:sz w:val="24"/>
          <w:lang w:eastAsia="zh-CN" w:bidi="ar"/>
          <w14:textFill>
            <w14:solidFill>
              <w14:schemeClr w14:val="tx1"/>
            </w14:solidFill>
          </w14:textFill>
        </w:rPr>
        <w:t>考量内容：（1）智能化监测工具；（2）项目质量管理记录；（3）质量问题处理方案、改进验证记录；（4）项目维护记录；（5）项目质量管理情况报告。</w:t>
      </w:r>
    </w:p>
    <w:p w14:paraId="1A5C0222">
      <w:pPr>
        <w:spacing w:after="156" w:afterLines="50" w:line="360" w:lineRule="auto"/>
        <w:ind w:firstLine="560" w:firstLineChars="200"/>
        <w:jc w:val="center"/>
        <w:outlineLvl w:val="9"/>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Ⅳ 绿色供应链管理</w:t>
      </w:r>
    </w:p>
    <w:p w14:paraId="7B40C989">
      <w:pPr>
        <w:widowControl/>
        <w:numPr>
          <w:ilvl w:val="-1"/>
          <w:numId w:val="0"/>
        </w:numPr>
        <w:snapToGrid w:val="0"/>
        <w:spacing w:line="360" w:lineRule="auto"/>
        <w:jc w:val="left"/>
        <w:rPr>
          <w:rFonts w:hint="eastAsia" w:ascii="宋体" w:hAnsi="宋体" w:eastAsia="宋体" w:cs="宋体"/>
          <w:color w:val="000000" w:themeColor="text1"/>
          <w:kern w:val="0"/>
          <w:sz w:val="24"/>
          <w:lang w:eastAsia="zh-CN" w:bidi="ar"/>
          <w14:textFill>
            <w14:solidFill>
              <w14:schemeClr w14:val="tx1"/>
            </w14:solidFill>
          </w14:textFill>
        </w:rPr>
      </w:pPr>
      <w:r>
        <w:rPr>
          <w:rFonts w:hint="eastAsia" w:ascii="宋体" w:hAnsi="宋体" w:eastAsia="宋体" w:cs="宋体"/>
          <w:color w:val="000000" w:themeColor="text1"/>
          <w:kern w:val="0"/>
          <w:sz w:val="24"/>
          <w:lang w:eastAsia="zh-CN" w:bidi="ar"/>
          <w14:textFill>
            <w14:solidFill>
              <w14:schemeClr w14:val="tx1"/>
            </w14:solidFill>
          </w14:textFill>
        </w:rPr>
        <w:t>6.2.</w:t>
      </w:r>
      <w:r>
        <w:rPr>
          <w:rFonts w:hint="eastAsia" w:ascii="宋体" w:hAnsi="宋体" w:eastAsia="宋体" w:cs="宋体"/>
          <w:color w:val="000000" w:themeColor="text1"/>
          <w:kern w:val="0"/>
          <w:sz w:val="24"/>
          <w:lang w:val="en-US" w:eastAsia="zh-CN" w:bidi="ar"/>
          <w14:textFill>
            <w14:solidFill>
              <w14:schemeClr w14:val="tx1"/>
            </w14:solidFill>
          </w14:textFill>
        </w:rPr>
        <w:t>9</w:t>
      </w:r>
      <w:r>
        <w:rPr>
          <w:rFonts w:hint="eastAsia" w:ascii="宋体" w:hAnsi="宋体" w:eastAsia="宋体" w:cs="宋体"/>
          <w:color w:val="000000" w:themeColor="text1"/>
          <w:kern w:val="0"/>
          <w:sz w:val="24"/>
          <w:lang w:eastAsia="zh-CN" w:bidi="ar"/>
          <w14:textFill>
            <w14:solidFill>
              <w14:schemeClr w14:val="tx1"/>
            </w14:solidFill>
          </w14:textFill>
        </w:rPr>
        <w:t xml:space="preserve"> 本条款适用于基础设施项目规划设计、施工建造阶段、运行阶段的评价。</w:t>
      </w:r>
    </w:p>
    <w:p w14:paraId="55A7E39C">
      <w:pPr>
        <w:widowControl/>
        <w:numPr>
          <w:ilvl w:val="-1"/>
          <w:numId w:val="0"/>
        </w:numPr>
        <w:snapToGrid w:val="0"/>
        <w:spacing w:line="360" w:lineRule="auto"/>
        <w:ind w:firstLine="480" w:firstLineChars="200"/>
        <w:jc w:val="left"/>
        <w:rPr>
          <w:rFonts w:hint="eastAsia" w:ascii="宋体" w:hAnsi="宋体" w:eastAsia="宋体" w:cs="宋体"/>
          <w:color w:val="000000" w:themeColor="text1"/>
          <w:kern w:val="0"/>
          <w:sz w:val="24"/>
          <w:lang w:eastAsia="zh-CN" w:bidi="ar"/>
          <w14:textFill>
            <w14:solidFill>
              <w14:schemeClr w14:val="tx1"/>
            </w14:solidFill>
          </w14:textFill>
        </w:rPr>
      </w:pPr>
      <w:r>
        <w:rPr>
          <w:rFonts w:hint="eastAsia" w:ascii="宋体" w:hAnsi="宋体" w:eastAsia="宋体" w:cs="宋体"/>
          <w:color w:val="000000" w:themeColor="text1"/>
          <w:kern w:val="0"/>
          <w:sz w:val="24"/>
          <w:lang w:eastAsia="zh-CN" w:bidi="ar"/>
          <w14:textFill>
            <w14:solidFill>
              <w14:schemeClr w14:val="tx1"/>
            </w14:solidFill>
          </w14:textFill>
        </w:rPr>
        <w:t>采购活动中，将低碳绿色与环保原则纳入供应商管理机制中，倡导应用更具有低碳环保性能的技术或产品，提升市场的竞争力，实现项目降低温室气体排放、资源节约及环境保护的可持续目标。</w:t>
      </w:r>
    </w:p>
    <w:p w14:paraId="2F28AA1E">
      <w:pPr>
        <w:widowControl/>
        <w:numPr>
          <w:ilvl w:val="-1"/>
          <w:numId w:val="0"/>
        </w:numPr>
        <w:snapToGrid w:val="0"/>
        <w:spacing w:line="360" w:lineRule="auto"/>
        <w:ind w:firstLine="480" w:firstLineChars="200"/>
        <w:jc w:val="left"/>
        <w:rPr>
          <w:rFonts w:hint="eastAsia" w:ascii="宋体" w:hAnsi="宋体" w:eastAsia="宋体" w:cs="宋体"/>
          <w:color w:val="000000" w:themeColor="text1"/>
          <w:kern w:val="0"/>
          <w:sz w:val="24"/>
          <w:lang w:eastAsia="zh-CN" w:bidi="ar"/>
          <w14:textFill>
            <w14:solidFill>
              <w14:schemeClr w14:val="tx1"/>
            </w14:solidFill>
          </w14:textFill>
        </w:rPr>
      </w:pPr>
      <w:r>
        <w:rPr>
          <w:rFonts w:hint="eastAsia" w:ascii="宋体" w:hAnsi="宋体" w:eastAsia="宋体" w:cs="宋体"/>
          <w:color w:val="000000" w:themeColor="text1"/>
          <w:kern w:val="0"/>
          <w:sz w:val="24"/>
          <w:lang w:eastAsia="zh-CN" w:bidi="ar"/>
          <w14:textFill>
            <w14:solidFill>
              <w14:schemeClr w14:val="tx1"/>
            </w14:solidFill>
          </w14:textFill>
        </w:rPr>
        <w:t>具有社会责任的合格供应商是指通过第三方认证机构社会责任审核的供应商。</w:t>
      </w:r>
    </w:p>
    <w:p w14:paraId="12AB0B3E">
      <w:pPr>
        <w:widowControl/>
        <w:numPr>
          <w:ilvl w:val="-1"/>
          <w:numId w:val="0"/>
        </w:numPr>
        <w:snapToGrid w:val="0"/>
        <w:spacing w:line="360" w:lineRule="auto"/>
        <w:ind w:firstLine="480" w:firstLineChars="200"/>
        <w:jc w:val="left"/>
        <w:rPr>
          <w:rFonts w:hint="eastAsia" w:ascii="宋体" w:hAnsi="宋体" w:eastAsia="宋体" w:cs="宋体"/>
          <w:color w:val="000000" w:themeColor="text1"/>
          <w:kern w:val="0"/>
          <w:sz w:val="24"/>
          <w:lang w:eastAsia="zh-CN" w:bidi="ar"/>
          <w14:textFill>
            <w14:solidFill>
              <w14:schemeClr w14:val="tx1"/>
            </w14:solidFill>
          </w14:textFill>
        </w:rPr>
      </w:pPr>
      <w:r>
        <w:rPr>
          <w:rFonts w:hint="eastAsia" w:ascii="宋体" w:hAnsi="宋体" w:eastAsia="宋体" w:cs="宋体"/>
          <w:color w:val="000000" w:themeColor="text1"/>
          <w:kern w:val="0"/>
          <w:sz w:val="24"/>
          <w:lang w:eastAsia="zh-CN" w:bidi="ar"/>
          <w14:textFill>
            <w14:solidFill>
              <w14:schemeClr w14:val="tx1"/>
            </w14:solidFill>
          </w14:textFill>
        </w:rPr>
        <w:t xml:space="preserve">鼓励企业为绿色供应链的合格供应商提供供应链融资支持。 </w:t>
      </w:r>
    </w:p>
    <w:p w14:paraId="4A8F2F3D">
      <w:pPr>
        <w:widowControl/>
        <w:numPr>
          <w:ilvl w:val="-1"/>
          <w:numId w:val="0"/>
        </w:numPr>
        <w:snapToGrid w:val="0"/>
        <w:spacing w:line="360" w:lineRule="auto"/>
        <w:ind w:firstLine="480" w:firstLineChars="200"/>
        <w:jc w:val="left"/>
        <w:rPr>
          <w:rFonts w:hint="eastAsia" w:ascii="宋体" w:hAnsi="宋体" w:eastAsia="宋体" w:cs="宋体"/>
          <w:color w:val="000000" w:themeColor="text1"/>
          <w:kern w:val="0"/>
          <w:sz w:val="24"/>
          <w:lang w:eastAsia="zh-CN" w:bidi="ar"/>
          <w14:textFill>
            <w14:solidFill>
              <w14:schemeClr w14:val="tx1"/>
            </w14:solidFill>
          </w14:textFill>
        </w:rPr>
      </w:pPr>
      <w:r>
        <w:rPr>
          <w:rFonts w:hint="eastAsia" w:ascii="宋体" w:hAnsi="宋体" w:eastAsia="宋体" w:cs="宋体"/>
          <w:color w:val="000000" w:themeColor="text1"/>
          <w:kern w:val="0"/>
          <w:sz w:val="24"/>
          <w:lang w:eastAsia="zh-CN" w:bidi="ar"/>
          <w14:textFill>
            <w14:solidFill>
              <w14:schemeClr w14:val="tx1"/>
            </w14:solidFill>
          </w14:textFill>
        </w:rPr>
        <w:t>考量内容：（1）供应链管理文件；（2）分供商评审记录、同评审记录、履约记录、分供商绩效监测及考核记录；（3）执行 ESG 战略的供应商占比（%）；（4）项目所在地供应商所占比例（%）；（5）绿色供应链金融服务说明；（6）供应链重大风险识别及处理记录。</w:t>
      </w:r>
    </w:p>
    <w:p w14:paraId="5EC63CE2">
      <w:pPr>
        <w:spacing w:line="360" w:lineRule="auto"/>
        <w:jc w:val="center"/>
        <w:outlineLvl w:val="2"/>
        <w:rPr>
          <w:rFonts w:ascii="仿宋" w:hAnsi="仿宋" w:eastAsia="仿宋" w:cs="仿宋"/>
          <w:color w:val="000000" w:themeColor="text1"/>
          <w:sz w:val="28"/>
          <w:szCs w:val="28"/>
          <w14:textFill>
            <w14:solidFill>
              <w14:schemeClr w14:val="tx1"/>
            </w14:solidFill>
          </w14:textFill>
        </w:rPr>
      </w:pPr>
      <w:bookmarkStart w:id="788" w:name="_Toc13398"/>
      <w:r>
        <w:rPr>
          <w:rFonts w:hint="eastAsia" w:ascii="仿宋" w:hAnsi="仿宋" w:eastAsia="仿宋" w:cs="仿宋"/>
          <w:color w:val="000000" w:themeColor="text1"/>
          <w:sz w:val="28"/>
          <w:szCs w:val="28"/>
          <w14:textFill>
            <w14:solidFill>
              <w14:schemeClr w14:val="tx1"/>
            </w14:solidFill>
          </w14:textFill>
        </w:rPr>
        <w:t>Ⅴ 社区保护和参与</w:t>
      </w:r>
      <w:bookmarkEnd w:id="788"/>
    </w:p>
    <w:p w14:paraId="4D00A562">
      <w:pPr>
        <w:widowControl/>
        <w:numPr>
          <w:ilvl w:val="-1"/>
          <w:numId w:val="0"/>
        </w:numPr>
        <w:snapToGrid w:val="0"/>
        <w:spacing w:line="360" w:lineRule="auto"/>
        <w:jc w:val="left"/>
        <w:rPr>
          <w:rFonts w:hint="eastAsia" w:ascii="宋体" w:hAnsi="宋体" w:eastAsia="宋体" w:cs="宋体"/>
          <w:color w:val="000000" w:themeColor="text1"/>
          <w:kern w:val="0"/>
          <w:sz w:val="24"/>
          <w:lang w:eastAsia="zh-CN" w:bidi="ar"/>
          <w14:textFill>
            <w14:solidFill>
              <w14:schemeClr w14:val="tx1"/>
            </w14:solidFill>
          </w14:textFill>
        </w:rPr>
      </w:pPr>
      <w:r>
        <w:rPr>
          <w:rFonts w:hint="eastAsia" w:ascii="宋体" w:hAnsi="宋体" w:eastAsia="宋体" w:cs="宋体"/>
          <w:color w:val="000000" w:themeColor="text1"/>
          <w:kern w:val="0"/>
          <w:sz w:val="24"/>
          <w:lang w:eastAsia="zh-CN" w:bidi="ar"/>
          <w14:textFill>
            <w14:solidFill>
              <w14:schemeClr w14:val="tx1"/>
            </w14:solidFill>
          </w14:textFill>
        </w:rPr>
        <w:t>6.2.</w:t>
      </w:r>
      <w:r>
        <w:rPr>
          <w:rFonts w:hint="eastAsia" w:ascii="宋体" w:hAnsi="宋体" w:eastAsia="宋体" w:cs="宋体"/>
          <w:color w:val="000000" w:themeColor="text1"/>
          <w:kern w:val="0"/>
          <w:sz w:val="24"/>
          <w:lang w:val="en-US" w:eastAsia="zh-CN" w:bidi="ar"/>
          <w14:textFill>
            <w14:solidFill>
              <w14:schemeClr w14:val="tx1"/>
            </w14:solidFill>
          </w14:textFill>
        </w:rPr>
        <w:t>10</w:t>
      </w:r>
      <w:r>
        <w:rPr>
          <w:rFonts w:hint="eastAsia" w:ascii="宋体" w:hAnsi="宋体" w:eastAsia="宋体" w:cs="宋体"/>
          <w:color w:val="000000" w:themeColor="text1"/>
          <w:kern w:val="0"/>
          <w:sz w:val="24"/>
          <w:lang w:eastAsia="zh-CN" w:bidi="ar"/>
          <w14:textFill>
            <w14:solidFill>
              <w14:schemeClr w14:val="tx1"/>
            </w14:solidFill>
          </w14:textFill>
        </w:rPr>
        <w:t xml:space="preserve"> 本条款适用于基础设施项目规划设计阶段的评价。</w:t>
      </w:r>
    </w:p>
    <w:p w14:paraId="29A3B419">
      <w:pPr>
        <w:widowControl/>
        <w:numPr>
          <w:ilvl w:val="-1"/>
          <w:numId w:val="0"/>
        </w:numPr>
        <w:snapToGrid w:val="0"/>
        <w:spacing w:line="360" w:lineRule="auto"/>
        <w:ind w:firstLine="480" w:firstLineChars="200"/>
        <w:jc w:val="left"/>
        <w:rPr>
          <w:rFonts w:hint="eastAsia" w:ascii="宋体" w:hAnsi="宋体" w:eastAsia="宋体" w:cs="宋体"/>
          <w:color w:val="000000" w:themeColor="text1"/>
          <w:kern w:val="0"/>
          <w:sz w:val="24"/>
          <w:lang w:eastAsia="zh-CN" w:bidi="ar"/>
          <w14:textFill>
            <w14:solidFill>
              <w14:schemeClr w14:val="tx1"/>
            </w14:solidFill>
          </w14:textFill>
        </w:rPr>
      </w:pPr>
      <w:r>
        <w:rPr>
          <w:rFonts w:hint="eastAsia" w:ascii="宋体" w:hAnsi="宋体" w:eastAsia="宋体" w:cs="宋体"/>
          <w:color w:val="000000" w:themeColor="text1"/>
          <w:kern w:val="0"/>
          <w:sz w:val="24"/>
          <w:lang w:eastAsia="zh-CN" w:bidi="ar"/>
          <w14:textFill>
            <w14:solidFill>
              <w14:schemeClr w14:val="tx1"/>
            </w14:solidFill>
          </w14:textFill>
        </w:rPr>
        <w:t>考量内容：（1）项目建成前后社区和公众的生活方式与生活标准变化分析报告；（2）社区居民满意度；（3）对社区居民的损害补偿。</w:t>
      </w:r>
    </w:p>
    <w:p w14:paraId="16F151B6">
      <w:pPr>
        <w:widowControl/>
        <w:numPr>
          <w:ilvl w:val="-1"/>
          <w:numId w:val="0"/>
        </w:numPr>
        <w:snapToGrid w:val="0"/>
        <w:spacing w:line="360" w:lineRule="auto"/>
        <w:jc w:val="left"/>
        <w:rPr>
          <w:rFonts w:hint="eastAsia" w:ascii="宋体" w:hAnsi="宋体" w:eastAsia="宋体" w:cs="宋体"/>
          <w:color w:val="000000" w:themeColor="text1"/>
          <w:kern w:val="0"/>
          <w:sz w:val="24"/>
          <w:lang w:eastAsia="zh-CN" w:bidi="ar"/>
          <w14:textFill>
            <w14:solidFill>
              <w14:schemeClr w14:val="tx1"/>
            </w14:solidFill>
          </w14:textFill>
        </w:rPr>
      </w:pPr>
      <w:r>
        <w:rPr>
          <w:rFonts w:hint="eastAsia" w:ascii="宋体" w:hAnsi="宋体" w:eastAsia="宋体" w:cs="宋体"/>
          <w:color w:val="000000" w:themeColor="text1"/>
          <w:kern w:val="0"/>
          <w:sz w:val="24"/>
          <w:lang w:eastAsia="zh-CN" w:bidi="ar"/>
          <w14:textFill>
            <w14:solidFill>
              <w14:schemeClr w14:val="tx1"/>
            </w14:solidFill>
          </w14:textFill>
        </w:rPr>
        <w:t>6.2.</w:t>
      </w:r>
      <w:r>
        <w:rPr>
          <w:rFonts w:hint="eastAsia" w:ascii="宋体" w:hAnsi="宋体" w:eastAsia="宋体" w:cs="宋体"/>
          <w:color w:val="000000" w:themeColor="text1"/>
          <w:kern w:val="0"/>
          <w:sz w:val="24"/>
          <w:lang w:val="en-US" w:eastAsia="zh-CN" w:bidi="ar"/>
          <w14:textFill>
            <w14:solidFill>
              <w14:schemeClr w14:val="tx1"/>
            </w14:solidFill>
          </w14:textFill>
        </w:rPr>
        <w:t>11</w:t>
      </w:r>
      <w:r>
        <w:rPr>
          <w:rFonts w:hint="eastAsia" w:ascii="宋体" w:hAnsi="宋体" w:eastAsia="宋体" w:cs="宋体"/>
          <w:color w:val="000000" w:themeColor="text1"/>
          <w:kern w:val="0"/>
          <w:sz w:val="24"/>
          <w:lang w:eastAsia="zh-CN" w:bidi="ar"/>
          <w14:textFill>
            <w14:solidFill>
              <w14:schemeClr w14:val="tx1"/>
            </w14:solidFill>
          </w14:textFill>
        </w:rPr>
        <w:t xml:space="preserve"> 本条款适用于基础设施项目施工建造阶段、运行阶段的评价。</w:t>
      </w:r>
    </w:p>
    <w:p w14:paraId="569B9A92">
      <w:pPr>
        <w:widowControl/>
        <w:numPr>
          <w:ilvl w:val="-1"/>
          <w:numId w:val="0"/>
        </w:numPr>
        <w:snapToGrid w:val="0"/>
        <w:spacing w:line="360" w:lineRule="auto"/>
        <w:ind w:firstLine="480" w:firstLineChars="200"/>
        <w:jc w:val="left"/>
        <w:rPr>
          <w:rFonts w:hint="eastAsia" w:ascii="宋体" w:hAnsi="宋体" w:eastAsia="宋体" w:cs="宋体"/>
          <w:color w:val="000000" w:themeColor="text1"/>
          <w:kern w:val="0"/>
          <w:sz w:val="24"/>
          <w:lang w:eastAsia="zh-CN" w:bidi="ar"/>
          <w14:textFill>
            <w14:solidFill>
              <w14:schemeClr w14:val="tx1"/>
            </w14:solidFill>
          </w14:textFill>
        </w:rPr>
      </w:pPr>
      <w:r>
        <w:rPr>
          <w:rFonts w:hint="eastAsia" w:ascii="宋体" w:hAnsi="宋体" w:eastAsia="宋体" w:cs="宋体"/>
          <w:color w:val="000000" w:themeColor="text1"/>
          <w:kern w:val="0"/>
          <w:sz w:val="24"/>
          <w:lang w:eastAsia="zh-CN" w:bidi="ar"/>
          <w14:textFill>
            <w14:solidFill>
              <w14:schemeClr w14:val="tx1"/>
            </w14:solidFill>
          </w14:textFill>
        </w:rPr>
        <w:t>依据《中华人民共和国环境保护法》《信访工作条例》及</w:t>
      </w:r>
      <w:r>
        <w:rPr>
          <w:rFonts w:hint="eastAsia" w:ascii="宋体" w:hAnsi="宋体" w:cs="宋体"/>
          <w:color w:val="000000" w:themeColor="text1"/>
          <w:kern w:val="0"/>
          <w:sz w:val="24"/>
          <w:lang w:eastAsia="zh-CN" w:bidi="ar"/>
          <w14:textFill>
            <w14:solidFill>
              <w14:schemeClr w14:val="tx1"/>
            </w14:solidFill>
          </w14:textFill>
        </w:rPr>
        <w:t>现行行业标准</w:t>
      </w:r>
      <w:r>
        <w:rPr>
          <w:rFonts w:hint="eastAsia" w:ascii="宋体" w:hAnsi="宋体" w:eastAsia="宋体" w:cs="宋体"/>
          <w:color w:val="000000" w:themeColor="text1"/>
          <w:kern w:val="0"/>
          <w:sz w:val="24"/>
          <w:lang w:eastAsia="zh-CN" w:bidi="ar"/>
          <w14:textFill>
            <w14:solidFill>
              <w14:schemeClr w14:val="tx1"/>
            </w14:solidFill>
          </w14:textFill>
        </w:rPr>
        <w:t>，构建“事前公示-事中响应-事后反馈”的全流程沟通体系。制度化沟通渠道、闭环化投诉处置、长效化和谐维护。</w:t>
      </w:r>
    </w:p>
    <w:p w14:paraId="4505B948">
      <w:pPr>
        <w:widowControl/>
        <w:numPr>
          <w:ilvl w:val="-1"/>
          <w:numId w:val="0"/>
        </w:numPr>
        <w:snapToGrid w:val="0"/>
        <w:spacing w:line="360" w:lineRule="auto"/>
        <w:ind w:firstLine="480" w:firstLineChars="200"/>
        <w:jc w:val="left"/>
        <w:rPr>
          <w:rFonts w:hint="eastAsia" w:ascii="宋体" w:hAnsi="宋体" w:eastAsia="宋体" w:cs="宋体"/>
          <w:color w:val="000000" w:themeColor="text1"/>
          <w:kern w:val="0"/>
          <w:sz w:val="24"/>
          <w:lang w:eastAsia="zh-CN" w:bidi="ar"/>
          <w14:textFill>
            <w14:solidFill>
              <w14:schemeClr w14:val="tx1"/>
            </w14:solidFill>
          </w14:textFill>
        </w:rPr>
      </w:pPr>
      <w:r>
        <w:rPr>
          <w:rFonts w:hint="eastAsia" w:ascii="宋体" w:hAnsi="宋体" w:eastAsia="宋体" w:cs="宋体"/>
          <w:color w:val="000000" w:themeColor="text1"/>
          <w:kern w:val="0"/>
          <w:sz w:val="24"/>
          <w:lang w:eastAsia="zh-CN" w:bidi="ar"/>
          <w14:textFill>
            <w14:solidFill>
              <w14:schemeClr w14:val="tx1"/>
            </w14:solidFill>
          </w14:textFill>
        </w:rPr>
        <w:t>考量内容：（1）投入社区公益事业的人数和资金、企业参加社区公益性活动情况；（2）社区居民职业培训记录；（3）文化遗产保护记录；（4）社区居民满意度；（5）问题改进记录；（6）影响社区居民的事项披露记录。</w:t>
      </w:r>
    </w:p>
    <w:p w14:paraId="651EAF08">
      <w:pPr>
        <w:widowControl/>
        <w:numPr>
          <w:ilvl w:val="-1"/>
          <w:numId w:val="0"/>
        </w:numPr>
        <w:snapToGrid w:val="0"/>
        <w:spacing w:line="360" w:lineRule="auto"/>
        <w:ind w:firstLine="480" w:firstLineChars="200"/>
        <w:jc w:val="left"/>
        <w:rPr>
          <w:rFonts w:hint="eastAsia" w:ascii="宋体" w:hAnsi="宋体" w:eastAsia="宋体" w:cs="宋体"/>
          <w:color w:val="000000" w:themeColor="text1"/>
          <w:kern w:val="0"/>
          <w:sz w:val="24"/>
          <w:lang w:eastAsia="zh-CN" w:bidi="ar"/>
          <w14:textFill>
            <w14:solidFill>
              <w14:schemeClr w14:val="tx1"/>
            </w14:solidFill>
          </w14:textFill>
        </w:rPr>
      </w:pPr>
    </w:p>
    <w:p w14:paraId="2025B2D5">
      <w:pPr>
        <w:spacing w:line="360" w:lineRule="auto"/>
        <w:jc w:val="center"/>
        <w:outlineLvl w:val="2"/>
        <w:rPr>
          <w:rFonts w:ascii="仿宋" w:hAnsi="仿宋" w:eastAsia="仿宋" w:cs="仿宋"/>
          <w:color w:val="000000" w:themeColor="text1"/>
          <w:sz w:val="28"/>
          <w:szCs w:val="28"/>
          <w14:textFill>
            <w14:solidFill>
              <w14:schemeClr w14:val="tx1"/>
            </w14:solidFill>
          </w14:textFill>
        </w:rPr>
      </w:pPr>
      <w:bookmarkStart w:id="789" w:name="_Toc15300"/>
      <w:r>
        <w:rPr>
          <w:rFonts w:hint="eastAsia" w:ascii="仿宋" w:hAnsi="仿宋" w:eastAsia="仿宋" w:cs="仿宋"/>
          <w:color w:val="000000" w:themeColor="text1"/>
          <w:sz w:val="28"/>
          <w:szCs w:val="28"/>
          <w14:textFill>
            <w14:solidFill>
              <w14:schemeClr w14:val="tx1"/>
            </w14:solidFill>
          </w14:textFill>
        </w:rPr>
        <w:t xml:space="preserve">Ⅵ </w:t>
      </w:r>
      <w:r>
        <w:rPr>
          <w:rFonts w:hint="eastAsia" w:ascii="仿宋" w:hAnsi="仿宋" w:eastAsia="仿宋" w:cs="仿宋"/>
          <w:color w:val="000000" w:themeColor="text1"/>
          <w:sz w:val="28"/>
          <w:szCs w:val="28"/>
          <w:lang w:val="en-US" w:eastAsia="zh-CN"/>
          <w14:textFill>
            <w14:solidFill>
              <w14:schemeClr w14:val="tx1"/>
            </w14:solidFill>
          </w14:textFill>
        </w:rPr>
        <w:t>产业与</w:t>
      </w:r>
      <w:r>
        <w:rPr>
          <w:rFonts w:hint="eastAsia" w:ascii="仿宋" w:hAnsi="仿宋" w:eastAsia="仿宋" w:cs="仿宋"/>
          <w:color w:val="000000" w:themeColor="text1"/>
          <w:sz w:val="28"/>
          <w:szCs w:val="28"/>
          <w14:textFill>
            <w14:solidFill>
              <w14:schemeClr w14:val="tx1"/>
            </w14:solidFill>
          </w14:textFill>
        </w:rPr>
        <w:t>经济</w:t>
      </w:r>
      <w:bookmarkEnd w:id="789"/>
    </w:p>
    <w:p w14:paraId="2C1C6FEB">
      <w:pPr>
        <w:widowControl/>
        <w:snapToGrid w:val="0"/>
        <w:spacing w:line="360" w:lineRule="auto"/>
        <w:jc w:val="left"/>
        <w:rPr>
          <w:rFonts w:ascii="宋体" w:hAnsi="宋体" w:eastAsia="宋体" w:cs="宋体"/>
          <w:color w:val="000000" w:themeColor="text1"/>
          <w:kern w:val="0"/>
          <w:sz w:val="24"/>
          <w:lang w:bidi="ar"/>
          <w14:textFill>
            <w14:solidFill>
              <w14:schemeClr w14:val="tx1"/>
            </w14:solidFill>
          </w14:textFill>
        </w:rPr>
      </w:pPr>
      <w:r>
        <w:rPr>
          <w:rFonts w:hint="eastAsia" w:ascii="宋体" w:hAnsi="宋体" w:eastAsia="宋体" w:cs="宋体"/>
          <w:color w:val="000000" w:themeColor="text1"/>
          <w:kern w:val="0"/>
          <w:sz w:val="24"/>
          <w:lang w:bidi="ar"/>
          <w14:textFill>
            <w14:solidFill>
              <w14:schemeClr w14:val="tx1"/>
            </w14:solidFill>
          </w14:textFill>
        </w:rPr>
        <w:t>6.</w:t>
      </w:r>
      <w:r>
        <w:rPr>
          <w:rFonts w:hint="eastAsia" w:ascii="宋体" w:hAnsi="宋体" w:eastAsia="宋体" w:cs="宋体"/>
          <w:color w:val="000000" w:themeColor="text1"/>
          <w:kern w:val="0"/>
          <w:sz w:val="24"/>
          <w:lang w:val="en-US" w:eastAsia="zh-CN" w:bidi="ar"/>
          <w14:textFill>
            <w14:solidFill>
              <w14:schemeClr w14:val="tx1"/>
            </w14:solidFill>
          </w14:textFill>
        </w:rPr>
        <w:t>2</w:t>
      </w:r>
      <w:r>
        <w:rPr>
          <w:rFonts w:hint="eastAsia" w:ascii="宋体" w:hAnsi="宋体" w:eastAsia="宋体" w:cs="宋体"/>
          <w:color w:val="000000" w:themeColor="text1"/>
          <w:kern w:val="0"/>
          <w:sz w:val="24"/>
          <w:lang w:bidi="ar"/>
          <w14:textFill>
            <w14:solidFill>
              <w14:schemeClr w14:val="tx1"/>
            </w14:solidFill>
          </w14:textFill>
        </w:rPr>
        <w:t>.</w:t>
      </w:r>
      <w:r>
        <w:rPr>
          <w:rFonts w:hint="eastAsia" w:ascii="宋体" w:hAnsi="宋体" w:eastAsia="宋体" w:cs="宋体"/>
          <w:color w:val="000000" w:themeColor="text1"/>
          <w:kern w:val="0"/>
          <w:sz w:val="24"/>
          <w:lang w:val="en-US" w:eastAsia="zh-CN" w:bidi="ar"/>
          <w14:textFill>
            <w14:solidFill>
              <w14:schemeClr w14:val="tx1"/>
            </w14:solidFill>
          </w14:textFill>
        </w:rPr>
        <w:t>12</w:t>
      </w:r>
      <w:r>
        <w:rPr>
          <w:rFonts w:hint="eastAsia" w:ascii="宋体" w:hAnsi="宋体" w:eastAsia="宋体" w:cs="宋体"/>
          <w:color w:val="000000" w:themeColor="text1"/>
          <w:kern w:val="0"/>
          <w:sz w:val="24"/>
          <w:lang w:bidi="ar"/>
          <w14:textFill>
            <w14:solidFill>
              <w14:schemeClr w14:val="tx1"/>
            </w14:solidFill>
          </w14:textFill>
        </w:rPr>
        <w:t>本条</w:t>
      </w:r>
      <w:r>
        <w:rPr>
          <w:rFonts w:hint="eastAsia" w:ascii="宋体" w:hAnsi="宋体" w:eastAsia="宋体" w:cs="宋体"/>
          <w:color w:val="000000" w:themeColor="text1"/>
          <w:kern w:val="0"/>
          <w:sz w:val="24"/>
          <w:lang w:val="en-US" w:eastAsia="zh-CN" w:bidi="ar"/>
          <w14:textFill>
            <w14:solidFill>
              <w14:schemeClr w14:val="tx1"/>
            </w14:solidFill>
          </w14:textFill>
        </w:rPr>
        <w:t>款</w:t>
      </w:r>
      <w:r>
        <w:rPr>
          <w:rFonts w:hint="eastAsia" w:ascii="宋体" w:hAnsi="宋体" w:eastAsia="宋体" w:cs="宋体"/>
          <w:color w:val="000000" w:themeColor="text1"/>
          <w:kern w:val="0"/>
          <w:sz w:val="24"/>
          <w:lang w:bidi="ar"/>
          <w14:textFill>
            <w14:solidFill>
              <w14:schemeClr w14:val="tx1"/>
            </w14:solidFill>
          </w14:textFill>
        </w:rPr>
        <w:t>适用于基础设施项目</w:t>
      </w:r>
      <w:r>
        <w:rPr>
          <w:rFonts w:hint="eastAsia" w:ascii="宋体" w:hAnsi="宋体" w:eastAsia="宋体" w:cs="宋体"/>
          <w:color w:val="000000" w:themeColor="text1"/>
          <w:kern w:val="0"/>
          <w:sz w:val="24"/>
          <w:lang w:val="en-US" w:eastAsia="zh-CN" w:bidi="ar"/>
          <w14:textFill>
            <w14:solidFill>
              <w14:schemeClr w14:val="tx1"/>
            </w14:solidFill>
          </w14:textFill>
        </w:rPr>
        <w:t>规划设计</w:t>
      </w:r>
      <w:r>
        <w:rPr>
          <w:rFonts w:hint="eastAsia" w:ascii="宋体" w:hAnsi="宋体" w:eastAsia="宋体" w:cs="宋体"/>
          <w:color w:val="000000" w:themeColor="text1"/>
          <w:kern w:val="0"/>
          <w:sz w:val="24"/>
          <w:lang w:bidi="ar"/>
          <w14:textFill>
            <w14:solidFill>
              <w14:schemeClr w14:val="tx1"/>
            </w14:solidFill>
          </w14:textFill>
        </w:rPr>
        <w:t xml:space="preserve">阶段的评价。 </w:t>
      </w:r>
    </w:p>
    <w:p w14:paraId="52CE8772">
      <w:pPr>
        <w:keepNext w:val="0"/>
        <w:keepLines w:val="0"/>
        <w:pageBreakBefore w:val="0"/>
        <w:widowControl/>
        <w:kinsoku/>
        <w:wordWrap/>
        <w:overflowPunct/>
        <w:topLinePunct w:val="0"/>
        <w:autoSpaceDE/>
        <w:autoSpaceDN/>
        <w:bidi w:val="0"/>
        <w:snapToGrid w:val="0"/>
        <w:spacing w:line="360" w:lineRule="auto"/>
        <w:ind w:firstLine="480" w:firstLineChars="200"/>
        <w:jc w:val="left"/>
        <w:textAlignment w:val="auto"/>
        <w:rPr>
          <w:rFonts w:hint="eastAsia"/>
          <w:color w:val="000000" w:themeColor="text1"/>
          <w:sz w:val="24"/>
          <w:highlight w:val="green"/>
          <w:lang w:val="en-US" w:eastAsia="zh-CN"/>
          <w14:textFill>
            <w14:solidFill>
              <w14:schemeClr w14:val="tx1"/>
            </w14:solidFill>
          </w14:textFill>
        </w:rPr>
      </w:pPr>
      <w:r>
        <w:rPr>
          <w:rFonts w:hint="eastAsia" w:ascii="宋体" w:hAnsi="宋体" w:eastAsia="宋体" w:cs="宋体"/>
          <w:color w:val="000000" w:themeColor="text1"/>
          <w:kern w:val="0"/>
          <w:sz w:val="24"/>
          <w:lang w:bidi="ar"/>
          <w14:textFill>
            <w14:solidFill>
              <w14:schemeClr w14:val="tx1"/>
            </w14:solidFill>
          </w14:textFill>
        </w:rPr>
        <w:t>考量内容：（1）项目</w:t>
      </w:r>
      <w:r>
        <w:rPr>
          <w:rFonts w:hint="eastAsia" w:ascii="宋体" w:hAnsi="宋体" w:eastAsia="宋体" w:cs="宋体"/>
          <w:color w:val="000000" w:themeColor="text1"/>
          <w:kern w:val="0"/>
          <w:sz w:val="24"/>
          <w:lang w:val="en-US" w:eastAsia="zh-CN" w:bidi="ar"/>
          <w14:textFill>
            <w14:solidFill>
              <w14:schemeClr w14:val="tx1"/>
            </w14:solidFill>
          </w14:textFill>
        </w:rPr>
        <w:t>规划策划中发展战略目标定位文件；（2）</w:t>
      </w:r>
      <w:r>
        <w:rPr>
          <w:rFonts w:hint="eastAsia" w:ascii="宋体" w:hAnsi="宋体" w:eastAsia="宋体" w:cs="宋体"/>
          <w:color w:val="000000" w:themeColor="text1"/>
          <w:kern w:val="0"/>
          <w:sz w:val="24"/>
          <w:lang w:bidi="ar"/>
          <w14:textFill>
            <w14:solidFill>
              <w14:schemeClr w14:val="tx1"/>
            </w14:solidFill>
          </w14:textFill>
        </w:rPr>
        <w:t>对当地所属产业的拉动情况；（2）项目对当地 GDP 增长贡献率。</w:t>
      </w:r>
    </w:p>
    <w:p w14:paraId="4734EFF5">
      <w:pPr>
        <w:widowControl/>
        <w:snapToGrid w:val="0"/>
        <w:spacing w:line="360" w:lineRule="auto"/>
        <w:jc w:val="left"/>
        <w:rPr>
          <w:rFonts w:ascii="宋体" w:hAnsi="宋体" w:eastAsia="宋体" w:cs="宋体"/>
          <w:color w:val="000000" w:themeColor="text1"/>
          <w:kern w:val="0"/>
          <w:sz w:val="24"/>
          <w:highlight w:val="none"/>
          <w:lang w:bidi="ar"/>
          <w14:textFill>
            <w14:solidFill>
              <w14:schemeClr w14:val="tx1"/>
            </w14:solidFill>
          </w14:textFill>
        </w:rPr>
      </w:pPr>
      <w:r>
        <w:rPr>
          <w:rFonts w:hint="eastAsia" w:ascii="宋体" w:hAnsi="宋体" w:eastAsia="宋体" w:cs="宋体"/>
          <w:color w:val="000000" w:themeColor="text1"/>
          <w:kern w:val="0"/>
          <w:sz w:val="24"/>
          <w:highlight w:val="none"/>
          <w:lang w:bidi="ar"/>
          <w14:textFill>
            <w14:solidFill>
              <w14:schemeClr w14:val="tx1"/>
            </w14:solidFill>
          </w14:textFill>
        </w:rPr>
        <w:t>6.</w:t>
      </w:r>
      <w:r>
        <w:rPr>
          <w:rFonts w:hint="eastAsia" w:ascii="宋体" w:hAnsi="宋体" w:eastAsia="宋体" w:cs="宋体"/>
          <w:color w:val="000000" w:themeColor="text1"/>
          <w:kern w:val="0"/>
          <w:sz w:val="24"/>
          <w:highlight w:val="none"/>
          <w:lang w:val="en-US" w:eastAsia="zh-CN" w:bidi="ar"/>
          <w14:textFill>
            <w14:solidFill>
              <w14:schemeClr w14:val="tx1"/>
            </w14:solidFill>
          </w14:textFill>
        </w:rPr>
        <w:t>2</w:t>
      </w:r>
      <w:r>
        <w:rPr>
          <w:rFonts w:hint="eastAsia" w:ascii="宋体" w:hAnsi="宋体" w:eastAsia="宋体" w:cs="宋体"/>
          <w:color w:val="000000" w:themeColor="text1"/>
          <w:kern w:val="0"/>
          <w:sz w:val="24"/>
          <w:highlight w:val="none"/>
          <w:lang w:bidi="ar"/>
          <w14:textFill>
            <w14:solidFill>
              <w14:schemeClr w14:val="tx1"/>
            </w14:solidFill>
          </w14:textFill>
        </w:rPr>
        <w:t>.</w:t>
      </w:r>
      <w:r>
        <w:rPr>
          <w:rFonts w:hint="eastAsia" w:ascii="宋体" w:hAnsi="宋体" w:eastAsia="宋体" w:cs="宋体"/>
          <w:color w:val="000000" w:themeColor="text1"/>
          <w:kern w:val="0"/>
          <w:sz w:val="24"/>
          <w:highlight w:val="none"/>
          <w:lang w:val="en-US" w:eastAsia="zh-CN" w:bidi="ar"/>
          <w14:textFill>
            <w14:solidFill>
              <w14:schemeClr w14:val="tx1"/>
            </w14:solidFill>
          </w14:textFill>
        </w:rPr>
        <w:t>13</w:t>
      </w:r>
      <w:r>
        <w:rPr>
          <w:rFonts w:hint="eastAsia" w:ascii="宋体" w:hAnsi="宋体" w:eastAsia="宋体" w:cs="宋体"/>
          <w:color w:val="000000" w:themeColor="text1"/>
          <w:kern w:val="0"/>
          <w:sz w:val="24"/>
          <w:highlight w:val="none"/>
          <w:lang w:bidi="ar"/>
          <w14:textFill>
            <w14:solidFill>
              <w14:schemeClr w14:val="tx1"/>
            </w14:solidFill>
          </w14:textFill>
        </w:rPr>
        <w:t>本条</w:t>
      </w:r>
      <w:r>
        <w:rPr>
          <w:rFonts w:hint="eastAsia" w:ascii="宋体" w:hAnsi="宋体" w:eastAsia="宋体" w:cs="宋体"/>
          <w:color w:val="000000" w:themeColor="text1"/>
          <w:kern w:val="0"/>
          <w:sz w:val="24"/>
          <w:highlight w:val="none"/>
          <w:lang w:val="en-US" w:eastAsia="zh-CN" w:bidi="ar"/>
          <w14:textFill>
            <w14:solidFill>
              <w14:schemeClr w14:val="tx1"/>
            </w14:solidFill>
          </w14:textFill>
        </w:rPr>
        <w:t>款</w:t>
      </w:r>
      <w:r>
        <w:rPr>
          <w:rFonts w:hint="eastAsia" w:ascii="宋体" w:hAnsi="宋体" w:eastAsia="宋体" w:cs="宋体"/>
          <w:color w:val="000000" w:themeColor="text1"/>
          <w:kern w:val="0"/>
          <w:sz w:val="24"/>
          <w:highlight w:val="none"/>
          <w:lang w:bidi="ar"/>
          <w14:textFill>
            <w14:solidFill>
              <w14:schemeClr w14:val="tx1"/>
            </w14:solidFill>
          </w14:textFill>
        </w:rPr>
        <w:t>适用于基础设施项目</w:t>
      </w:r>
      <w:r>
        <w:rPr>
          <w:rFonts w:hint="eastAsia" w:ascii="宋体" w:hAnsi="宋体" w:eastAsia="宋体" w:cs="宋体"/>
          <w:color w:val="000000" w:themeColor="text1"/>
          <w:kern w:val="0"/>
          <w:sz w:val="24"/>
          <w:highlight w:val="none"/>
          <w:lang w:val="en-US" w:eastAsia="zh-CN" w:bidi="ar"/>
          <w14:textFill>
            <w14:solidFill>
              <w14:schemeClr w14:val="tx1"/>
            </w14:solidFill>
          </w14:textFill>
        </w:rPr>
        <w:t>施工建造</w:t>
      </w:r>
      <w:r>
        <w:rPr>
          <w:rFonts w:hint="eastAsia" w:ascii="宋体" w:hAnsi="宋体" w:eastAsia="宋体" w:cs="宋体"/>
          <w:color w:val="000000" w:themeColor="text1"/>
          <w:kern w:val="0"/>
          <w:sz w:val="24"/>
          <w:highlight w:val="none"/>
          <w:lang w:bidi="ar"/>
          <w14:textFill>
            <w14:solidFill>
              <w14:schemeClr w14:val="tx1"/>
            </w14:solidFill>
          </w14:textFill>
        </w:rPr>
        <w:t xml:space="preserve">的评价。 </w:t>
      </w:r>
    </w:p>
    <w:p w14:paraId="71EE78C3">
      <w:pPr>
        <w:widowControl/>
        <w:snapToGrid w:val="0"/>
        <w:spacing w:line="360" w:lineRule="auto"/>
        <w:ind w:firstLine="480" w:firstLineChars="200"/>
        <w:jc w:val="left"/>
        <w:rPr>
          <w:rFonts w:ascii="宋体" w:hAnsi="宋体" w:eastAsia="宋体" w:cs="宋体"/>
          <w:color w:val="000000" w:themeColor="text1"/>
          <w:kern w:val="0"/>
          <w:sz w:val="24"/>
          <w:highlight w:val="none"/>
          <w:lang w:bidi="ar"/>
          <w14:textFill>
            <w14:solidFill>
              <w14:schemeClr w14:val="tx1"/>
            </w14:solidFill>
          </w14:textFill>
        </w:rPr>
      </w:pPr>
      <w:r>
        <w:rPr>
          <w:rFonts w:hint="eastAsia" w:ascii="宋体" w:hAnsi="宋体" w:eastAsia="宋体" w:cs="宋体"/>
          <w:color w:val="000000" w:themeColor="text1"/>
          <w:kern w:val="0"/>
          <w:sz w:val="24"/>
          <w:highlight w:val="none"/>
          <w:lang w:bidi="ar"/>
          <w14:textFill>
            <w14:solidFill>
              <w14:schemeClr w14:val="tx1"/>
            </w14:solidFill>
          </w14:textFill>
        </w:rPr>
        <w:t>考量内容：</w:t>
      </w:r>
      <w:r>
        <w:rPr>
          <w:rFonts w:hint="eastAsia" w:ascii="宋体" w:hAnsi="宋体" w:eastAsia="宋体" w:cs="宋体"/>
          <w:color w:val="000000" w:themeColor="text1"/>
          <w:kern w:val="0"/>
          <w:sz w:val="24"/>
          <w:highlight w:val="none"/>
          <w:lang w:val="en-US" w:eastAsia="zh-CN" w:bidi="ar"/>
          <w14:textFill>
            <w14:solidFill>
              <w14:schemeClr w14:val="tx1"/>
            </w14:solidFill>
          </w14:textFill>
        </w:rPr>
        <w:t>施工建造成本预算、决算情况说明</w:t>
      </w:r>
      <w:r>
        <w:rPr>
          <w:rFonts w:hint="eastAsia" w:ascii="宋体" w:hAnsi="宋体" w:eastAsia="宋体" w:cs="宋体"/>
          <w:color w:val="000000" w:themeColor="text1"/>
          <w:kern w:val="0"/>
          <w:sz w:val="24"/>
          <w:highlight w:val="none"/>
          <w:lang w:eastAsia="zh-CN" w:bidi="ar"/>
          <w14:textFill>
            <w14:solidFill>
              <w14:schemeClr w14:val="tx1"/>
            </w14:solidFill>
          </w14:textFill>
        </w:rPr>
        <w:t>。</w:t>
      </w:r>
    </w:p>
    <w:p w14:paraId="5D47CDF9">
      <w:pPr>
        <w:widowControl/>
        <w:numPr>
          <w:ilvl w:val="-1"/>
          <w:numId w:val="0"/>
        </w:numPr>
        <w:snapToGrid/>
        <w:spacing w:line="360" w:lineRule="auto"/>
        <w:jc w:val="left"/>
        <w:rPr>
          <w:rFonts w:hint="eastAsia" w:ascii="宋体" w:hAnsi="宋体" w:eastAsia="宋体" w:cs="宋体"/>
          <w:color w:val="000000" w:themeColor="text1"/>
          <w:kern w:val="0"/>
          <w:sz w:val="24"/>
          <w:lang w:eastAsia="zh-CN" w:bidi="ar"/>
          <w14:textFill>
            <w14:solidFill>
              <w14:schemeClr w14:val="tx1"/>
            </w14:solidFill>
          </w14:textFill>
        </w:rPr>
      </w:pPr>
      <w:r>
        <w:rPr>
          <w:rFonts w:hint="eastAsia" w:ascii="宋体" w:hAnsi="宋体" w:eastAsia="宋体" w:cs="宋体"/>
          <w:color w:val="000000" w:themeColor="text1"/>
          <w:kern w:val="0"/>
          <w:sz w:val="24"/>
          <w:lang w:eastAsia="zh-CN" w:bidi="ar"/>
          <w14:textFill>
            <w14:solidFill>
              <w14:schemeClr w14:val="tx1"/>
            </w14:solidFill>
          </w14:textFill>
        </w:rPr>
        <w:t>6.2.1</w:t>
      </w:r>
      <w:r>
        <w:rPr>
          <w:rFonts w:hint="eastAsia" w:ascii="宋体" w:hAnsi="宋体" w:eastAsia="宋体" w:cs="宋体"/>
          <w:color w:val="000000" w:themeColor="text1"/>
          <w:kern w:val="0"/>
          <w:sz w:val="24"/>
          <w:lang w:val="en-US" w:eastAsia="zh-CN" w:bidi="ar"/>
          <w14:textFill>
            <w14:solidFill>
              <w14:schemeClr w14:val="tx1"/>
            </w14:solidFill>
          </w14:textFill>
        </w:rPr>
        <w:t>4</w:t>
      </w:r>
      <w:r>
        <w:rPr>
          <w:rFonts w:hint="eastAsia" w:ascii="宋体" w:hAnsi="宋体" w:eastAsia="宋体" w:cs="宋体"/>
          <w:color w:val="000000" w:themeColor="text1"/>
          <w:kern w:val="0"/>
          <w:sz w:val="24"/>
          <w:lang w:eastAsia="zh-CN" w:bidi="ar"/>
          <w14:textFill>
            <w14:solidFill>
              <w14:schemeClr w14:val="tx1"/>
            </w14:solidFill>
          </w14:textFill>
        </w:rPr>
        <w:t xml:space="preserve"> 本条款适用于基础设施项目运行阶段的评价。 </w:t>
      </w:r>
    </w:p>
    <w:p w14:paraId="086F0189">
      <w:pPr>
        <w:widowControl/>
        <w:numPr>
          <w:ilvl w:val="-1"/>
          <w:numId w:val="0"/>
        </w:numPr>
        <w:snapToGrid w:val="0"/>
        <w:spacing w:line="360" w:lineRule="auto"/>
        <w:ind w:firstLine="480" w:firstLineChars="200"/>
        <w:jc w:val="left"/>
        <w:rPr>
          <w:rFonts w:hint="eastAsia" w:ascii="宋体" w:hAnsi="宋体" w:eastAsia="宋体" w:cs="宋体"/>
          <w:color w:val="000000" w:themeColor="text1"/>
          <w:kern w:val="0"/>
          <w:sz w:val="24"/>
          <w:lang w:eastAsia="zh-CN" w:bidi="ar"/>
          <w14:textFill>
            <w14:solidFill>
              <w14:schemeClr w14:val="tx1"/>
            </w14:solidFill>
          </w14:textFill>
        </w:rPr>
      </w:pPr>
      <w:r>
        <w:rPr>
          <w:rFonts w:hint="eastAsia" w:ascii="宋体" w:hAnsi="宋体" w:eastAsia="宋体" w:cs="宋体"/>
          <w:color w:val="000000" w:themeColor="text1"/>
          <w:kern w:val="0"/>
          <w:sz w:val="24"/>
          <w:lang w:eastAsia="zh-CN" w:bidi="ar"/>
          <w14:textFill>
            <w14:solidFill>
              <w14:schemeClr w14:val="tx1"/>
            </w14:solidFill>
          </w14:textFill>
        </w:rPr>
        <w:t>考量内容：（1）项目利润率或投资回报率；（2）财务信息披露记录；（3）创新管理措施及成效说明文件。</w:t>
      </w:r>
    </w:p>
    <w:p w14:paraId="06CEDC56">
      <w:pPr>
        <w:widowControl/>
        <w:numPr>
          <w:ilvl w:val="-1"/>
          <w:numId w:val="0"/>
        </w:numPr>
        <w:snapToGrid w:val="0"/>
        <w:spacing w:line="360" w:lineRule="auto"/>
        <w:jc w:val="left"/>
        <w:rPr>
          <w:rFonts w:hint="eastAsia" w:ascii="宋体" w:hAnsi="宋体" w:eastAsia="宋体" w:cs="宋体"/>
          <w:color w:val="000000" w:themeColor="text1"/>
          <w:kern w:val="0"/>
          <w:sz w:val="24"/>
          <w:lang w:eastAsia="zh-CN" w:bidi="ar"/>
          <w14:textFill>
            <w14:solidFill>
              <w14:schemeClr w14:val="tx1"/>
            </w14:solidFill>
          </w14:textFill>
        </w:rPr>
      </w:pPr>
      <w:r>
        <w:rPr>
          <w:rFonts w:hint="eastAsia" w:ascii="宋体" w:hAnsi="宋体" w:eastAsia="宋体" w:cs="宋体"/>
          <w:color w:val="000000" w:themeColor="text1"/>
          <w:kern w:val="0"/>
          <w:sz w:val="24"/>
          <w:lang w:eastAsia="zh-CN" w:bidi="ar"/>
          <w14:textFill>
            <w14:solidFill>
              <w14:schemeClr w14:val="tx1"/>
            </w14:solidFill>
          </w14:textFill>
        </w:rPr>
        <w:t>6.2.1</w:t>
      </w:r>
      <w:r>
        <w:rPr>
          <w:rFonts w:hint="eastAsia" w:ascii="宋体" w:hAnsi="宋体" w:eastAsia="宋体" w:cs="宋体"/>
          <w:color w:val="000000" w:themeColor="text1"/>
          <w:kern w:val="0"/>
          <w:sz w:val="24"/>
          <w:lang w:val="en-US" w:eastAsia="zh-CN" w:bidi="ar"/>
          <w14:textFill>
            <w14:solidFill>
              <w14:schemeClr w14:val="tx1"/>
            </w14:solidFill>
          </w14:textFill>
        </w:rPr>
        <w:t>5</w:t>
      </w:r>
      <w:r>
        <w:rPr>
          <w:rFonts w:hint="eastAsia" w:ascii="宋体" w:hAnsi="宋体" w:eastAsia="宋体" w:cs="宋体"/>
          <w:color w:val="000000" w:themeColor="text1"/>
          <w:kern w:val="0"/>
          <w:sz w:val="24"/>
          <w:lang w:eastAsia="zh-CN" w:bidi="ar"/>
          <w14:textFill>
            <w14:solidFill>
              <w14:schemeClr w14:val="tx1"/>
            </w14:solidFill>
          </w14:textFill>
        </w:rPr>
        <w:t xml:space="preserve"> 本条款适用于基础设施项目运行阶段的评价。</w:t>
      </w:r>
    </w:p>
    <w:p w14:paraId="3FB5C005">
      <w:pPr>
        <w:widowControl/>
        <w:numPr>
          <w:ilvl w:val="-1"/>
          <w:numId w:val="0"/>
        </w:numPr>
        <w:snapToGrid w:val="0"/>
        <w:spacing w:line="360" w:lineRule="auto"/>
        <w:ind w:firstLine="480" w:firstLineChars="200"/>
        <w:jc w:val="left"/>
        <w:rPr>
          <w:rFonts w:hint="eastAsia" w:ascii="宋体" w:hAnsi="宋体" w:eastAsia="宋体" w:cs="宋体"/>
          <w:color w:val="000000" w:themeColor="text1"/>
          <w:kern w:val="0"/>
          <w:sz w:val="24"/>
          <w:lang w:eastAsia="zh-CN" w:bidi="ar"/>
          <w14:textFill>
            <w14:solidFill>
              <w14:schemeClr w14:val="tx1"/>
            </w14:solidFill>
          </w14:textFill>
        </w:rPr>
      </w:pPr>
      <w:r>
        <w:rPr>
          <w:rFonts w:hint="eastAsia" w:ascii="宋体" w:hAnsi="宋体" w:eastAsia="宋体" w:cs="宋体"/>
          <w:color w:val="000000" w:themeColor="text1"/>
          <w:kern w:val="0"/>
          <w:sz w:val="24"/>
          <w:lang w:eastAsia="zh-CN" w:bidi="ar"/>
          <w14:textFill>
            <w14:solidFill>
              <w14:schemeClr w14:val="tx1"/>
            </w14:solidFill>
          </w14:textFill>
        </w:rPr>
        <w:t>考量内容：（1）对项目所属行业的带动情况分析；（2）对当地经济增长的贡献，以税收为例；（3）对当地所属产业的拉动情况；（4）项目对当地经济结构改善情况。</w:t>
      </w:r>
    </w:p>
    <w:p w14:paraId="1ECDFAF8">
      <w:r>
        <w:br w:type="page"/>
      </w:r>
    </w:p>
    <w:p w14:paraId="66E0CD54"/>
    <w:p w14:paraId="391D7368">
      <w:pPr>
        <w:snapToGrid w:val="0"/>
        <w:spacing w:line="360" w:lineRule="auto"/>
        <w:jc w:val="center"/>
        <w:outlineLvl w:val="0"/>
        <w:rPr>
          <w:rFonts w:ascii="宋体" w:hAnsi="宋体" w:eastAsia="宋体" w:cs="宋体"/>
          <w:b/>
          <w:bCs/>
          <w:color w:val="000000" w:themeColor="text1"/>
          <w:sz w:val="30"/>
          <w:szCs w:val="30"/>
          <w14:textFill>
            <w14:solidFill>
              <w14:schemeClr w14:val="tx1"/>
            </w14:solidFill>
          </w14:textFill>
        </w:rPr>
      </w:pPr>
      <w:bookmarkStart w:id="790" w:name="_Toc28285"/>
      <w:bookmarkStart w:id="791" w:name="_Toc8660"/>
      <w:bookmarkStart w:id="792" w:name="_Toc12315"/>
      <w:bookmarkStart w:id="793" w:name="_Toc12307"/>
      <w:bookmarkStart w:id="794" w:name="_Toc9816"/>
      <w:bookmarkStart w:id="795" w:name="_Toc1768"/>
      <w:bookmarkStart w:id="796" w:name="_Toc12996"/>
      <w:r>
        <w:rPr>
          <w:rFonts w:hint="eastAsia" w:ascii="宋体" w:hAnsi="宋体" w:eastAsia="宋体" w:cs="宋体"/>
          <w:b/>
          <w:bCs/>
          <w:color w:val="000000" w:themeColor="text1"/>
          <w:sz w:val="30"/>
          <w:szCs w:val="30"/>
          <w14:textFill>
            <w14:solidFill>
              <w14:schemeClr w14:val="tx1"/>
            </w14:solidFill>
          </w14:textFill>
        </w:rPr>
        <w:t>7 治理可持续</w:t>
      </w:r>
      <w:bookmarkEnd w:id="790"/>
      <w:bookmarkEnd w:id="791"/>
      <w:bookmarkEnd w:id="792"/>
      <w:bookmarkEnd w:id="793"/>
      <w:bookmarkEnd w:id="794"/>
      <w:bookmarkEnd w:id="795"/>
      <w:bookmarkEnd w:id="796"/>
    </w:p>
    <w:p w14:paraId="7BF156A2">
      <w:pPr>
        <w:widowControl/>
        <w:snapToGrid w:val="0"/>
        <w:spacing w:line="360" w:lineRule="auto"/>
        <w:jc w:val="left"/>
        <w:rPr>
          <w:rFonts w:ascii="宋体" w:hAnsi="宋体" w:eastAsia="宋体" w:cs="宋体"/>
          <w:color w:val="000000" w:themeColor="text1"/>
          <w:kern w:val="0"/>
          <w:sz w:val="24"/>
          <w:lang w:bidi="ar"/>
          <w14:textFill>
            <w14:solidFill>
              <w14:schemeClr w14:val="tx1"/>
            </w14:solidFill>
          </w14:textFill>
        </w:rPr>
      </w:pPr>
    </w:p>
    <w:p w14:paraId="2335171E">
      <w:pPr>
        <w:snapToGrid w:val="0"/>
        <w:spacing w:line="360" w:lineRule="auto"/>
        <w:jc w:val="center"/>
        <w:outlineLvl w:val="1"/>
        <w:rPr>
          <w:rFonts w:hint="eastAsia" w:ascii="黑体" w:hAnsi="黑体" w:eastAsia="黑体" w:cs="黑体"/>
          <w:b/>
          <w:bCs/>
          <w:color w:val="000000" w:themeColor="text1"/>
          <w:sz w:val="28"/>
          <w:szCs w:val="28"/>
          <w14:textFill>
            <w14:solidFill>
              <w14:schemeClr w14:val="tx1"/>
            </w14:solidFill>
          </w14:textFill>
        </w:rPr>
      </w:pPr>
      <w:bookmarkStart w:id="797" w:name="_Toc5399"/>
      <w:bookmarkStart w:id="798" w:name="_Toc10850"/>
      <w:bookmarkStart w:id="799" w:name="_Toc7470"/>
      <w:bookmarkStart w:id="800" w:name="_Toc28980"/>
      <w:bookmarkStart w:id="801" w:name="_Toc27482"/>
      <w:bookmarkStart w:id="802" w:name="_Toc25890"/>
      <w:bookmarkStart w:id="803" w:name="_Toc26630"/>
      <w:r>
        <w:rPr>
          <w:rFonts w:hint="eastAsia" w:ascii="黑体" w:hAnsi="黑体" w:eastAsia="黑体" w:cs="黑体"/>
          <w:b/>
          <w:bCs/>
          <w:color w:val="000000" w:themeColor="text1"/>
          <w:sz w:val="28"/>
          <w:szCs w:val="28"/>
          <w14:textFill>
            <w14:solidFill>
              <w14:schemeClr w14:val="tx1"/>
            </w14:solidFill>
          </w14:textFill>
        </w:rPr>
        <w:t>7.1 控制项</w:t>
      </w:r>
      <w:bookmarkEnd w:id="797"/>
      <w:bookmarkEnd w:id="798"/>
      <w:bookmarkEnd w:id="799"/>
      <w:bookmarkEnd w:id="800"/>
      <w:bookmarkEnd w:id="801"/>
    </w:p>
    <w:p w14:paraId="71727BED">
      <w:pPr>
        <w:widowControl/>
        <w:snapToGrid w:val="0"/>
        <w:spacing w:line="360" w:lineRule="auto"/>
        <w:jc w:val="left"/>
        <w:rPr>
          <w:rFonts w:hint="eastAsia" w:ascii="宋体" w:hAnsi="宋体" w:eastAsia="宋体" w:cs="宋体"/>
          <w:color w:val="000000" w:themeColor="text1"/>
          <w:kern w:val="0"/>
          <w:sz w:val="24"/>
          <w:lang w:bidi="ar"/>
          <w14:textFill>
            <w14:solidFill>
              <w14:schemeClr w14:val="tx1"/>
            </w14:solidFill>
          </w14:textFill>
        </w:rPr>
      </w:pPr>
      <w:r>
        <w:rPr>
          <w:rFonts w:hint="eastAsia" w:ascii="宋体" w:hAnsi="宋体" w:eastAsia="宋体" w:cs="宋体"/>
          <w:color w:val="000000" w:themeColor="text1"/>
          <w:kern w:val="0"/>
          <w:sz w:val="24"/>
          <w:lang w:bidi="ar"/>
          <w14:textFill>
            <w14:solidFill>
              <w14:schemeClr w14:val="tx1"/>
            </w14:solidFill>
          </w14:textFill>
        </w:rPr>
        <w:t>7.1.1  本条款适用于基础设施项目规划设计阶段、施工建造阶段、运行阶段的评价。</w:t>
      </w:r>
    </w:p>
    <w:p w14:paraId="5FB2A0B4">
      <w:pPr>
        <w:widowControl/>
        <w:snapToGrid w:val="0"/>
        <w:spacing w:line="360" w:lineRule="auto"/>
        <w:ind w:firstLine="480" w:firstLineChars="200"/>
        <w:jc w:val="left"/>
        <w:rPr>
          <w:rFonts w:hint="eastAsia" w:ascii="宋体" w:hAnsi="宋体" w:eastAsia="宋体" w:cs="宋体"/>
          <w:color w:val="000000" w:themeColor="text1"/>
          <w:kern w:val="0"/>
          <w:sz w:val="24"/>
          <w:lang w:bidi="ar"/>
          <w14:textFill>
            <w14:solidFill>
              <w14:schemeClr w14:val="tx1"/>
            </w14:solidFill>
          </w14:textFill>
        </w:rPr>
      </w:pPr>
      <w:r>
        <w:rPr>
          <w:rFonts w:hint="eastAsia" w:ascii="宋体" w:hAnsi="宋体" w:eastAsia="宋体" w:cs="宋体"/>
          <w:color w:val="000000" w:themeColor="text1"/>
          <w:kern w:val="0"/>
          <w:sz w:val="24"/>
          <w:lang w:bidi="ar"/>
          <w14:textFill>
            <w14:solidFill>
              <w14:schemeClr w14:val="tx1"/>
            </w14:solidFill>
          </w14:textFill>
        </w:rPr>
        <w:t xml:space="preserve">治理体系包括完成项目可持续建设的组织架构、管理职责与分工、管理流程、管理工具和技术、制度等。 </w:t>
      </w:r>
    </w:p>
    <w:p w14:paraId="51F594F3">
      <w:pPr>
        <w:widowControl/>
        <w:snapToGrid w:val="0"/>
        <w:spacing w:line="360" w:lineRule="auto"/>
        <w:ind w:firstLine="480" w:firstLineChars="200"/>
        <w:jc w:val="left"/>
        <w:rPr>
          <w:rFonts w:hint="eastAsia" w:ascii="宋体" w:hAnsi="宋体" w:eastAsia="宋体" w:cs="宋体"/>
          <w:color w:val="000000" w:themeColor="text1"/>
          <w:kern w:val="0"/>
          <w:sz w:val="24"/>
          <w:lang w:bidi="ar"/>
          <w14:textFill>
            <w14:solidFill>
              <w14:schemeClr w14:val="tx1"/>
            </w14:solidFill>
          </w14:textFill>
        </w:rPr>
      </w:pPr>
      <w:r>
        <w:rPr>
          <w:rFonts w:hint="eastAsia" w:ascii="宋体" w:hAnsi="宋体" w:eastAsia="宋体" w:cs="宋体"/>
          <w:color w:val="000000" w:themeColor="text1"/>
          <w:kern w:val="0"/>
          <w:sz w:val="24"/>
          <w:lang w:bidi="ar"/>
          <w14:textFill>
            <w14:solidFill>
              <w14:schemeClr w14:val="tx1"/>
            </w14:solidFill>
          </w14:textFill>
        </w:rPr>
        <w:t>治理体系建立应考虑项目可持续发展实施计划的执行，对近期、中期和远期所产生的决策影响。治理体系应考虑兼顾环境保护，经济效益和社会需求，生命周期或各阶段成本核算预测。治理体系应从预警角度建立适宜的风险管理和预防措，对可能影响项目的各种意外事件和风险进行评价。</w:t>
      </w:r>
    </w:p>
    <w:p w14:paraId="2A5768A5">
      <w:pPr>
        <w:widowControl/>
        <w:snapToGrid w:val="0"/>
        <w:spacing w:line="360" w:lineRule="auto"/>
        <w:ind w:firstLine="480" w:firstLineChars="200"/>
        <w:jc w:val="left"/>
        <w:rPr>
          <w:rFonts w:hint="eastAsia" w:ascii="宋体" w:hAnsi="宋体" w:eastAsia="宋体" w:cs="宋体"/>
          <w:color w:val="000000" w:themeColor="text1"/>
          <w:kern w:val="0"/>
          <w:sz w:val="24"/>
          <w:lang w:bidi="ar"/>
          <w14:textFill>
            <w14:solidFill>
              <w14:schemeClr w14:val="tx1"/>
            </w14:solidFill>
          </w14:textFill>
        </w:rPr>
      </w:pPr>
      <w:r>
        <w:rPr>
          <w:rFonts w:hint="eastAsia" w:ascii="宋体" w:hAnsi="宋体" w:eastAsia="宋体" w:cs="宋体"/>
          <w:color w:val="000000" w:themeColor="text1"/>
          <w:kern w:val="0"/>
          <w:sz w:val="24"/>
          <w:lang w:bidi="ar"/>
          <w14:textFill>
            <w14:solidFill>
              <w14:schemeClr w14:val="tx1"/>
            </w14:solidFill>
          </w14:textFill>
        </w:rPr>
        <w:t xml:space="preserve">考核体系包括完成目标的监督机制、定期考核办法、考核标准等。 </w:t>
      </w:r>
    </w:p>
    <w:p w14:paraId="75A2D38D">
      <w:pPr>
        <w:widowControl/>
        <w:snapToGrid w:val="0"/>
        <w:spacing w:line="360" w:lineRule="auto"/>
        <w:ind w:firstLine="480" w:firstLineChars="200"/>
        <w:jc w:val="left"/>
        <w:rPr>
          <w:rFonts w:hint="eastAsia" w:ascii="宋体" w:hAnsi="宋体" w:eastAsia="宋体" w:cs="宋体"/>
          <w:color w:val="000000" w:themeColor="text1"/>
          <w:kern w:val="0"/>
          <w:sz w:val="24"/>
          <w:lang w:bidi="ar"/>
          <w14:textFill>
            <w14:solidFill>
              <w14:schemeClr w14:val="tx1"/>
            </w14:solidFill>
          </w14:textFill>
        </w:rPr>
      </w:pPr>
      <w:r>
        <w:rPr>
          <w:rFonts w:hint="eastAsia" w:ascii="宋体" w:hAnsi="宋体" w:eastAsia="宋体" w:cs="宋体"/>
          <w:color w:val="000000" w:themeColor="text1"/>
          <w:kern w:val="0"/>
          <w:sz w:val="24"/>
          <w:lang w:bidi="ar"/>
          <w14:textFill>
            <w14:solidFill>
              <w14:schemeClr w14:val="tx1"/>
            </w14:solidFill>
          </w14:textFill>
        </w:rPr>
        <w:t>考量内容：（1）治理体系文件；（2）考核体系文件；（3）治理与考核实施情况。</w:t>
      </w:r>
    </w:p>
    <w:p w14:paraId="0507D231">
      <w:pPr>
        <w:widowControl/>
        <w:snapToGrid w:val="0"/>
        <w:spacing w:line="360" w:lineRule="auto"/>
        <w:jc w:val="left"/>
        <w:rPr>
          <w:rFonts w:hint="eastAsia" w:ascii="宋体" w:hAnsi="宋体" w:eastAsia="宋体" w:cs="宋体"/>
          <w:color w:val="000000" w:themeColor="text1"/>
          <w:kern w:val="0"/>
          <w:sz w:val="24"/>
          <w:lang w:bidi="ar"/>
          <w14:textFill>
            <w14:solidFill>
              <w14:schemeClr w14:val="tx1"/>
            </w14:solidFill>
          </w14:textFill>
        </w:rPr>
      </w:pPr>
      <w:r>
        <w:rPr>
          <w:rFonts w:hint="eastAsia" w:ascii="宋体" w:hAnsi="宋体" w:eastAsia="宋体" w:cs="宋体"/>
          <w:color w:val="000000" w:themeColor="text1"/>
          <w:kern w:val="0"/>
          <w:sz w:val="24"/>
          <w:lang w:bidi="ar"/>
          <w14:textFill>
            <w14:solidFill>
              <w14:schemeClr w14:val="tx1"/>
            </w14:solidFill>
          </w14:textFill>
        </w:rPr>
        <w:t xml:space="preserve">7.1.2 本条款适用于基础设施项目规划设计阶段、施工建造阶段、运行阶段的评价。 </w:t>
      </w:r>
    </w:p>
    <w:p w14:paraId="08E79350">
      <w:pPr>
        <w:widowControl/>
        <w:snapToGrid w:val="0"/>
        <w:spacing w:line="360" w:lineRule="auto"/>
        <w:ind w:firstLine="480" w:firstLineChars="200"/>
        <w:jc w:val="left"/>
        <w:rPr>
          <w:rFonts w:hint="eastAsia" w:ascii="宋体" w:hAnsi="宋体" w:eastAsia="宋体" w:cs="宋体"/>
          <w:color w:val="000000" w:themeColor="text1"/>
          <w:kern w:val="0"/>
          <w:sz w:val="24"/>
          <w:lang w:bidi="ar"/>
          <w14:textFill>
            <w14:solidFill>
              <w14:schemeClr w14:val="tx1"/>
            </w14:solidFill>
          </w14:textFill>
        </w:rPr>
      </w:pPr>
      <w:r>
        <w:rPr>
          <w:rFonts w:hint="eastAsia" w:ascii="宋体" w:hAnsi="宋体" w:eastAsia="宋体" w:cs="宋体"/>
          <w:color w:val="000000" w:themeColor="text1"/>
          <w:kern w:val="0"/>
          <w:sz w:val="24"/>
          <w:lang w:bidi="ar"/>
          <w14:textFill>
            <w14:solidFill>
              <w14:schemeClr w14:val="tx1"/>
            </w14:solidFill>
          </w14:textFill>
        </w:rPr>
        <w:t>项目技术应用与技术创新的路径和措施包括技术引进与消化吸收、自主研发与创新、合作研发与开放创新、技术转移与转化等。</w:t>
      </w:r>
    </w:p>
    <w:p w14:paraId="309FBCD3">
      <w:pPr>
        <w:widowControl/>
        <w:snapToGrid w:val="0"/>
        <w:spacing w:line="360" w:lineRule="auto"/>
        <w:ind w:firstLine="480" w:firstLineChars="200"/>
        <w:jc w:val="left"/>
        <w:rPr>
          <w:rFonts w:hint="eastAsia" w:ascii="宋体" w:hAnsi="宋体" w:eastAsia="宋体" w:cs="宋体"/>
          <w:color w:val="000000" w:themeColor="text1"/>
          <w:kern w:val="0"/>
          <w:sz w:val="24"/>
          <w:lang w:bidi="ar"/>
          <w14:textFill>
            <w14:solidFill>
              <w14:schemeClr w14:val="tx1"/>
            </w14:solidFill>
          </w14:textFill>
        </w:rPr>
      </w:pPr>
      <w:r>
        <w:rPr>
          <w:rFonts w:hint="eastAsia" w:ascii="宋体" w:hAnsi="宋体" w:eastAsia="宋体" w:cs="宋体"/>
          <w:color w:val="000000" w:themeColor="text1"/>
          <w:kern w:val="0"/>
          <w:sz w:val="24"/>
          <w:lang w:bidi="ar"/>
          <w14:textFill>
            <w14:solidFill>
              <w14:schemeClr w14:val="tx1"/>
            </w14:solidFill>
          </w14:textFill>
        </w:rPr>
        <w:t>考量内容：（1）创新规划、激励机制、管理流程；（2）自主知识产权获得情况、科技获奖、技术推广或转移收入；（3）技术研究立项报告；（4）项目技术应用文件，如设计施工图、采购合同。</w:t>
      </w:r>
    </w:p>
    <w:p w14:paraId="05F1B2B5">
      <w:pPr>
        <w:widowControl/>
        <w:snapToGrid w:val="0"/>
        <w:spacing w:line="360" w:lineRule="auto"/>
        <w:jc w:val="left"/>
        <w:rPr>
          <w:rFonts w:hint="eastAsia" w:ascii="宋体" w:hAnsi="宋体" w:eastAsia="宋体" w:cs="宋体"/>
          <w:color w:val="000000" w:themeColor="text1"/>
          <w:kern w:val="0"/>
          <w:sz w:val="24"/>
          <w:lang w:bidi="ar"/>
          <w14:textFill>
            <w14:solidFill>
              <w14:schemeClr w14:val="tx1"/>
            </w14:solidFill>
          </w14:textFill>
        </w:rPr>
      </w:pPr>
      <w:r>
        <w:rPr>
          <w:rFonts w:hint="eastAsia" w:ascii="宋体" w:hAnsi="宋体" w:eastAsia="宋体" w:cs="宋体"/>
          <w:color w:val="000000" w:themeColor="text1"/>
          <w:kern w:val="0"/>
          <w:sz w:val="24"/>
          <w:lang w:bidi="ar"/>
          <w14:textFill>
            <w14:solidFill>
              <w14:schemeClr w14:val="tx1"/>
            </w14:solidFill>
          </w14:textFill>
        </w:rPr>
        <w:t>7.1.</w:t>
      </w:r>
      <w:r>
        <w:rPr>
          <w:rFonts w:hint="eastAsia" w:ascii="宋体" w:hAnsi="宋体" w:eastAsia="宋体" w:cs="宋体"/>
          <w:color w:val="000000" w:themeColor="text1"/>
          <w:kern w:val="0"/>
          <w:sz w:val="24"/>
          <w:lang w:val="en-US" w:eastAsia="zh-CN" w:bidi="ar"/>
          <w14:textFill>
            <w14:solidFill>
              <w14:schemeClr w14:val="tx1"/>
            </w14:solidFill>
          </w14:textFill>
        </w:rPr>
        <w:t>3</w:t>
      </w:r>
      <w:r>
        <w:rPr>
          <w:rFonts w:hint="eastAsia" w:ascii="宋体" w:hAnsi="宋体" w:eastAsia="宋体" w:cs="宋体"/>
          <w:color w:val="000000" w:themeColor="text1"/>
          <w:kern w:val="0"/>
          <w:sz w:val="24"/>
          <w:lang w:bidi="ar"/>
          <w14:textFill>
            <w14:solidFill>
              <w14:schemeClr w14:val="tx1"/>
            </w14:solidFill>
          </w14:textFill>
        </w:rPr>
        <w:t xml:space="preserve"> 本条款适用于基础设施项目规划设计阶段、施工建造阶段、运行阶段的评价。 </w:t>
      </w:r>
    </w:p>
    <w:p w14:paraId="4CE7F635">
      <w:pPr>
        <w:widowControl/>
        <w:snapToGrid w:val="0"/>
        <w:spacing w:line="360" w:lineRule="auto"/>
        <w:ind w:firstLine="480" w:firstLineChars="200"/>
        <w:jc w:val="left"/>
        <w:rPr>
          <w:rFonts w:hint="eastAsia" w:ascii="宋体" w:hAnsi="宋体" w:eastAsia="宋体" w:cs="宋体"/>
          <w:color w:val="000000" w:themeColor="text1"/>
          <w:kern w:val="0"/>
          <w:sz w:val="24"/>
          <w:lang w:bidi="ar"/>
          <w14:textFill>
            <w14:solidFill>
              <w14:schemeClr w14:val="tx1"/>
            </w14:solidFill>
          </w14:textFill>
        </w:rPr>
      </w:pPr>
      <w:r>
        <w:rPr>
          <w:rFonts w:hint="eastAsia" w:ascii="宋体" w:hAnsi="宋体" w:eastAsia="宋体" w:cs="宋体"/>
          <w:color w:val="000000" w:themeColor="text1"/>
          <w:kern w:val="0"/>
          <w:sz w:val="24"/>
          <w:lang w:eastAsia="zh-CN" w:bidi="ar"/>
          <w14:textFill>
            <w14:solidFill>
              <w14:schemeClr w14:val="tx1"/>
            </w14:solidFill>
          </w14:textFill>
        </w:rPr>
        <w:t>项目应资料妥善保管，确保其完整性和准确性，对于缺失的既有资料及时组织力量进行补齐。</w:t>
      </w:r>
    </w:p>
    <w:p w14:paraId="1DC93694">
      <w:pPr>
        <w:widowControl/>
        <w:snapToGrid w:val="0"/>
        <w:spacing w:line="360" w:lineRule="auto"/>
        <w:ind w:firstLine="480" w:firstLineChars="200"/>
        <w:jc w:val="left"/>
        <w:rPr>
          <w:rFonts w:hint="eastAsia" w:ascii="宋体" w:hAnsi="宋体" w:eastAsia="宋体" w:cs="宋体"/>
          <w:color w:val="000000" w:themeColor="text1"/>
          <w:kern w:val="0"/>
          <w:sz w:val="24"/>
          <w:lang w:bidi="ar"/>
          <w14:textFill>
            <w14:solidFill>
              <w14:schemeClr w14:val="tx1"/>
            </w14:solidFill>
          </w14:textFill>
        </w:rPr>
      </w:pPr>
      <w:r>
        <w:rPr>
          <w:rFonts w:hint="eastAsia" w:ascii="宋体" w:hAnsi="宋体" w:eastAsia="宋体" w:cs="宋体"/>
          <w:color w:val="000000" w:themeColor="text1"/>
          <w:kern w:val="0"/>
          <w:sz w:val="24"/>
          <w:lang w:bidi="ar"/>
          <w14:textFill>
            <w14:solidFill>
              <w14:schemeClr w14:val="tx1"/>
            </w14:solidFill>
          </w14:textFill>
        </w:rPr>
        <w:t>考量内容：（1）</w:t>
      </w:r>
      <w:r>
        <w:rPr>
          <w:rFonts w:hint="eastAsia" w:ascii="宋体" w:hAnsi="宋体" w:eastAsia="宋体" w:cs="宋体"/>
          <w:color w:val="000000" w:themeColor="text1"/>
          <w:kern w:val="0"/>
          <w:sz w:val="24"/>
          <w:lang w:eastAsia="zh-CN" w:bidi="ar"/>
          <w14:textFill>
            <w14:solidFill>
              <w14:schemeClr w14:val="tx1"/>
            </w14:solidFill>
          </w14:textFill>
        </w:rPr>
        <w:t>档案目录索引</w:t>
      </w:r>
      <w:r>
        <w:rPr>
          <w:rFonts w:hint="eastAsia" w:ascii="宋体" w:hAnsi="宋体" w:eastAsia="宋体" w:cs="宋体"/>
          <w:color w:val="000000" w:themeColor="text1"/>
          <w:kern w:val="0"/>
          <w:sz w:val="24"/>
          <w:lang w:bidi="ar"/>
          <w14:textFill>
            <w14:solidFill>
              <w14:schemeClr w14:val="tx1"/>
            </w14:solidFill>
          </w14:textFill>
        </w:rPr>
        <w:t>；（2）</w:t>
      </w:r>
      <w:r>
        <w:rPr>
          <w:rFonts w:hint="eastAsia" w:ascii="宋体" w:hAnsi="宋体" w:eastAsia="宋体" w:cs="宋体"/>
          <w:color w:val="000000" w:themeColor="text1"/>
          <w:kern w:val="0"/>
          <w:sz w:val="24"/>
          <w:lang w:eastAsia="zh-CN" w:bidi="ar"/>
          <w14:textFill>
            <w14:solidFill>
              <w14:schemeClr w14:val="tx1"/>
            </w14:solidFill>
          </w14:textFill>
        </w:rPr>
        <w:t>资料借阅记录</w:t>
      </w:r>
      <w:r>
        <w:rPr>
          <w:rFonts w:hint="eastAsia" w:ascii="宋体" w:hAnsi="宋体" w:eastAsia="宋体" w:cs="宋体"/>
          <w:color w:val="000000" w:themeColor="text1"/>
          <w:kern w:val="0"/>
          <w:sz w:val="24"/>
          <w:lang w:bidi="ar"/>
          <w14:textFill>
            <w14:solidFill>
              <w14:schemeClr w14:val="tx1"/>
            </w14:solidFill>
          </w14:textFill>
        </w:rPr>
        <w:t>；（3）</w:t>
      </w:r>
      <w:r>
        <w:rPr>
          <w:rFonts w:hint="eastAsia" w:ascii="宋体" w:hAnsi="宋体" w:eastAsia="宋体" w:cs="宋体"/>
          <w:color w:val="000000" w:themeColor="text1"/>
          <w:kern w:val="0"/>
          <w:sz w:val="24"/>
          <w:lang w:eastAsia="zh-CN" w:bidi="ar"/>
          <w14:textFill>
            <w14:solidFill>
              <w14:schemeClr w14:val="tx1"/>
            </w14:solidFill>
          </w14:textFill>
        </w:rPr>
        <w:t>资料使用管理办法等</w:t>
      </w:r>
      <w:r>
        <w:rPr>
          <w:rFonts w:hint="eastAsia" w:ascii="宋体" w:hAnsi="宋体" w:eastAsia="宋体" w:cs="宋体"/>
          <w:color w:val="000000" w:themeColor="text1"/>
          <w:kern w:val="0"/>
          <w:sz w:val="24"/>
          <w:lang w:bidi="ar"/>
          <w14:textFill>
            <w14:solidFill>
              <w14:schemeClr w14:val="tx1"/>
            </w14:solidFill>
          </w14:textFill>
        </w:rPr>
        <w:t>。</w:t>
      </w:r>
    </w:p>
    <w:p w14:paraId="36A45573">
      <w:pPr>
        <w:widowControl/>
        <w:snapToGrid w:val="0"/>
        <w:spacing w:line="360" w:lineRule="auto"/>
        <w:jc w:val="left"/>
        <w:rPr>
          <w:rFonts w:hint="eastAsia" w:ascii="宋体" w:hAnsi="宋体" w:eastAsia="宋体" w:cs="宋体"/>
          <w:color w:val="000000" w:themeColor="text1"/>
          <w:kern w:val="0"/>
          <w:sz w:val="24"/>
          <w:lang w:bidi="ar"/>
          <w14:textFill>
            <w14:solidFill>
              <w14:schemeClr w14:val="tx1"/>
            </w14:solidFill>
          </w14:textFill>
        </w:rPr>
      </w:pPr>
      <w:r>
        <w:rPr>
          <w:rFonts w:hint="eastAsia" w:ascii="宋体" w:hAnsi="宋体" w:eastAsia="宋体" w:cs="宋体"/>
          <w:color w:val="000000" w:themeColor="text1"/>
          <w:kern w:val="0"/>
          <w:sz w:val="24"/>
          <w:lang w:bidi="ar"/>
          <w14:textFill>
            <w14:solidFill>
              <w14:schemeClr w14:val="tx1"/>
            </w14:solidFill>
          </w14:textFill>
        </w:rPr>
        <w:t>7.1.</w:t>
      </w:r>
      <w:r>
        <w:rPr>
          <w:rFonts w:hint="eastAsia" w:ascii="宋体" w:hAnsi="宋体" w:eastAsia="宋体" w:cs="宋体"/>
          <w:color w:val="000000" w:themeColor="text1"/>
          <w:kern w:val="0"/>
          <w:sz w:val="24"/>
          <w:lang w:val="en-US" w:eastAsia="zh-CN" w:bidi="ar"/>
          <w14:textFill>
            <w14:solidFill>
              <w14:schemeClr w14:val="tx1"/>
            </w14:solidFill>
          </w14:textFill>
        </w:rPr>
        <w:t>4</w:t>
      </w:r>
      <w:r>
        <w:rPr>
          <w:rFonts w:hint="eastAsia" w:ascii="宋体" w:hAnsi="宋体" w:eastAsia="宋体" w:cs="宋体"/>
          <w:color w:val="000000" w:themeColor="text1"/>
          <w:kern w:val="0"/>
          <w:sz w:val="24"/>
          <w:lang w:bidi="ar"/>
          <w14:textFill>
            <w14:solidFill>
              <w14:schemeClr w14:val="tx1"/>
            </w14:solidFill>
          </w14:textFill>
        </w:rPr>
        <w:t xml:space="preserve"> 本条款适用于基础设施项目规划设计阶段、施工建造阶段、运行阶段的评价。 </w:t>
      </w:r>
    </w:p>
    <w:p w14:paraId="339B985A">
      <w:pPr>
        <w:widowControl/>
        <w:snapToGrid w:val="0"/>
        <w:spacing w:line="360" w:lineRule="auto"/>
        <w:ind w:firstLine="480" w:firstLineChars="200"/>
        <w:jc w:val="left"/>
        <w:rPr>
          <w:rFonts w:hint="eastAsia" w:ascii="宋体" w:hAnsi="宋体" w:eastAsia="宋体" w:cs="宋体"/>
          <w:color w:val="000000" w:themeColor="text1"/>
          <w:kern w:val="0"/>
          <w:sz w:val="24"/>
          <w:lang w:bidi="ar"/>
          <w14:textFill>
            <w14:solidFill>
              <w14:schemeClr w14:val="tx1"/>
            </w14:solidFill>
          </w14:textFill>
        </w:rPr>
      </w:pPr>
      <w:r>
        <w:rPr>
          <w:rFonts w:hint="eastAsia" w:ascii="宋体" w:hAnsi="宋体" w:eastAsia="宋体" w:cs="宋体"/>
          <w:color w:val="000000" w:themeColor="text1"/>
          <w:kern w:val="0"/>
          <w:sz w:val="24"/>
          <w:lang w:bidi="ar"/>
          <w14:textFill>
            <w14:solidFill>
              <w14:schemeClr w14:val="tx1"/>
            </w14:solidFill>
          </w14:textFill>
        </w:rPr>
        <w:t>信息技术应用管理办法，指全面统筹项目的信息化技术，实现底层数据统一管理，数据互通，避免重复建设造成浪费。</w:t>
      </w:r>
    </w:p>
    <w:p w14:paraId="56E1C90C">
      <w:pPr>
        <w:widowControl/>
        <w:snapToGrid w:val="0"/>
        <w:spacing w:line="360" w:lineRule="auto"/>
        <w:ind w:firstLine="480" w:firstLineChars="200"/>
        <w:jc w:val="left"/>
        <w:rPr>
          <w:rFonts w:hint="eastAsia" w:ascii="宋体" w:hAnsi="宋体" w:eastAsia="宋体" w:cs="宋体"/>
          <w:color w:val="000000" w:themeColor="text1"/>
          <w:kern w:val="0"/>
          <w:sz w:val="24"/>
          <w:lang w:eastAsia="zh-CN" w:bidi="ar"/>
          <w14:textFill>
            <w14:solidFill>
              <w14:schemeClr w14:val="tx1"/>
            </w14:solidFill>
          </w14:textFill>
        </w:rPr>
      </w:pPr>
      <w:r>
        <w:rPr>
          <w:rFonts w:hint="eastAsia" w:ascii="宋体" w:hAnsi="宋体" w:eastAsia="宋体" w:cs="宋体"/>
          <w:color w:val="000000" w:themeColor="text1"/>
          <w:kern w:val="0"/>
          <w:sz w:val="24"/>
          <w:lang w:bidi="ar"/>
          <w14:textFill>
            <w14:solidFill>
              <w14:schemeClr w14:val="tx1"/>
            </w14:solidFill>
          </w14:textFill>
        </w:rPr>
        <w:t>考量内容：信息技术应用管理办法</w:t>
      </w:r>
      <w:r>
        <w:rPr>
          <w:rFonts w:hint="eastAsia" w:ascii="宋体" w:hAnsi="宋体" w:eastAsia="宋体" w:cs="宋体"/>
          <w:color w:val="000000" w:themeColor="text1"/>
          <w:kern w:val="0"/>
          <w:sz w:val="24"/>
          <w:lang w:eastAsia="zh-CN" w:bidi="ar"/>
          <w14:textFill>
            <w14:solidFill>
              <w14:schemeClr w14:val="tx1"/>
            </w14:solidFill>
          </w14:textFill>
        </w:rPr>
        <w:t>。</w:t>
      </w:r>
    </w:p>
    <w:p w14:paraId="61490B0E">
      <w:pPr>
        <w:widowControl/>
        <w:snapToGrid w:val="0"/>
        <w:spacing w:line="360" w:lineRule="auto"/>
        <w:jc w:val="left"/>
        <w:rPr>
          <w:rFonts w:hint="eastAsia" w:ascii="宋体" w:hAnsi="宋体" w:eastAsia="宋体" w:cs="宋体"/>
          <w:color w:val="000000" w:themeColor="text1"/>
          <w:kern w:val="0"/>
          <w:sz w:val="24"/>
          <w:lang w:bidi="ar"/>
          <w14:textFill>
            <w14:solidFill>
              <w14:schemeClr w14:val="tx1"/>
            </w14:solidFill>
          </w14:textFill>
        </w:rPr>
      </w:pPr>
      <w:r>
        <w:rPr>
          <w:rFonts w:hint="eastAsia" w:ascii="宋体" w:hAnsi="宋体" w:eastAsia="宋体" w:cs="宋体"/>
          <w:color w:val="000000" w:themeColor="text1"/>
          <w:kern w:val="0"/>
          <w:sz w:val="24"/>
          <w:lang w:bidi="ar"/>
          <w14:textFill>
            <w14:solidFill>
              <w14:schemeClr w14:val="tx1"/>
            </w14:solidFill>
          </w14:textFill>
        </w:rPr>
        <w:t>7.1.</w:t>
      </w:r>
      <w:r>
        <w:rPr>
          <w:rFonts w:hint="eastAsia" w:ascii="宋体" w:hAnsi="宋体" w:eastAsia="宋体" w:cs="宋体"/>
          <w:color w:val="000000" w:themeColor="text1"/>
          <w:kern w:val="0"/>
          <w:sz w:val="24"/>
          <w:lang w:val="en-US" w:eastAsia="zh-CN" w:bidi="ar"/>
          <w14:textFill>
            <w14:solidFill>
              <w14:schemeClr w14:val="tx1"/>
            </w14:solidFill>
          </w14:textFill>
        </w:rPr>
        <w:t>5</w:t>
      </w:r>
      <w:r>
        <w:rPr>
          <w:rFonts w:hint="eastAsia" w:ascii="宋体" w:hAnsi="宋体" w:eastAsia="宋体" w:cs="宋体"/>
          <w:color w:val="000000" w:themeColor="text1"/>
          <w:kern w:val="0"/>
          <w:sz w:val="24"/>
          <w:lang w:bidi="ar"/>
          <w14:textFill>
            <w14:solidFill>
              <w14:schemeClr w14:val="tx1"/>
            </w14:solidFill>
          </w14:textFill>
        </w:rPr>
        <w:t xml:space="preserve"> 本条款适用于基础设施项目规划设计阶段、施工建造阶段、运行阶段的评价。 </w:t>
      </w:r>
    </w:p>
    <w:p w14:paraId="45846BBA">
      <w:pPr>
        <w:widowControl/>
        <w:snapToGrid w:val="0"/>
        <w:spacing w:line="360" w:lineRule="auto"/>
        <w:ind w:firstLine="480" w:firstLineChars="200"/>
        <w:jc w:val="left"/>
        <w:rPr>
          <w:rFonts w:hint="eastAsia" w:ascii="宋体" w:hAnsi="宋体" w:eastAsia="宋体" w:cs="宋体"/>
          <w:color w:val="000000" w:themeColor="text1"/>
          <w:kern w:val="0"/>
          <w:sz w:val="24"/>
          <w:lang w:bidi="ar"/>
          <w14:textFill>
            <w14:solidFill>
              <w14:schemeClr w14:val="tx1"/>
            </w14:solidFill>
          </w14:textFill>
        </w:rPr>
      </w:pPr>
      <w:r>
        <w:rPr>
          <w:rFonts w:hint="eastAsia" w:ascii="宋体" w:hAnsi="宋体" w:eastAsia="宋体" w:cs="宋体"/>
          <w:color w:val="000000" w:themeColor="text1"/>
          <w:kern w:val="0"/>
          <w:sz w:val="24"/>
          <w:lang w:bidi="ar"/>
          <w14:textFill>
            <w14:solidFill>
              <w14:schemeClr w14:val="tx1"/>
            </w14:solidFill>
          </w14:textFill>
        </w:rPr>
        <w:t>考量内容：应急管理机制文件。</w:t>
      </w:r>
    </w:p>
    <w:p w14:paraId="6A0696AB">
      <w:pPr>
        <w:widowControl/>
        <w:snapToGrid w:val="0"/>
        <w:spacing w:line="360" w:lineRule="auto"/>
        <w:jc w:val="left"/>
        <w:rPr>
          <w:rFonts w:hint="eastAsia" w:ascii="宋体" w:hAnsi="宋体" w:eastAsia="宋体" w:cs="宋体"/>
          <w:color w:val="000000" w:themeColor="text1"/>
          <w:kern w:val="0"/>
          <w:sz w:val="24"/>
          <w:lang w:val="en-US" w:eastAsia="zh-CN" w:bidi="ar"/>
          <w14:textFill>
            <w14:solidFill>
              <w14:schemeClr w14:val="tx1"/>
            </w14:solidFill>
          </w14:textFill>
        </w:rPr>
      </w:pPr>
      <w:r>
        <w:rPr>
          <w:rFonts w:hint="eastAsia" w:ascii="宋体" w:hAnsi="宋体" w:eastAsia="宋体" w:cs="宋体"/>
          <w:color w:val="000000" w:themeColor="text1"/>
          <w:kern w:val="0"/>
          <w:sz w:val="24"/>
          <w:lang w:bidi="ar"/>
          <w14:textFill>
            <w14:solidFill>
              <w14:schemeClr w14:val="tx1"/>
            </w14:solidFill>
          </w14:textFill>
        </w:rPr>
        <w:t>7.1.</w:t>
      </w:r>
      <w:r>
        <w:rPr>
          <w:rFonts w:hint="eastAsia" w:ascii="宋体" w:hAnsi="宋体" w:eastAsia="宋体" w:cs="宋体"/>
          <w:color w:val="000000" w:themeColor="text1"/>
          <w:kern w:val="0"/>
          <w:sz w:val="24"/>
          <w:lang w:val="en-US" w:eastAsia="zh-CN" w:bidi="ar"/>
          <w14:textFill>
            <w14:solidFill>
              <w14:schemeClr w14:val="tx1"/>
            </w14:solidFill>
          </w14:textFill>
        </w:rPr>
        <w:t>6</w:t>
      </w:r>
      <w:r>
        <w:rPr>
          <w:rFonts w:hint="eastAsia" w:ascii="宋体" w:hAnsi="宋体" w:eastAsia="宋体" w:cs="宋体"/>
          <w:color w:val="000000" w:themeColor="text1"/>
          <w:kern w:val="0"/>
          <w:sz w:val="24"/>
          <w:lang w:bidi="ar"/>
          <w14:textFill>
            <w14:solidFill>
              <w14:schemeClr w14:val="tx1"/>
            </w14:solidFill>
          </w14:textFill>
        </w:rPr>
        <w:t xml:space="preserve"> 本条款适用于基础设施项目规划设计阶段、施工建造阶段、运行阶段的评价。</w:t>
      </w:r>
    </w:p>
    <w:p w14:paraId="4ACE5549">
      <w:pPr>
        <w:widowControl/>
        <w:snapToGrid w:val="0"/>
        <w:spacing w:line="360" w:lineRule="auto"/>
        <w:ind w:firstLine="480" w:firstLineChars="200"/>
        <w:jc w:val="left"/>
        <w:rPr>
          <w:rFonts w:ascii="宋体" w:hAnsi="宋体" w:eastAsia="宋体" w:cs="宋体"/>
          <w:color w:val="000000" w:themeColor="text1"/>
          <w:kern w:val="0"/>
          <w:sz w:val="24"/>
          <w:lang w:bidi="ar"/>
          <w14:textFill>
            <w14:solidFill>
              <w14:schemeClr w14:val="tx1"/>
            </w14:solidFill>
          </w14:textFill>
        </w:rPr>
      </w:pPr>
      <w:r>
        <w:rPr>
          <w:rFonts w:hint="eastAsia" w:ascii="宋体" w:hAnsi="宋体" w:eastAsia="宋体" w:cs="宋体"/>
          <w:color w:val="000000" w:themeColor="text1"/>
          <w:kern w:val="0"/>
          <w:sz w:val="24"/>
          <w:lang w:val="en-US" w:eastAsia="zh-CN" w:bidi="ar"/>
          <w14:textFill>
            <w14:solidFill>
              <w14:schemeClr w14:val="tx1"/>
            </w14:solidFill>
          </w14:textFill>
        </w:rPr>
        <w:t>根据本标准执行情况组织信息披露，按照</w:t>
      </w:r>
      <w:r>
        <w:rPr>
          <w:rFonts w:hint="eastAsia" w:ascii="宋体" w:hAnsi="宋体" w:eastAsia="宋体" w:cs="宋体"/>
          <w:color w:val="000000" w:themeColor="text1"/>
          <w:kern w:val="0"/>
          <w:sz w:val="24"/>
          <w:lang w:bidi="ar"/>
          <w14:textFill>
            <w14:solidFill>
              <w14:schemeClr w14:val="tx1"/>
            </w14:solidFill>
          </w14:textFill>
        </w:rPr>
        <w:t>附录</w:t>
      </w:r>
      <w:r>
        <w:rPr>
          <w:rFonts w:hint="eastAsia" w:ascii="宋体" w:hAnsi="宋体" w:eastAsia="宋体" w:cs="宋体"/>
          <w:color w:val="000000" w:themeColor="text1"/>
          <w:kern w:val="0"/>
          <w:sz w:val="24"/>
          <w:lang w:val="en-US" w:eastAsia="zh-CN" w:bidi="ar"/>
          <w14:textFill>
            <w14:solidFill>
              <w14:schemeClr w14:val="tx1"/>
            </w14:solidFill>
          </w14:textFill>
        </w:rPr>
        <w:t>D</w:t>
      </w:r>
      <w:r>
        <w:rPr>
          <w:rFonts w:hint="eastAsia" w:ascii="宋体" w:hAnsi="宋体" w:eastAsia="宋体" w:cs="宋体"/>
          <w:color w:val="000000" w:themeColor="text1"/>
          <w:kern w:val="0"/>
          <w:sz w:val="24"/>
          <w:lang w:bidi="ar"/>
          <w14:textFill>
            <w14:solidFill>
              <w14:schemeClr w14:val="tx1"/>
            </w14:solidFill>
          </w14:textFill>
        </w:rPr>
        <w:t xml:space="preserve">要求编写项目ESG报告。 </w:t>
      </w:r>
    </w:p>
    <w:p w14:paraId="7DF856D1">
      <w:pPr>
        <w:widowControl/>
        <w:snapToGrid w:val="0"/>
        <w:spacing w:line="360" w:lineRule="auto"/>
        <w:ind w:firstLine="480" w:firstLineChars="200"/>
        <w:jc w:val="left"/>
        <w:rPr>
          <w:rFonts w:ascii="宋体" w:hAnsi="宋体" w:eastAsia="宋体" w:cs="宋体"/>
          <w:color w:val="000000" w:themeColor="text1"/>
          <w:kern w:val="0"/>
          <w:sz w:val="24"/>
          <w:lang w:bidi="ar"/>
          <w14:textFill>
            <w14:solidFill>
              <w14:schemeClr w14:val="tx1"/>
            </w14:solidFill>
          </w14:textFill>
        </w:rPr>
      </w:pPr>
      <w:r>
        <w:rPr>
          <w:rFonts w:hint="eastAsia" w:ascii="宋体" w:hAnsi="宋体" w:eastAsia="宋体" w:cs="宋体"/>
          <w:color w:val="000000" w:themeColor="text1"/>
          <w:kern w:val="0"/>
          <w:sz w:val="24"/>
          <w:lang w:bidi="ar"/>
          <w14:textFill>
            <w14:solidFill>
              <w14:schemeClr w14:val="tx1"/>
            </w14:solidFill>
          </w14:textFill>
        </w:rPr>
        <w:t>考量内容：</w:t>
      </w:r>
      <w:r>
        <w:rPr>
          <w:rFonts w:hint="eastAsia" w:ascii="宋体" w:hAnsi="宋体" w:eastAsia="宋体" w:cs="宋体"/>
          <w:color w:val="000000" w:themeColor="text1"/>
          <w:kern w:val="0"/>
          <w:sz w:val="24"/>
          <w:lang w:eastAsia="zh-CN" w:bidi="ar"/>
          <w14:textFill>
            <w14:solidFill>
              <w14:schemeClr w14:val="tx1"/>
            </w14:solidFill>
          </w14:textFill>
        </w:rPr>
        <w:t>（</w:t>
      </w:r>
      <w:r>
        <w:rPr>
          <w:rFonts w:hint="eastAsia" w:ascii="宋体" w:hAnsi="宋体" w:eastAsia="宋体" w:cs="宋体"/>
          <w:color w:val="000000" w:themeColor="text1"/>
          <w:kern w:val="0"/>
          <w:sz w:val="24"/>
          <w:lang w:val="en-US" w:eastAsia="zh-CN" w:bidi="ar"/>
          <w14:textFill>
            <w14:solidFill>
              <w14:schemeClr w14:val="tx1"/>
            </w14:solidFill>
          </w14:textFill>
        </w:rPr>
        <w:t>1</w:t>
      </w:r>
      <w:r>
        <w:rPr>
          <w:rFonts w:hint="eastAsia" w:ascii="宋体" w:hAnsi="宋体" w:eastAsia="宋体" w:cs="宋体"/>
          <w:color w:val="000000" w:themeColor="text1"/>
          <w:kern w:val="0"/>
          <w:sz w:val="24"/>
          <w:lang w:eastAsia="zh-CN" w:bidi="ar"/>
          <w14:textFill>
            <w14:solidFill>
              <w14:schemeClr w14:val="tx1"/>
            </w14:solidFill>
          </w14:textFill>
        </w:rPr>
        <w:t>）</w:t>
      </w:r>
      <w:r>
        <w:rPr>
          <w:rFonts w:hint="eastAsia" w:ascii="宋体" w:hAnsi="宋体" w:eastAsia="宋体" w:cs="宋体"/>
          <w:color w:val="000000" w:themeColor="text1"/>
          <w:kern w:val="0"/>
          <w:sz w:val="24"/>
          <w:lang w:val="en-US" w:eastAsia="zh-CN" w:bidi="ar"/>
          <w14:textFill>
            <w14:solidFill>
              <w14:schemeClr w14:val="tx1"/>
            </w14:solidFill>
          </w14:textFill>
        </w:rPr>
        <w:t>信息</w:t>
      </w:r>
      <w:r>
        <w:rPr>
          <w:rFonts w:hint="eastAsia" w:ascii="宋体" w:hAnsi="宋体" w:eastAsia="宋体" w:cs="宋体"/>
          <w:color w:val="000000" w:themeColor="text1"/>
          <w:kern w:val="0"/>
          <w:sz w:val="24"/>
          <w:lang w:bidi="ar"/>
          <w14:textFill>
            <w14:solidFill>
              <w14:schemeClr w14:val="tx1"/>
            </w14:solidFill>
          </w14:textFill>
        </w:rPr>
        <w:t>披露文件</w:t>
      </w:r>
      <w:r>
        <w:rPr>
          <w:rFonts w:hint="eastAsia" w:ascii="宋体" w:hAnsi="宋体" w:eastAsia="宋体" w:cs="宋体"/>
          <w:color w:val="000000" w:themeColor="text1"/>
          <w:kern w:val="0"/>
          <w:sz w:val="24"/>
          <w:lang w:eastAsia="zh-CN" w:bidi="ar"/>
          <w14:textFill>
            <w14:solidFill>
              <w14:schemeClr w14:val="tx1"/>
            </w14:solidFill>
          </w14:textFill>
        </w:rPr>
        <w:t>；（</w:t>
      </w:r>
      <w:r>
        <w:rPr>
          <w:rFonts w:hint="eastAsia" w:ascii="宋体" w:hAnsi="宋体" w:eastAsia="宋体" w:cs="宋体"/>
          <w:color w:val="000000" w:themeColor="text1"/>
          <w:kern w:val="0"/>
          <w:sz w:val="24"/>
          <w:lang w:val="en-US" w:eastAsia="zh-CN" w:bidi="ar"/>
          <w14:textFill>
            <w14:solidFill>
              <w14:schemeClr w14:val="tx1"/>
            </w14:solidFill>
          </w14:textFill>
        </w:rPr>
        <w:t>2</w:t>
      </w:r>
      <w:r>
        <w:rPr>
          <w:rFonts w:hint="eastAsia" w:ascii="宋体" w:hAnsi="宋体" w:eastAsia="宋体" w:cs="宋体"/>
          <w:color w:val="000000" w:themeColor="text1"/>
          <w:kern w:val="0"/>
          <w:sz w:val="24"/>
          <w:lang w:eastAsia="zh-CN" w:bidi="ar"/>
          <w14:textFill>
            <w14:solidFill>
              <w14:schemeClr w14:val="tx1"/>
            </w14:solidFill>
          </w14:textFill>
        </w:rPr>
        <w:t>）</w:t>
      </w:r>
      <w:r>
        <w:rPr>
          <w:rFonts w:hint="eastAsia" w:ascii="宋体" w:hAnsi="宋体" w:eastAsia="宋体" w:cs="宋体"/>
          <w:color w:val="000000" w:themeColor="text1"/>
          <w:kern w:val="0"/>
          <w:sz w:val="24"/>
          <w:lang w:bidi="ar"/>
          <w14:textFill>
            <w14:solidFill>
              <w14:schemeClr w14:val="tx1"/>
            </w14:solidFill>
          </w14:textFill>
        </w:rPr>
        <w:t>项目ESG报告。</w:t>
      </w:r>
    </w:p>
    <w:p w14:paraId="42254283">
      <w:pPr>
        <w:snapToGrid w:val="0"/>
        <w:spacing w:line="360" w:lineRule="auto"/>
        <w:jc w:val="center"/>
        <w:outlineLvl w:val="1"/>
        <w:rPr>
          <w:rFonts w:ascii="黑体" w:hAnsi="黑体" w:eastAsia="黑体" w:cs="黑体"/>
          <w:b/>
          <w:bCs/>
          <w:color w:val="000000" w:themeColor="text1"/>
          <w:sz w:val="28"/>
          <w:szCs w:val="28"/>
          <w14:textFill>
            <w14:solidFill>
              <w14:schemeClr w14:val="tx1"/>
            </w14:solidFill>
          </w14:textFill>
        </w:rPr>
      </w:pPr>
      <w:bookmarkStart w:id="804" w:name="_Toc17478"/>
      <w:bookmarkStart w:id="805" w:name="_Toc30361"/>
      <w:bookmarkStart w:id="806" w:name="_Toc22912"/>
      <w:bookmarkStart w:id="807" w:name="_Toc8633"/>
      <w:bookmarkStart w:id="808" w:name="_Toc26950"/>
      <w:r>
        <w:rPr>
          <w:rFonts w:hint="eastAsia" w:ascii="黑体" w:hAnsi="黑体" w:eastAsia="黑体" w:cs="黑体"/>
          <w:b/>
          <w:bCs/>
          <w:color w:val="000000" w:themeColor="text1"/>
          <w:sz w:val="28"/>
          <w:szCs w:val="28"/>
          <w14:textFill>
            <w14:solidFill>
              <w14:schemeClr w14:val="tx1"/>
            </w14:solidFill>
          </w14:textFill>
        </w:rPr>
        <w:t>7.2 评分项</w:t>
      </w:r>
      <w:bookmarkEnd w:id="802"/>
      <w:bookmarkEnd w:id="803"/>
      <w:bookmarkEnd w:id="804"/>
      <w:bookmarkEnd w:id="805"/>
      <w:bookmarkEnd w:id="806"/>
      <w:bookmarkEnd w:id="807"/>
      <w:bookmarkEnd w:id="808"/>
    </w:p>
    <w:p w14:paraId="5CFA0B49">
      <w:pPr>
        <w:snapToGrid w:val="0"/>
        <w:spacing w:line="360" w:lineRule="auto"/>
        <w:jc w:val="center"/>
        <w:outlineLvl w:val="2"/>
        <w:rPr>
          <w:rFonts w:ascii="仿宋" w:hAnsi="仿宋" w:eastAsia="仿宋" w:cs="仿宋"/>
          <w:color w:val="000000" w:themeColor="text1"/>
          <w:sz w:val="28"/>
          <w:szCs w:val="28"/>
          <w14:textFill>
            <w14:solidFill>
              <w14:schemeClr w14:val="tx1"/>
            </w14:solidFill>
          </w14:textFill>
        </w:rPr>
      </w:pPr>
      <w:bookmarkStart w:id="809" w:name="_Toc32466"/>
      <w:bookmarkStart w:id="810" w:name="_Toc25403"/>
      <w:bookmarkStart w:id="811" w:name="_Toc23099"/>
      <w:bookmarkStart w:id="812" w:name="_Toc13791"/>
      <w:bookmarkStart w:id="813" w:name="_Toc3397"/>
      <w:r>
        <w:rPr>
          <w:rFonts w:hint="eastAsia" w:ascii="仿宋" w:hAnsi="仿宋" w:eastAsia="仿宋" w:cs="仿宋"/>
          <w:color w:val="000000" w:themeColor="text1"/>
          <w:sz w:val="28"/>
          <w:szCs w:val="28"/>
          <w14:textFill>
            <w14:solidFill>
              <w14:schemeClr w14:val="tx1"/>
            </w14:solidFill>
          </w14:textFill>
        </w:rPr>
        <w:t>Ⅰ 管理体系</w:t>
      </w:r>
      <w:bookmarkEnd w:id="809"/>
      <w:bookmarkEnd w:id="810"/>
      <w:bookmarkEnd w:id="811"/>
      <w:bookmarkEnd w:id="812"/>
      <w:bookmarkEnd w:id="813"/>
    </w:p>
    <w:p w14:paraId="22F03793">
      <w:pPr>
        <w:widowControl/>
        <w:snapToGrid w:val="0"/>
        <w:spacing w:line="360" w:lineRule="auto"/>
        <w:jc w:val="left"/>
        <w:rPr>
          <w:rFonts w:hint="eastAsia" w:ascii="宋体" w:hAnsi="宋体" w:eastAsia="宋体" w:cs="宋体"/>
          <w:color w:val="000000" w:themeColor="text1"/>
          <w:kern w:val="0"/>
          <w:sz w:val="24"/>
          <w:lang w:bidi="ar"/>
          <w14:textFill>
            <w14:solidFill>
              <w14:schemeClr w14:val="tx1"/>
            </w14:solidFill>
          </w14:textFill>
        </w:rPr>
      </w:pPr>
      <w:r>
        <w:rPr>
          <w:rFonts w:hint="eastAsia" w:ascii="宋体" w:hAnsi="宋体" w:eastAsia="宋体" w:cs="宋体"/>
          <w:color w:val="000000" w:themeColor="text1"/>
          <w:kern w:val="0"/>
          <w:sz w:val="24"/>
          <w:lang w:bidi="ar"/>
          <w14:textFill>
            <w14:solidFill>
              <w14:schemeClr w14:val="tx1"/>
            </w14:solidFill>
          </w14:textFill>
        </w:rPr>
        <w:t>7.2.1 本条款适用于基础设施项目施工建造阶段、运行阶段的评价。</w:t>
      </w:r>
    </w:p>
    <w:p w14:paraId="1B8835EC">
      <w:pPr>
        <w:widowControl/>
        <w:snapToGrid w:val="0"/>
        <w:spacing w:line="360" w:lineRule="auto"/>
        <w:ind w:firstLine="480" w:firstLineChars="200"/>
        <w:jc w:val="left"/>
        <w:rPr>
          <w:rFonts w:hint="eastAsia" w:ascii="宋体" w:hAnsi="宋体" w:eastAsia="宋体" w:cs="宋体"/>
          <w:color w:val="000000" w:themeColor="text1"/>
          <w:kern w:val="0"/>
          <w:sz w:val="24"/>
          <w:lang w:bidi="ar"/>
          <w14:textFill>
            <w14:solidFill>
              <w14:schemeClr w14:val="tx1"/>
            </w14:solidFill>
          </w14:textFill>
        </w:rPr>
      </w:pPr>
      <w:r>
        <w:rPr>
          <w:rFonts w:hint="eastAsia" w:ascii="宋体" w:hAnsi="宋体" w:eastAsia="宋体" w:cs="宋体"/>
          <w:color w:val="000000" w:themeColor="text1"/>
          <w:kern w:val="0"/>
          <w:sz w:val="24"/>
          <w:lang w:val="en-US" w:eastAsia="zh-CN" w:bidi="ar"/>
          <w14:textFill>
            <w14:solidFill>
              <w14:schemeClr w14:val="tx1"/>
            </w14:solidFill>
          </w14:textFill>
        </w:rPr>
        <w:t>可持续治理体系包括但不限于：</w:t>
      </w:r>
      <w:r>
        <w:rPr>
          <w:rFonts w:hint="eastAsia" w:ascii="宋体" w:hAnsi="宋体" w:eastAsia="宋体" w:cs="宋体"/>
          <w:color w:val="000000" w:themeColor="text1"/>
          <w:kern w:val="0"/>
          <w:sz w:val="24"/>
          <w:highlight w:val="none"/>
          <w:lang w:bidi="ar"/>
          <w14:textFill>
            <w14:solidFill>
              <w14:schemeClr w14:val="tx1"/>
            </w14:solidFill>
          </w14:textFill>
        </w:rPr>
        <w:t>建立项目资源可持续发展制度</w:t>
      </w:r>
      <w:r>
        <w:rPr>
          <w:rFonts w:hint="eastAsia" w:ascii="宋体" w:hAnsi="宋体" w:eastAsia="宋体" w:cs="宋体"/>
          <w:color w:val="000000" w:themeColor="text1"/>
          <w:kern w:val="0"/>
          <w:sz w:val="24"/>
          <w:highlight w:val="none"/>
          <w:lang w:eastAsia="zh-CN" w:bidi="ar"/>
          <w14:textFill>
            <w14:solidFill>
              <w14:schemeClr w14:val="tx1"/>
            </w14:solidFill>
          </w14:textFill>
        </w:rPr>
        <w:t>，</w:t>
      </w:r>
      <w:r>
        <w:rPr>
          <w:rFonts w:hint="eastAsia" w:ascii="宋体" w:hAnsi="宋体" w:eastAsia="宋体" w:cs="宋体"/>
          <w:color w:val="000000" w:themeColor="text1"/>
          <w:kern w:val="0"/>
          <w:sz w:val="24"/>
          <w:highlight w:val="none"/>
          <w:lang w:bidi="ar"/>
          <w14:textFill>
            <w14:solidFill>
              <w14:schemeClr w14:val="tx1"/>
            </w14:solidFill>
          </w14:textFill>
        </w:rPr>
        <w:t>保证资源可持续发展实施长效进行</w:t>
      </w:r>
      <w:r>
        <w:rPr>
          <w:rFonts w:hint="eastAsia" w:ascii="宋体" w:hAnsi="宋体" w:eastAsia="宋体" w:cs="宋体"/>
          <w:color w:val="000000" w:themeColor="text1"/>
          <w:kern w:val="0"/>
          <w:sz w:val="24"/>
          <w:highlight w:val="none"/>
          <w:lang w:eastAsia="zh-CN" w:bidi="ar"/>
          <w14:textFill>
            <w14:solidFill>
              <w14:schemeClr w14:val="tx1"/>
            </w14:solidFill>
          </w14:textFill>
        </w:rPr>
        <w:t>；</w:t>
      </w:r>
      <w:r>
        <w:rPr>
          <w:rFonts w:hint="eastAsia" w:ascii="宋体" w:hAnsi="宋体" w:eastAsia="宋体" w:cs="宋体"/>
          <w:color w:val="000000" w:themeColor="text1"/>
          <w:kern w:val="0"/>
          <w:sz w:val="24"/>
          <w:highlight w:val="none"/>
          <w:lang w:val="en-US" w:eastAsia="zh-CN" w:bidi="ar"/>
          <w14:textFill>
            <w14:solidFill>
              <w14:schemeClr w14:val="tx1"/>
            </w14:solidFill>
          </w14:textFill>
        </w:rPr>
        <w:t>建立环境管理体系，实现工程规范化管理，环境零污染目标提供制度保障；建立系列保障员工权益的制度，如建立有利于项目可持续发展的员工聘用制度；建立员工的激励及晋升机制；制定绿色供应链及分包管理制度等。</w:t>
      </w:r>
    </w:p>
    <w:p w14:paraId="723D0E9E">
      <w:pPr>
        <w:widowControl/>
        <w:snapToGrid w:val="0"/>
        <w:spacing w:line="360" w:lineRule="auto"/>
        <w:ind w:firstLine="480" w:firstLineChars="200"/>
        <w:jc w:val="left"/>
        <w:rPr>
          <w:rFonts w:hint="eastAsia" w:ascii="宋体" w:hAnsi="宋体" w:eastAsia="宋体" w:cs="宋体"/>
          <w:color w:val="000000" w:themeColor="text1"/>
          <w:kern w:val="0"/>
          <w:sz w:val="24"/>
          <w:lang w:bidi="ar"/>
          <w14:textFill>
            <w14:solidFill>
              <w14:schemeClr w14:val="tx1"/>
            </w14:solidFill>
          </w14:textFill>
        </w:rPr>
      </w:pPr>
      <w:r>
        <w:rPr>
          <w:rFonts w:hint="eastAsia" w:ascii="宋体" w:hAnsi="宋体" w:eastAsia="宋体" w:cs="宋体"/>
          <w:color w:val="000000" w:themeColor="text1"/>
          <w:kern w:val="0"/>
          <w:sz w:val="24"/>
          <w:lang w:bidi="ar"/>
          <w14:textFill>
            <w14:solidFill>
              <w14:schemeClr w14:val="tx1"/>
            </w14:solidFill>
          </w14:textFill>
        </w:rPr>
        <w:t>考量内容：（1）可持续的组织架构；（2）配套</w:t>
      </w:r>
      <w:r>
        <w:rPr>
          <w:rFonts w:hint="eastAsia" w:ascii="宋体" w:hAnsi="宋体" w:eastAsia="宋体" w:cs="宋体"/>
          <w:color w:val="000000" w:themeColor="text1"/>
          <w:kern w:val="0"/>
          <w:sz w:val="24"/>
          <w:lang w:val="en-US" w:eastAsia="zh-CN" w:bidi="ar"/>
          <w14:textFill>
            <w14:solidFill>
              <w14:schemeClr w14:val="tx1"/>
            </w14:solidFill>
          </w14:textFill>
        </w:rPr>
        <w:t>系列</w:t>
      </w:r>
      <w:r>
        <w:rPr>
          <w:rFonts w:hint="eastAsia" w:ascii="宋体" w:hAnsi="宋体" w:eastAsia="宋体" w:cs="宋体"/>
          <w:color w:val="000000" w:themeColor="text1"/>
          <w:kern w:val="0"/>
          <w:sz w:val="24"/>
          <w:lang w:bidi="ar"/>
          <w14:textFill>
            <w14:solidFill>
              <w14:schemeClr w14:val="tx1"/>
            </w14:solidFill>
          </w14:textFill>
        </w:rPr>
        <w:t>制度；（3）职责分配、人员配备情况；（4）治理体系运行记录。</w:t>
      </w:r>
    </w:p>
    <w:p w14:paraId="10EDB578">
      <w:pPr>
        <w:widowControl/>
        <w:snapToGrid w:val="0"/>
        <w:spacing w:line="360" w:lineRule="auto"/>
        <w:jc w:val="left"/>
        <w:rPr>
          <w:rFonts w:hint="eastAsia" w:ascii="宋体" w:hAnsi="宋体" w:eastAsia="宋体" w:cs="宋体"/>
          <w:color w:val="000000" w:themeColor="text1"/>
          <w:kern w:val="0"/>
          <w:sz w:val="24"/>
          <w:lang w:bidi="ar"/>
          <w14:textFill>
            <w14:solidFill>
              <w14:schemeClr w14:val="tx1"/>
            </w14:solidFill>
          </w14:textFill>
        </w:rPr>
      </w:pPr>
      <w:r>
        <w:rPr>
          <w:rFonts w:hint="eastAsia" w:ascii="宋体" w:hAnsi="宋体" w:eastAsia="宋体" w:cs="宋体"/>
          <w:color w:val="000000" w:themeColor="text1"/>
          <w:kern w:val="0"/>
          <w:sz w:val="24"/>
          <w:lang w:bidi="ar"/>
          <w14:textFill>
            <w14:solidFill>
              <w14:schemeClr w14:val="tx1"/>
            </w14:solidFill>
          </w14:textFill>
        </w:rPr>
        <w:t xml:space="preserve">7.2.2 本条款适用于基础设施项目施工建造阶段、运行阶段的评价。 </w:t>
      </w:r>
    </w:p>
    <w:p w14:paraId="058595B1">
      <w:pPr>
        <w:widowControl/>
        <w:snapToGrid w:val="0"/>
        <w:spacing w:line="360" w:lineRule="auto"/>
        <w:ind w:firstLine="480" w:firstLineChars="200"/>
        <w:jc w:val="left"/>
        <w:rPr>
          <w:rFonts w:hint="eastAsia" w:ascii="宋体" w:hAnsi="宋体" w:eastAsia="宋体" w:cs="宋体"/>
          <w:color w:val="000000" w:themeColor="text1"/>
          <w:kern w:val="0"/>
          <w:sz w:val="24"/>
          <w:lang w:bidi="ar"/>
          <w14:textFill>
            <w14:solidFill>
              <w14:schemeClr w14:val="tx1"/>
            </w14:solidFill>
          </w14:textFill>
        </w:rPr>
      </w:pPr>
      <w:r>
        <w:rPr>
          <w:rFonts w:hint="eastAsia" w:ascii="宋体" w:hAnsi="宋体" w:eastAsia="宋体" w:cs="宋体"/>
          <w:color w:val="000000" w:themeColor="text1"/>
          <w:kern w:val="0"/>
          <w:sz w:val="24"/>
          <w:lang w:bidi="ar"/>
          <w14:textFill>
            <w14:solidFill>
              <w14:schemeClr w14:val="tx1"/>
            </w14:solidFill>
          </w14:textFill>
        </w:rPr>
        <w:t>考量内容：（1）考核监督机制和管理办法；（2）考核标准；（</w:t>
      </w:r>
      <w:r>
        <w:rPr>
          <w:rFonts w:hint="eastAsia" w:ascii="宋体" w:hAnsi="宋体" w:eastAsia="宋体" w:cs="宋体"/>
          <w:color w:val="000000" w:themeColor="text1"/>
          <w:kern w:val="0"/>
          <w:sz w:val="24"/>
          <w:lang w:val="en-US" w:eastAsia="zh-CN" w:bidi="ar"/>
          <w14:textFill>
            <w14:solidFill>
              <w14:schemeClr w14:val="tx1"/>
            </w14:solidFill>
          </w14:textFill>
        </w:rPr>
        <w:t>3</w:t>
      </w:r>
      <w:r>
        <w:rPr>
          <w:rFonts w:hint="eastAsia" w:ascii="宋体" w:hAnsi="宋体" w:eastAsia="宋体" w:cs="宋体"/>
          <w:color w:val="000000" w:themeColor="text1"/>
          <w:kern w:val="0"/>
          <w:sz w:val="24"/>
          <w:lang w:bidi="ar"/>
          <w14:textFill>
            <w14:solidFill>
              <w14:schemeClr w14:val="tx1"/>
            </w14:solidFill>
          </w14:textFill>
        </w:rPr>
        <w:t>）考核报告。</w:t>
      </w:r>
    </w:p>
    <w:p w14:paraId="54410CB3">
      <w:pPr>
        <w:widowControl/>
        <w:snapToGrid/>
        <w:spacing w:line="360" w:lineRule="auto"/>
        <w:jc w:val="center"/>
        <w:outlineLvl w:val="2"/>
        <w:rPr>
          <w:rFonts w:hint="eastAsia" w:ascii="宋体" w:hAnsi="宋体" w:eastAsia="宋体" w:cs="宋体"/>
          <w:color w:val="000000" w:themeColor="text1"/>
          <w:kern w:val="0"/>
          <w:sz w:val="24"/>
          <w:lang w:bidi="ar"/>
          <w14:textFill>
            <w14:solidFill>
              <w14:schemeClr w14:val="tx1"/>
            </w14:solidFill>
          </w14:textFill>
        </w:rPr>
      </w:pPr>
      <w:bookmarkStart w:id="814" w:name="_Toc30357"/>
      <w:r>
        <w:rPr>
          <w:rFonts w:hint="eastAsia" w:ascii="仿宋" w:hAnsi="仿宋" w:eastAsia="仿宋" w:cs="仿宋"/>
          <w:color w:val="000000" w:themeColor="text1"/>
          <w:sz w:val="28"/>
          <w:szCs w:val="28"/>
          <w14:textFill>
            <w14:solidFill>
              <w14:schemeClr w14:val="tx1"/>
            </w14:solidFill>
          </w14:textFill>
        </w:rPr>
        <w:t>Ⅱ 风险和应急管理</w:t>
      </w:r>
      <w:bookmarkEnd w:id="814"/>
    </w:p>
    <w:p w14:paraId="0A5E498B">
      <w:pPr>
        <w:widowControl/>
        <w:snapToGrid w:val="0"/>
        <w:spacing w:line="360" w:lineRule="auto"/>
        <w:jc w:val="left"/>
        <w:rPr>
          <w:rFonts w:hint="eastAsia" w:ascii="宋体" w:hAnsi="宋体" w:eastAsia="宋体" w:cs="宋体"/>
          <w:color w:val="000000" w:themeColor="text1"/>
          <w:kern w:val="0"/>
          <w:sz w:val="24"/>
          <w:lang w:bidi="ar"/>
          <w14:textFill>
            <w14:solidFill>
              <w14:schemeClr w14:val="tx1"/>
            </w14:solidFill>
          </w14:textFill>
        </w:rPr>
      </w:pPr>
      <w:r>
        <w:rPr>
          <w:rFonts w:hint="eastAsia" w:ascii="宋体" w:hAnsi="宋体" w:eastAsia="宋体" w:cs="宋体"/>
          <w:color w:val="000000" w:themeColor="text1"/>
          <w:kern w:val="0"/>
          <w:sz w:val="24"/>
          <w:lang w:bidi="ar"/>
          <w14:textFill>
            <w14:solidFill>
              <w14:schemeClr w14:val="tx1"/>
            </w14:solidFill>
          </w14:textFill>
        </w:rPr>
        <w:t>7.2.</w:t>
      </w:r>
      <w:r>
        <w:rPr>
          <w:rFonts w:hint="eastAsia" w:ascii="宋体" w:hAnsi="宋体" w:eastAsia="宋体" w:cs="宋体"/>
          <w:color w:val="000000" w:themeColor="text1"/>
          <w:kern w:val="0"/>
          <w:sz w:val="24"/>
          <w:lang w:val="en-US" w:eastAsia="zh-CN" w:bidi="ar"/>
          <w14:textFill>
            <w14:solidFill>
              <w14:schemeClr w14:val="tx1"/>
            </w14:solidFill>
          </w14:textFill>
        </w:rPr>
        <w:t>3</w:t>
      </w:r>
      <w:r>
        <w:rPr>
          <w:rFonts w:hint="eastAsia" w:ascii="宋体" w:hAnsi="宋体" w:eastAsia="宋体" w:cs="宋体"/>
          <w:color w:val="000000" w:themeColor="text1"/>
          <w:kern w:val="0"/>
          <w:sz w:val="24"/>
          <w:lang w:bidi="ar"/>
          <w14:textFill>
            <w14:solidFill>
              <w14:schemeClr w14:val="tx1"/>
            </w14:solidFill>
          </w14:textFill>
        </w:rPr>
        <w:t xml:space="preserve"> 本条款适用于基础设施项目施工建造阶段、运行阶段的评价。 </w:t>
      </w:r>
    </w:p>
    <w:p w14:paraId="3A7C266E">
      <w:pPr>
        <w:widowControl/>
        <w:snapToGrid w:val="0"/>
        <w:spacing w:line="360" w:lineRule="auto"/>
        <w:ind w:firstLine="480" w:firstLineChars="200"/>
        <w:jc w:val="left"/>
        <w:rPr>
          <w:rFonts w:hint="eastAsia" w:ascii="宋体" w:hAnsi="宋体" w:eastAsia="宋体" w:cs="宋体"/>
          <w:color w:val="000000" w:themeColor="text1"/>
          <w:kern w:val="0"/>
          <w:sz w:val="24"/>
          <w:lang w:bidi="ar"/>
          <w14:textFill>
            <w14:solidFill>
              <w14:schemeClr w14:val="tx1"/>
            </w14:solidFill>
          </w14:textFill>
        </w:rPr>
      </w:pPr>
      <w:r>
        <w:rPr>
          <w:rFonts w:hint="eastAsia" w:ascii="宋体" w:hAnsi="宋体" w:eastAsia="宋体" w:cs="宋体"/>
          <w:color w:val="000000" w:themeColor="text1"/>
          <w:kern w:val="0"/>
          <w:sz w:val="24"/>
          <w:lang w:bidi="ar"/>
          <w14:textFill>
            <w14:solidFill>
              <w14:schemeClr w14:val="tx1"/>
            </w14:solidFill>
          </w14:textFill>
        </w:rPr>
        <w:t>考量内容：（1）应急管理预案；（2）应急保障机制。</w:t>
      </w:r>
    </w:p>
    <w:p w14:paraId="38193B0F">
      <w:pPr>
        <w:widowControl/>
        <w:snapToGrid w:val="0"/>
        <w:spacing w:line="360" w:lineRule="auto"/>
        <w:jc w:val="left"/>
        <w:rPr>
          <w:rFonts w:hint="eastAsia" w:ascii="宋体" w:hAnsi="宋体" w:eastAsia="宋体" w:cs="宋体"/>
          <w:color w:val="000000" w:themeColor="text1"/>
          <w:kern w:val="0"/>
          <w:sz w:val="24"/>
          <w:lang w:bidi="ar"/>
          <w14:textFill>
            <w14:solidFill>
              <w14:schemeClr w14:val="tx1"/>
            </w14:solidFill>
          </w14:textFill>
        </w:rPr>
      </w:pPr>
      <w:r>
        <w:rPr>
          <w:rFonts w:hint="eastAsia" w:ascii="宋体" w:hAnsi="宋体" w:eastAsia="宋体" w:cs="宋体"/>
          <w:color w:val="000000" w:themeColor="text1"/>
          <w:kern w:val="0"/>
          <w:sz w:val="24"/>
          <w:lang w:bidi="ar"/>
          <w14:textFill>
            <w14:solidFill>
              <w14:schemeClr w14:val="tx1"/>
            </w14:solidFill>
          </w14:textFill>
        </w:rPr>
        <w:t>7.2.</w:t>
      </w:r>
      <w:r>
        <w:rPr>
          <w:rFonts w:hint="eastAsia" w:ascii="宋体" w:hAnsi="宋体" w:eastAsia="宋体" w:cs="宋体"/>
          <w:color w:val="000000" w:themeColor="text1"/>
          <w:kern w:val="0"/>
          <w:sz w:val="24"/>
          <w:lang w:val="en-US" w:eastAsia="zh-CN" w:bidi="ar"/>
          <w14:textFill>
            <w14:solidFill>
              <w14:schemeClr w14:val="tx1"/>
            </w14:solidFill>
          </w14:textFill>
        </w:rPr>
        <w:t>4</w:t>
      </w:r>
      <w:r>
        <w:rPr>
          <w:rFonts w:hint="eastAsia" w:ascii="宋体" w:hAnsi="宋体" w:eastAsia="宋体" w:cs="宋体"/>
          <w:color w:val="000000" w:themeColor="text1"/>
          <w:kern w:val="0"/>
          <w:sz w:val="24"/>
          <w:lang w:bidi="ar"/>
          <w14:textFill>
            <w14:solidFill>
              <w14:schemeClr w14:val="tx1"/>
            </w14:solidFill>
          </w14:textFill>
        </w:rPr>
        <w:t xml:space="preserve"> 本条款适用于基础设施项目的施工建造阶段、运行阶段的评价。 </w:t>
      </w:r>
    </w:p>
    <w:p w14:paraId="7A938B34">
      <w:pPr>
        <w:widowControl/>
        <w:snapToGrid w:val="0"/>
        <w:spacing w:line="360" w:lineRule="auto"/>
        <w:ind w:firstLine="480" w:firstLineChars="200"/>
        <w:jc w:val="left"/>
        <w:rPr>
          <w:rFonts w:hint="eastAsia" w:ascii="宋体" w:hAnsi="宋体" w:eastAsia="宋体" w:cs="宋体"/>
          <w:color w:val="000000" w:themeColor="text1"/>
          <w:kern w:val="0"/>
          <w:sz w:val="24"/>
          <w:lang w:bidi="ar"/>
          <w14:textFill>
            <w14:solidFill>
              <w14:schemeClr w14:val="tx1"/>
            </w14:solidFill>
          </w14:textFill>
        </w:rPr>
      </w:pPr>
      <w:r>
        <w:rPr>
          <w:rFonts w:hint="eastAsia" w:ascii="宋体" w:hAnsi="宋体" w:eastAsia="宋体" w:cs="宋体"/>
          <w:color w:val="000000" w:themeColor="text1"/>
          <w:kern w:val="0"/>
          <w:sz w:val="24"/>
          <w:lang w:bidi="ar"/>
          <w14:textFill>
            <w14:solidFill>
              <w14:schemeClr w14:val="tx1"/>
            </w14:solidFill>
          </w14:textFill>
        </w:rPr>
        <w:t>考量内容：（1）数字化监测系统及运行情况；（2）应急响应设备清单和维护记录；（3）培训和演习记录等。</w:t>
      </w:r>
    </w:p>
    <w:p w14:paraId="6C5EFB4C">
      <w:pPr>
        <w:widowControl/>
        <w:snapToGrid w:val="0"/>
        <w:spacing w:line="360" w:lineRule="auto"/>
        <w:jc w:val="left"/>
        <w:rPr>
          <w:rFonts w:hint="eastAsia" w:ascii="宋体" w:hAnsi="宋体" w:eastAsia="宋体" w:cs="宋体"/>
          <w:color w:val="000000" w:themeColor="text1"/>
          <w:kern w:val="0"/>
          <w:sz w:val="24"/>
          <w:lang w:bidi="ar"/>
          <w14:textFill>
            <w14:solidFill>
              <w14:schemeClr w14:val="tx1"/>
            </w14:solidFill>
          </w14:textFill>
        </w:rPr>
      </w:pPr>
      <w:r>
        <w:rPr>
          <w:rFonts w:hint="eastAsia" w:ascii="宋体" w:hAnsi="宋体" w:eastAsia="宋体" w:cs="宋体"/>
          <w:color w:val="000000" w:themeColor="text1"/>
          <w:kern w:val="0"/>
          <w:sz w:val="24"/>
          <w:lang w:bidi="ar"/>
          <w14:textFill>
            <w14:solidFill>
              <w14:schemeClr w14:val="tx1"/>
            </w14:solidFill>
          </w14:textFill>
        </w:rPr>
        <w:t>7.2.</w:t>
      </w:r>
      <w:r>
        <w:rPr>
          <w:rFonts w:hint="eastAsia" w:ascii="宋体" w:hAnsi="宋体" w:eastAsia="宋体" w:cs="宋体"/>
          <w:color w:val="000000" w:themeColor="text1"/>
          <w:kern w:val="0"/>
          <w:sz w:val="24"/>
          <w:lang w:val="en-US" w:eastAsia="zh-CN" w:bidi="ar"/>
          <w14:textFill>
            <w14:solidFill>
              <w14:schemeClr w14:val="tx1"/>
            </w14:solidFill>
          </w14:textFill>
        </w:rPr>
        <w:t>5</w:t>
      </w:r>
      <w:r>
        <w:rPr>
          <w:rFonts w:hint="eastAsia" w:ascii="宋体" w:hAnsi="宋体" w:eastAsia="宋体" w:cs="宋体"/>
          <w:color w:val="000000" w:themeColor="text1"/>
          <w:kern w:val="0"/>
          <w:sz w:val="24"/>
          <w:lang w:bidi="ar"/>
          <w14:textFill>
            <w14:solidFill>
              <w14:schemeClr w14:val="tx1"/>
            </w14:solidFill>
          </w14:textFill>
        </w:rPr>
        <w:t xml:space="preserve"> 本条款适用于基础设施项目</w:t>
      </w:r>
      <w:r>
        <w:rPr>
          <w:rFonts w:hint="eastAsia" w:ascii="宋体" w:hAnsi="宋体" w:eastAsia="宋体" w:cs="宋体"/>
          <w:color w:val="000000" w:themeColor="text1"/>
          <w:kern w:val="0"/>
          <w:sz w:val="24"/>
          <w:lang w:val="en-US" w:eastAsia="zh-CN" w:bidi="ar"/>
          <w14:textFill>
            <w14:solidFill>
              <w14:schemeClr w14:val="tx1"/>
            </w14:solidFill>
          </w14:textFill>
        </w:rPr>
        <w:t>运行</w:t>
      </w:r>
      <w:r>
        <w:rPr>
          <w:rFonts w:hint="eastAsia" w:ascii="宋体" w:hAnsi="宋体" w:eastAsia="宋体" w:cs="宋体"/>
          <w:color w:val="000000" w:themeColor="text1"/>
          <w:kern w:val="0"/>
          <w:sz w:val="24"/>
          <w:lang w:bidi="ar"/>
          <w14:textFill>
            <w14:solidFill>
              <w14:schemeClr w14:val="tx1"/>
            </w14:solidFill>
          </w14:textFill>
        </w:rPr>
        <w:t xml:space="preserve">阶段的评价。 </w:t>
      </w:r>
    </w:p>
    <w:p w14:paraId="46EF5625">
      <w:pPr>
        <w:widowControl/>
        <w:snapToGrid w:val="0"/>
        <w:spacing w:line="360" w:lineRule="auto"/>
        <w:ind w:firstLine="480" w:firstLineChars="200"/>
        <w:jc w:val="left"/>
        <w:rPr>
          <w:rFonts w:hint="eastAsia" w:ascii="宋体" w:hAnsi="宋体" w:eastAsia="宋体" w:cs="宋体"/>
          <w:color w:val="000000" w:themeColor="text1"/>
          <w:kern w:val="0"/>
          <w:sz w:val="24"/>
          <w:lang w:bidi="ar"/>
          <w14:textFill>
            <w14:solidFill>
              <w14:schemeClr w14:val="tx1"/>
            </w14:solidFill>
          </w14:textFill>
        </w:rPr>
      </w:pPr>
      <w:r>
        <w:rPr>
          <w:rFonts w:hint="eastAsia" w:ascii="宋体" w:hAnsi="宋体" w:eastAsia="宋体" w:cs="宋体"/>
          <w:color w:val="000000" w:themeColor="text1"/>
          <w:kern w:val="0"/>
          <w:sz w:val="24"/>
          <w:lang w:bidi="ar"/>
          <w14:textFill>
            <w14:solidFill>
              <w14:schemeClr w14:val="tx1"/>
            </w14:solidFill>
          </w14:textFill>
        </w:rPr>
        <w:t>考量内容：</w:t>
      </w:r>
      <w:r>
        <w:rPr>
          <w:rFonts w:hint="eastAsia" w:ascii="宋体" w:hAnsi="宋体" w:eastAsia="宋体" w:cs="宋体"/>
          <w:color w:val="000000" w:themeColor="text1"/>
          <w:kern w:val="0"/>
          <w:sz w:val="24"/>
          <w:lang w:val="en-US" w:eastAsia="zh-CN" w:bidi="ar"/>
          <w14:textFill>
            <w14:solidFill>
              <w14:schemeClr w14:val="tx1"/>
            </w14:solidFill>
          </w14:textFill>
        </w:rPr>
        <w:t>事故检修记录等相关文件。</w:t>
      </w:r>
    </w:p>
    <w:p w14:paraId="5A58B20C">
      <w:pPr>
        <w:spacing w:line="360" w:lineRule="auto"/>
        <w:jc w:val="center"/>
        <w:outlineLvl w:val="2"/>
        <w:rPr>
          <w:rFonts w:ascii="仿宋" w:hAnsi="仿宋" w:eastAsia="仿宋" w:cs="仿宋"/>
          <w:color w:val="000000" w:themeColor="text1"/>
          <w:sz w:val="28"/>
          <w:szCs w:val="28"/>
          <w14:textFill>
            <w14:solidFill>
              <w14:schemeClr w14:val="tx1"/>
            </w14:solidFill>
          </w14:textFill>
        </w:rPr>
      </w:pPr>
      <w:bookmarkStart w:id="815" w:name="_Toc441"/>
      <w:r>
        <w:rPr>
          <w:rFonts w:hint="eastAsia" w:ascii="仿宋" w:hAnsi="仿宋" w:eastAsia="仿宋" w:cs="仿宋"/>
          <w:color w:val="000000" w:themeColor="text1"/>
          <w:sz w:val="28"/>
          <w:szCs w:val="28"/>
          <w14:textFill>
            <w14:solidFill>
              <w14:schemeClr w14:val="tx1"/>
            </w14:solidFill>
          </w14:textFill>
        </w:rPr>
        <w:t>Ⅲ 创新体系</w:t>
      </w:r>
      <w:bookmarkEnd w:id="815"/>
    </w:p>
    <w:p w14:paraId="28DB328A">
      <w:pPr>
        <w:widowControl/>
        <w:snapToGrid w:val="0"/>
        <w:spacing w:line="360" w:lineRule="auto"/>
        <w:jc w:val="left"/>
        <w:rPr>
          <w:rFonts w:hint="eastAsia" w:ascii="宋体" w:hAnsi="宋体" w:eastAsia="宋体" w:cs="宋体"/>
          <w:color w:val="000000" w:themeColor="text1"/>
          <w:kern w:val="0"/>
          <w:sz w:val="24"/>
          <w:lang w:bidi="ar"/>
          <w14:textFill>
            <w14:solidFill>
              <w14:schemeClr w14:val="tx1"/>
            </w14:solidFill>
          </w14:textFill>
        </w:rPr>
      </w:pPr>
      <w:r>
        <w:rPr>
          <w:rFonts w:hint="eastAsia" w:ascii="宋体" w:hAnsi="宋体" w:eastAsia="宋体" w:cs="宋体"/>
          <w:color w:val="000000" w:themeColor="text1"/>
          <w:kern w:val="0"/>
          <w:sz w:val="24"/>
          <w:lang w:bidi="ar"/>
          <w14:textFill>
            <w14:solidFill>
              <w14:schemeClr w14:val="tx1"/>
            </w14:solidFill>
          </w14:textFill>
        </w:rPr>
        <w:t>7.2.</w:t>
      </w:r>
      <w:r>
        <w:rPr>
          <w:rFonts w:hint="eastAsia" w:ascii="宋体" w:hAnsi="宋体" w:eastAsia="宋体" w:cs="宋体"/>
          <w:color w:val="000000" w:themeColor="text1"/>
          <w:kern w:val="0"/>
          <w:sz w:val="24"/>
          <w:lang w:val="en-US" w:eastAsia="zh-CN" w:bidi="ar"/>
          <w14:textFill>
            <w14:solidFill>
              <w14:schemeClr w14:val="tx1"/>
            </w14:solidFill>
          </w14:textFill>
        </w:rPr>
        <w:t>6</w:t>
      </w:r>
      <w:r>
        <w:rPr>
          <w:rFonts w:hint="eastAsia" w:ascii="宋体" w:hAnsi="宋体" w:eastAsia="宋体" w:cs="宋体"/>
          <w:color w:val="000000" w:themeColor="text1"/>
          <w:kern w:val="0"/>
          <w:sz w:val="24"/>
          <w:lang w:bidi="ar"/>
          <w14:textFill>
            <w14:solidFill>
              <w14:schemeClr w14:val="tx1"/>
            </w14:solidFill>
          </w14:textFill>
        </w:rPr>
        <w:t xml:space="preserve"> 本条款适用于基础设施项目规划设计阶段、施工建造阶段、运行阶段的评价。</w:t>
      </w:r>
    </w:p>
    <w:p w14:paraId="7F56C334">
      <w:pPr>
        <w:widowControl/>
        <w:snapToGrid w:val="0"/>
        <w:spacing w:line="360" w:lineRule="auto"/>
        <w:ind w:firstLine="480" w:firstLineChars="200"/>
        <w:jc w:val="left"/>
        <w:rPr>
          <w:rFonts w:hint="eastAsia" w:ascii="宋体" w:hAnsi="宋体" w:eastAsia="宋体" w:cs="宋体"/>
          <w:color w:val="000000" w:themeColor="text1"/>
          <w:kern w:val="0"/>
          <w:sz w:val="24"/>
          <w:lang w:bidi="ar"/>
          <w14:textFill>
            <w14:solidFill>
              <w14:schemeClr w14:val="tx1"/>
            </w14:solidFill>
          </w14:textFill>
        </w:rPr>
      </w:pPr>
      <w:r>
        <w:rPr>
          <w:rFonts w:hint="eastAsia" w:ascii="宋体" w:hAnsi="宋体" w:eastAsia="宋体" w:cs="宋体"/>
          <w:color w:val="000000" w:themeColor="text1"/>
          <w:kern w:val="0"/>
          <w:sz w:val="24"/>
          <w:lang w:bidi="ar"/>
          <w14:textFill>
            <w14:solidFill>
              <w14:schemeClr w14:val="tx1"/>
            </w14:solidFill>
          </w14:textFill>
        </w:rPr>
        <w:t>创新技术评价报告，内容包括技术指标、技术要点、与传统技术相比对减排降耗、环境保护、提高社区居民满意度、带动地区经济发展以及提高职业健康安全水平的贡献、技术在行业中所处水平、推广前景、技术的成熟度、推广的障碍等。</w:t>
      </w:r>
    </w:p>
    <w:p w14:paraId="48B55700">
      <w:pPr>
        <w:widowControl/>
        <w:snapToGrid w:val="0"/>
        <w:spacing w:line="360" w:lineRule="auto"/>
        <w:ind w:firstLine="480" w:firstLineChars="200"/>
        <w:jc w:val="left"/>
        <w:rPr>
          <w:rFonts w:hint="eastAsia" w:ascii="宋体" w:hAnsi="宋体" w:eastAsia="宋体" w:cs="宋体"/>
          <w:color w:val="000000" w:themeColor="text1"/>
          <w:kern w:val="0"/>
          <w:sz w:val="24"/>
          <w:lang w:bidi="ar"/>
          <w14:textFill>
            <w14:solidFill>
              <w14:schemeClr w14:val="tx1"/>
            </w14:solidFill>
          </w14:textFill>
        </w:rPr>
      </w:pPr>
      <w:r>
        <w:rPr>
          <w:rFonts w:hint="eastAsia" w:ascii="宋体" w:hAnsi="宋体" w:eastAsia="宋体" w:cs="宋体"/>
          <w:color w:val="000000" w:themeColor="text1"/>
          <w:kern w:val="0"/>
          <w:sz w:val="24"/>
          <w:lang w:bidi="ar"/>
          <w14:textFill>
            <w14:solidFill>
              <w14:schemeClr w14:val="tx1"/>
            </w14:solidFill>
          </w14:textFill>
        </w:rPr>
        <w:t>考量内容：（1）创新管理机制文件、技术研究立项文件；（2）选用的技术成果来源；（3）绿色低碳技术、专利技术、知识产权、成果报告；（4）创新技术评价报告。</w:t>
      </w:r>
    </w:p>
    <w:p w14:paraId="16B5DDDF">
      <w:pPr>
        <w:widowControl/>
        <w:snapToGrid w:val="0"/>
        <w:spacing w:line="360" w:lineRule="auto"/>
        <w:jc w:val="left"/>
        <w:rPr>
          <w:rFonts w:hint="eastAsia" w:ascii="宋体" w:hAnsi="宋体" w:eastAsia="宋体" w:cs="宋体"/>
          <w:color w:val="000000" w:themeColor="text1"/>
          <w:kern w:val="0"/>
          <w:sz w:val="24"/>
          <w:lang w:bidi="ar"/>
          <w14:textFill>
            <w14:solidFill>
              <w14:schemeClr w14:val="tx1"/>
            </w14:solidFill>
          </w14:textFill>
        </w:rPr>
      </w:pPr>
      <w:r>
        <w:rPr>
          <w:rFonts w:hint="eastAsia" w:ascii="宋体" w:hAnsi="宋体" w:eastAsia="宋体" w:cs="宋体"/>
          <w:color w:val="000000" w:themeColor="text1"/>
          <w:kern w:val="0"/>
          <w:sz w:val="24"/>
          <w:lang w:bidi="ar"/>
          <w14:textFill>
            <w14:solidFill>
              <w14:schemeClr w14:val="tx1"/>
            </w14:solidFill>
          </w14:textFill>
        </w:rPr>
        <w:t>7.2.</w:t>
      </w:r>
      <w:r>
        <w:rPr>
          <w:rFonts w:hint="eastAsia" w:ascii="宋体" w:hAnsi="宋体" w:eastAsia="宋体" w:cs="宋体"/>
          <w:color w:val="000000" w:themeColor="text1"/>
          <w:kern w:val="0"/>
          <w:sz w:val="24"/>
          <w:lang w:val="en-US" w:eastAsia="zh-CN" w:bidi="ar"/>
          <w14:textFill>
            <w14:solidFill>
              <w14:schemeClr w14:val="tx1"/>
            </w14:solidFill>
          </w14:textFill>
        </w:rPr>
        <w:t>7</w:t>
      </w:r>
      <w:r>
        <w:rPr>
          <w:rFonts w:hint="eastAsia" w:ascii="宋体" w:hAnsi="宋体" w:eastAsia="宋体" w:cs="宋体"/>
          <w:color w:val="000000" w:themeColor="text1"/>
          <w:kern w:val="0"/>
          <w:sz w:val="24"/>
          <w:lang w:bidi="ar"/>
          <w14:textFill>
            <w14:solidFill>
              <w14:schemeClr w14:val="tx1"/>
            </w14:solidFill>
          </w14:textFill>
        </w:rPr>
        <w:t xml:space="preserve"> 本条款适用于基础设施项目规划设计阶段、施工建造阶段、运行阶段的评价。</w:t>
      </w:r>
    </w:p>
    <w:p w14:paraId="6A6C06E6">
      <w:pPr>
        <w:widowControl/>
        <w:snapToGrid w:val="0"/>
        <w:spacing w:line="360" w:lineRule="auto"/>
        <w:ind w:firstLine="480" w:firstLineChars="200"/>
        <w:jc w:val="left"/>
        <w:rPr>
          <w:rFonts w:hint="eastAsia" w:ascii="宋体" w:hAnsi="宋体" w:eastAsia="宋体" w:cs="宋体"/>
          <w:color w:val="000000" w:themeColor="text1"/>
          <w:kern w:val="0"/>
          <w:sz w:val="24"/>
          <w:lang w:bidi="ar"/>
          <w14:textFill>
            <w14:solidFill>
              <w14:schemeClr w14:val="tx1"/>
            </w14:solidFill>
          </w14:textFill>
        </w:rPr>
      </w:pPr>
      <w:r>
        <w:rPr>
          <w:rFonts w:hint="eastAsia" w:ascii="宋体" w:hAnsi="宋体" w:eastAsia="宋体" w:cs="宋体"/>
          <w:color w:val="000000" w:themeColor="text1"/>
          <w:kern w:val="0"/>
          <w:sz w:val="24"/>
          <w:lang w:bidi="ar"/>
          <w14:textFill>
            <w14:solidFill>
              <w14:schemeClr w14:val="tx1"/>
            </w14:solidFill>
          </w14:textFill>
        </w:rPr>
        <w:t>考量内容：（1）数字化平台；（2）智能化管理应用平台；（3）人工智能技术应用报告。</w:t>
      </w:r>
    </w:p>
    <w:p w14:paraId="016E67B6">
      <w:pPr>
        <w:widowControl/>
        <w:snapToGrid w:val="0"/>
        <w:spacing w:line="360" w:lineRule="auto"/>
        <w:jc w:val="left"/>
        <w:rPr>
          <w:rFonts w:hint="eastAsia" w:ascii="宋体" w:hAnsi="宋体" w:eastAsia="宋体" w:cs="宋体"/>
          <w:color w:val="000000" w:themeColor="text1"/>
          <w:kern w:val="0"/>
          <w:sz w:val="24"/>
          <w:lang w:bidi="ar"/>
          <w14:textFill>
            <w14:solidFill>
              <w14:schemeClr w14:val="tx1"/>
            </w14:solidFill>
          </w14:textFill>
        </w:rPr>
      </w:pPr>
      <w:r>
        <w:rPr>
          <w:rFonts w:hint="eastAsia" w:ascii="宋体" w:hAnsi="宋体" w:eastAsia="宋体" w:cs="宋体"/>
          <w:color w:val="000000" w:themeColor="text1"/>
          <w:kern w:val="0"/>
          <w:sz w:val="24"/>
          <w:lang w:bidi="ar"/>
          <w14:textFill>
            <w14:solidFill>
              <w14:schemeClr w14:val="tx1"/>
            </w14:solidFill>
          </w14:textFill>
        </w:rPr>
        <w:t>7.2.</w:t>
      </w:r>
      <w:r>
        <w:rPr>
          <w:rFonts w:hint="eastAsia" w:ascii="宋体" w:hAnsi="宋体" w:eastAsia="宋体" w:cs="宋体"/>
          <w:color w:val="000000" w:themeColor="text1"/>
          <w:kern w:val="0"/>
          <w:sz w:val="24"/>
          <w:lang w:val="en-US" w:eastAsia="zh-CN" w:bidi="ar"/>
          <w14:textFill>
            <w14:solidFill>
              <w14:schemeClr w14:val="tx1"/>
            </w14:solidFill>
          </w14:textFill>
        </w:rPr>
        <w:t>8</w:t>
      </w:r>
      <w:r>
        <w:rPr>
          <w:rFonts w:hint="eastAsia" w:ascii="宋体" w:hAnsi="宋体" w:eastAsia="宋体" w:cs="宋体"/>
          <w:color w:val="000000" w:themeColor="text1"/>
          <w:kern w:val="0"/>
          <w:sz w:val="24"/>
          <w:lang w:bidi="ar"/>
          <w14:textFill>
            <w14:solidFill>
              <w14:schemeClr w14:val="tx1"/>
            </w14:solidFill>
          </w14:textFill>
        </w:rPr>
        <w:t xml:space="preserve"> 本条款适用于基础设施项目的施工建造阶段、运行阶段的评价。</w:t>
      </w:r>
    </w:p>
    <w:p w14:paraId="39D35B65">
      <w:pPr>
        <w:widowControl/>
        <w:snapToGrid w:val="0"/>
        <w:spacing w:line="360" w:lineRule="auto"/>
        <w:ind w:firstLine="480" w:firstLineChars="200"/>
        <w:jc w:val="left"/>
        <w:rPr>
          <w:rFonts w:hint="eastAsia" w:ascii="宋体" w:hAnsi="宋体" w:eastAsia="宋体" w:cs="宋体"/>
          <w:color w:val="000000" w:themeColor="text1"/>
          <w:kern w:val="0"/>
          <w:sz w:val="24"/>
          <w:lang w:bidi="ar"/>
          <w14:textFill>
            <w14:solidFill>
              <w14:schemeClr w14:val="tx1"/>
            </w14:solidFill>
          </w14:textFill>
        </w:rPr>
      </w:pPr>
      <w:r>
        <w:rPr>
          <w:rFonts w:hint="eastAsia" w:ascii="宋体" w:hAnsi="宋体" w:eastAsia="宋体" w:cs="宋体"/>
          <w:color w:val="000000" w:themeColor="text1"/>
          <w:kern w:val="0"/>
          <w:sz w:val="24"/>
          <w:lang w:bidi="ar"/>
          <w14:textFill>
            <w14:solidFill>
              <w14:schemeClr w14:val="tx1"/>
            </w14:solidFill>
          </w14:textFill>
        </w:rPr>
        <w:t xml:space="preserve">以网站、公众号、APP、小程序等形式，建立信息披露/查询系统，确保公众可以方便地查询到项目相关信息，包括环境、社会和治理等方面的信息。 </w:t>
      </w:r>
    </w:p>
    <w:p w14:paraId="437FEE4C">
      <w:pPr>
        <w:widowControl/>
        <w:snapToGrid w:val="0"/>
        <w:spacing w:line="360" w:lineRule="auto"/>
        <w:ind w:firstLine="480" w:firstLineChars="200"/>
        <w:jc w:val="left"/>
        <w:rPr>
          <w:rFonts w:hint="eastAsia" w:ascii="宋体" w:hAnsi="宋体" w:eastAsia="宋体" w:cs="宋体"/>
          <w:color w:val="000000" w:themeColor="text1"/>
          <w:kern w:val="0"/>
          <w:sz w:val="24"/>
          <w:lang w:bidi="ar"/>
          <w14:textFill>
            <w14:solidFill>
              <w14:schemeClr w14:val="tx1"/>
            </w14:solidFill>
          </w14:textFill>
        </w:rPr>
      </w:pPr>
      <w:r>
        <w:rPr>
          <w:rFonts w:hint="eastAsia" w:ascii="宋体" w:hAnsi="宋体" w:eastAsia="宋体" w:cs="宋体"/>
          <w:color w:val="000000" w:themeColor="text1"/>
          <w:kern w:val="0"/>
          <w:sz w:val="24"/>
          <w:lang w:bidi="ar"/>
          <w14:textFill>
            <w14:solidFill>
              <w14:schemeClr w14:val="tx1"/>
            </w14:solidFill>
          </w14:textFill>
        </w:rPr>
        <w:t>考量内容：（1）信息披露方式；（2）信息披露记录；（3）真实可验证性数据来源。</w:t>
      </w:r>
    </w:p>
    <w:p w14:paraId="6E816908">
      <w:pPr>
        <w:widowControl/>
        <w:snapToGrid w:val="0"/>
        <w:spacing w:line="360" w:lineRule="auto"/>
        <w:jc w:val="left"/>
        <w:rPr>
          <w:rFonts w:ascii="宋体" w:hAnsi="宋体" w:eastAsia="宋体" w:cs="宋体"/>
          <w:color w:val="000000" w:themeColor="text1"/>
          <w:kern w:val="0"/>
          <w:sz w:val="24"/>
          <w:lang w:bidi="ar"/>
          <w14:textFill>
            <w14:solidFill>
              <w14:schemeClr w14:val="tx1"/>
            </w14:solidFill>
          </w14:textFill>
        </w:rPr>
      </w:pPr>
    </w:p>
    <w:p w14:paraId="41E2D06A">
      <w:pPr>
        <w:widowControl/>
        <w:snapToGrid w:val="0"/>
        <w:spacing w:line="360" w:lineRule="auto"/>
        <w:jc w:val="left"/>
        <w:rPr>
          <w:rFonts w:ascii="宋体" w:hAnsi="宋体" w:eastAsia="宋体" w:cs="宋体"/>
          <w:color w:val="000000" w:themeColor="text1"/>
          <w:kern w:val="0"/>
          <w:sz w:val="24"/>
          <w:lang w:bidi="ar"/>
          <w14:textFill>
            <w14:solidFill>
              <w14:schemeClr w14:val="tx1"/>
            </w14:solidFill>
          </w14:textFill>
        </w:rPr>
      </w:pPr>
    </w:p>
    <w:p w14:paraId="40D60E81">
      <w:pPr>
        <w:widowControl/>
        <w:snapToGrid/>
        <w:spacing w:line="240" w:lineRule="auto"/>
        <w:jc w:val="left"/>
        <w:rPr>
          <w:rFonts w:ascii="宋体" w:hAnsi="宋体" w:eastAsia="宋体" w:cs="宋体"/>
          <w:color w:val="000000" w:themeColor="text1"/>
          <w:kern w:val="0"/>
          <w:sz w:val="24"/>
          <w:lang w:bidi="ar"/>
          <w14:textFill>
            <w14:solidFill>
              <w14:schemeClr w14:val="tx1"/>
            </w14:solidFill>
          </w14:textFill>
        </w:rPr>
      </w:pPr>
      <w:r>
        <w:rPr>
          <w:rFonts w:ascii="宋体" w:hAnsi="宋体" w:eastAsia="宋体" w:cs="宋体"/>
          <w:color w:val="000000" w:themeColor="text1"/>
          <w:kern w:val="0"/>
          <w:sz w:val="24"/>
          <w:lang w:bidi="ar"/>
          <w14:textFill>
            <w14:solidFill>
              <w14:schemeClr w14:val="tx1"/>
            </w14:solidFill>
          </w14:textFill>
        </w:rPr>
        <w:br w:type="page"/>
      </w:r>
    </w:p>
    <w:p w14:paraId="1C22D75B">
      <w:pPr>
        <w:snapToGrid w:val="0"/>
        <w:spacing w:line="360" w:lineRule="auto"/>
        <w:outlineLvl w:val="0"/>
        <w:rPr>
          <w:rFonts w:hint="default" w:ascii="宋体" w:hAnsi="宋体" w:eastAsia="宋体" w:cs="宋体"/>
          <w:b/>
          <w:bCs/>
          <w:color w:val="000000" w:themeColor="text1"/>
          <w:sz w:val="30"/>
          <w:szCs w:val="30"/>
          <w:lang w:val="en-US" w:eastAsia="zh-CN"/>
          <w14:textFill>
            <w14:solidFill>
              <w14:schemeClr w14:val="tx1"/>
            </w14:solidFill>
          </w14:textFill>
        </w:rPr>
      </w:pPr>
      <w:bookmarkStart w:id="816" w:name="_Toc24039"/>
      <w:bookmarkStart w:id="817" w:name="_Toc29816"/>
      <w:bookmarkStart w:id="818" w:name="_Toc25554"/>
      <w:bookmarkStart w:id="819" w:name="_Toc3829"/>
      <w:bookmarkStart w:id="820" w:name="_Toc8636"/>
      <w:r>
        <w:rPr>
          <w:rFonts w:hint="eastAsia" w:ascii="宋体" w:hAnsi="宋体" w:eastAsia="宋体" w:cs="宋体"/>
          <w:b/>
          <w:bCs/>
          <w:color w:val="000000" w:themeColor="text1"/>
          <w:sz w:val="30"/>
          <w:szCs w:val="30"/>
          <w:lang w:val="en-US" w:eastAsia="zh-CN"/>
          <w14:textFill>
            <w14:solidFill>
              <w14:schemeClr w14:val="tx1"/>
            </w14:solidFill>
          </w14:textFill>
        </w:rPr>
        <w:t>附录A 生态价值变化评估报告</w:t>
      </w:r>
      <w:bookmarkEnd w:id="816"/>
      <w:bookmarkEnd w:id="817"/>
      <w:bookmarkEnd w:id="818"/>
      <w:bookmarkEnd w:id="819"/>
      <w:bookmarkEnd w:id="820"/>
    </w:p>
    <w:p w14:paraId="44708E61">
      <w:pPr>
        <w:widowControl/>
        <w:snapToGrid w:val="0"/>
        <w:spacing w:line="360" w:lineRule="auto"/>
        <w:jc w:val="left"/>
        <w:rPr>
          <w:rFonts w:ascii="宋体" w:hAnsi="宋体" w:eastAsia="宋体" w:cs="宋体"/>
          <w:color w:val="000000" w:themeColor="text1"/>
          <w:kern w:val="0"/>
          <w:sz w:val="24"/>
          <w:lang w:bidi="ar"/>
          <w14:textFill>
            <w14:solidFill>
              <w14:schemeClr w14:val="tx1"/>
            </w14:solidFill>
          </w14:textFill>
        </w:rPr>
      </w:pPr>
    </w:p>
    <w:p w14:paraId="351818E7">
      <w:pPr>
        <w:spacing w:line="360" w:lineRule="auto"/>
        <w:ind w:firstLine="0" w:firstLineChars="0"/>
        <w:rPr>
          <w:rFonts w:hint="eastAsia" w:ascii="宋体" w:hAnsi="宋体" w:eastAsia="宋体" w:cs="宋体"/>
          <w:sz w:val="24"/>
        </w:rPr>
      </w:pPr>
      <w:r>
        <w:rPr>
          <w:rFonts w:hint="eastAsia" w:ascii="宋体" w:hAnsi="宋体" w:eastAsia="宋体" w:cs="宋体"/>
          <w:sz w:val="24"/>
        </w:rPr>
        <w:t>A.0.1 合法性包括</w:t>
      </w:r>
      <w:r>
        <w:rPr>
          <w:rFonts w:hint="eastAsia" w:ascii="宋体" w:hAnsi="宋体" w:eastAsia="宋体" w:cs="宋体"/>
          <w:sz w:val="24"/>
          <w:lang w:val="en-US" w:eastAsia="zh-CN"/>
        </w:rPr>
        <w:t>各类资源</w:t>
      </w:r>
      <w:r>
        <w:rPr>
          <w:rFonts w:hint="eastAsia" w:ascii="宋体" w:hAnsi="宋体" w:eastAsia="宋体" w:cs="宋体"/>
          <w:sz w:val="24"/>
        </w:rPr>
        <w:t>利用的依据、有无违法行为、有无不履行职责行为等。</w:t>
      </w:r>
    </w:p>
    <w:p w14:paraId="3151FD1B">
      <w:pPr>
        <w:spacing w:line="360" w:lineRule="auto"/>
        <w:ind w:firstLine="480" w:firstLineChars="200"/>
        <w:rPr>
          <w:rFonts w:hint="default" w:ascii="宋体" w:hAnsi="宋体" w:eastAsia="宋体" w:cs="宋体"/>
          <w:sz w:val="24"/>
          <w:lang w:val="en-US" w:eastAsia="zh-CN"/>
        </w:rPr>
      </w:pPr>
      <w:r>
        <w:rPr>
          <w:rFonts w:hint="eastAsia" w:ascii="宋体" w:hAnsi="宋体" w:eastAsia="宋体" w:cs="宋体"/>
          <w:sz w:val="24"/>
        </w:rPr>
        <w:t>考量内容</w:t>
      </w:r>
      <w:r>
        <w:rPr>
          <w:rFonts w:hint="eastAsia" w:ascii="宋体" w:hAnsi="宋体" w:eastAsia="宋体" w:cs="宋体"/>
          <w:sz w:val="24"/>
          <w:lang w:eastAsia="zh-CN"/>
        </w:rPr>
        <w:t>：合法性</w:t>
      </w:r>
      <w:r>
        <w:rPr>
          <w:rFonts w:hint="eastAsia" w:ascii="宋体" w:hAnsi="宋体" w:eastAsia="宋体" w:cs="宋体"/>
          <w:sz w:val="24"/>
          <w:lang w:val="en-US" w:eastAsia="zh-CN"/>
        </w:rPr>
        <w:t>证明文件。</w:t>
      </w:r>
    </w:p>
    <w:p w14:paraId="33BD0D9D">
      <w:pPr>
        <w:spacing w:line="360" w:lineRule="auto"/>
        <w:ind w:firstLine="0" w:firstLineChars="0"/>
        <w:rPr>
          <w:rFonts w:hint="default" w:ascii="宋体" w:hAnsi="宋体" w:eastAsia="宋体" w:cs="宋体"/>
          <w:sz w:val="24"/>
          <w:lang w:val="en-US"/>
        </w:rPr>
      </w:pPr>
      <w:r>
        <w:rPr>
          <w:rFonts w:hint="eastAsia" w:ascii="宋体" w:hAnsi="宋体" w:eastAsia="宋体" w:cs="宋体"/>
          <w:sz w:val="24"/>
        </w:rPr>
        <w:t xml:space="preserve">A.0.2 </w:t>
      </w:r>
      <w:r>
        <w:rPr>
          <w:rFonts w:hint="eastAsia" w:ascii="宋体" w:hAnsi="宋体" w:eastAsia="宋体" w:cs="宋体"/>
          <w:sz w:val="24"/>
          <w:lang w:eastAsia="zh-CN"/>
        </w:rPr>
        <w:t>环境保护</w:t>
      </w:r>
      <w:r>
        <w:rPr>
          <w:rFonts w:hint="eastAsia" w:ascii="宋体" w:hAnsi="宋体" w:eastAsia="宋体" w:cs="宋体"/>
          <w:sz w:val="24"/>
          <w:lang w:val="en-US" w:eastAsia="zh-CN"/>
        </w:rPr>
        <w:t>措施指采取的控制污染物产生和排放的措施；</w:t>
      </w:r>
      <w:r>
        <w:rPr>
          <w:rFonts w:hint="eastAsia" w:ascii="宋体" w:hAnsi="宋体" w:eastAsia="宋体" w:cs="宋体"/>
          <w:sz w:val="24"/>
          <w:lang w:eastAsia="zh-CN"/>
        </w:rPr>
        <w:t>资源节约与利用措施</w:t>
      </w:r>
      <w:r>
        <w:rPr>
          <w:rFonts w:hint="eastAsia" w:ascii="宋体" w:hAnsi="宋体" w:eastAsia="宋体" w:cs="宋体"/>
          <w:sz w:val="24"/>
          <w:lang w:val="en-US" w:eastAsia="zh-CN"/>
        </w:rPr>
        <w:t>指减少资源消耗和提高资源利用效率的措施。</w:t>
      </w:r>
    </w:p>
    <w:p w14:paraId="2CC98FCA">
      <w:pPr>
        <w:spacing w:line="360" w:lineRule="auto"/>
        <w:ind w:firstLine="480" w:firstLineChars="200"/>
        <w:rPr>
          <w:rFonts w:hint="default" w:ascii="宋体" w:hAnsi="宋体" w:eastAsia="宋体" w:cs="宋体"/>
          <w:sz w:val="24"/>
          <w:lang w:val="en-US" w:eastAsia="zh-CN"/>
        </w:rPr>
      </w:pPr>
      <w:r>
        <w:rPr>
          <w:rFonts w:hint="eastAsia" w:ascii="宋体" w:hAnsi="宋体" w:eastAsia="宋体" w:cs="宋体"/>
          <w:sz w:val="24"/>
        </w:rPr>
        <w:t>考量内容</w:t>
      </w:r>
      <w:r>
        <w:rPr>
          <w:rFonts w:hint="eastAsia" w:ascii="宋体" w:hAnsi="宋体" w:eastAsia="宋体" w:cs="宋体"/>
          <w:sz w:val="24"/>
          <w:lang w:eastAsia="zh-CN"/>
        </w:rPr>
        <w:t>：环境保护、资源节约与利用措施</w:t>
      </w:r>
      <w:r>
        <w:rPr>
          <w:rFonts w:hint="eastAsia" w:ascii="宋体" w:hAnsi="宋体" w:eastAsia="宋体" w:cs="宋体"/>
          <w:sz w:val="24"/>
          <w:lang w:val="en-US" w:eastAsia="zh-CN"/>
        </w:rPr>
        <w:t>说明。</w:t>
      </w:r>
    </w:p>
    <w:p w14:paraId="1A99F4C8">
      <w:pPr>
        <w:spacing w:line="360" w:lineRule="auto"/>
        <w:ind w:firstLine="0" w:firstLineChars="0"/>
        <w:rPr>
          <w:rFonts w:hint="eastAsia" w:ascii="宋体" w:hAnsi="宋体" w:eastAsia="宋体" w:cs="宋体"/>
          <w:sz w:val="24"/>
        </w:rPr>
      </w:pPr>
      <w:r>
        <w:rPr>
          <w:rFonts w:hint="eastAsia" w:ascii="宋体" w:hAnsi="宋体" w:eastAsia="宋体" w:cs="宋体"/>
          <w:sz w:val="24"/>
        </w:rPr>
        <w:t>A.0.3 提供证明文件说明项目</w:t>
      </w:r>
      <w:r>
        <w:rPr>
          <w:rFonts w:hint="eastAsia" w:ascii="宋体" w:hAnsi="宋体" w:eastAsia="宋体" w:cs="宋体"/>
          <w:sz w:val="24"/>
          <w:lang w:val="en-US" w:eastAsia="zh-CN"/>
        </w:rPr>
        <w:t>建成前后的土壤质量情况</w:t>
      </w:r>
      <w:r>
        <w:rPr>
          <w:rFonts w:hint="eastAsia" w:ascii="宋体" w:hAnsi="宋体" w:eastAsia="宋体" w:cs="宋体"/>
          <w:sz w:val="24"/>
        </w:rPr>
        <w:t>。</w:t>
      </w:r>
    </w:p>
    <w:p w14:paraId="3F677705">
      <w:pPr>
        <w:spacing w:line="360" w:lineRule="auto"/>
        <w:ind w:firstLine="480" w:firstLineChars="200"/>
        <w:rPr>
          <w:rFonts w:hint="default" w:ascii="宋体" w:hAnsi="宋体" w:eastAsia="宋体" w:cs="宋体"/>
          <w:sz w:val="24"/>
          <w:lang w:val="en-US" w:eastAsia="zh-CN"/>
        </w:rPr>
      </w:pPr>
      <w:r>
        <w:rPr>
          <w:rFonts w:hint="eastAsia" w:ascii="宋体" w:hAnsi="宋体" w:eastAsia="宋体" w:cs="宋体"/>
          <w:sz w:val="24"/>
        </w:rPr>
        <w:t>考量内容：</w:t>
      </w:r>
      <w:r>
        <w:rPr>
          <w:rFonts w:hint="eastAsia" w:ascii="宋体" w:hAnsi="宋体" w:eastAsia="宋体" w:cs="宋体"/>
          <w:sz w:val="24"/>
          <w:lang w:val="en-US" w:eastAsia="zh-CN"/>
        </w:rPr>
        <w:t>项目建设前后的土壤质量说明文件。</w:t>
      </w:r>
    </w:p>
    <w:p w14:paraId="297E5318">
      <w:pPr>
        <w:spacing w:line="360" w:lineRule="auto"/>
        <w:ind w:firstLine="0" w:firstLineChars="0"/>
        <w:rPr>
          <w:rFonts w:hint="eastAsia" w:ascii="宋体" w:hAnsi="宋体" w:cs="宋体"/>
          <w:kern w:val="0"/>
          <w:sz w:val="24"/>
          <w:lang w:eastAsia="zh-CN" w:bidi="ar"/>
        </w:rPr>
      </w:pPr>
      <w:r>
        <w:rPr>
          <w:rFonts w:hint="eastAsia" w:ascii="宋体" w:hAnsi="宋体" w:eastAsia="宋体" w:cs="宋体"/>
          <w:sz w:val="24"/>
        </w:rPr>
        <w:t>A.0.</w:t>
      </w:r>
      <w:r>
        <w:rPr>
          <w:rFonts w:hint="eastAsia" w:ascii="宋体" w:hAnsi="宋体" w:eastAsia="宋体" w:cs="宋体"/>
          <w:sz w:val="24"/>
          <w:lang w:val="en-US" w:eastAsia="zh-CN"/>
        </w:rPr>
        <w:t>4</w:t>
      </w:r>
      <w:r>
        <w:rPr>
          <w:rFonts w:hint="eastAsia" w:ascii="宋体" w:hAnsi="宋体" w:eastAsia="宋体" w:cs="宋体"/>
          <w:sz w:val="24"/>
        </w:rPr>
        <w:t xml:space="preserve"> </w:t>
      </w:r>
      <w:r>
        <w:rPr>
          <w:rFonts w:hint="eastAsia" w:ascii="宋体" w:hAnsi="宋体" w:cs="宋体"/>
          <w:kern w:val="0"/>
          <w:sz w:val="24"/>
        </w:rPr>
        <w:t>绿地固碳增汇</w:t>
      </w:r>
      <w:r>
        <w:rPr>
          <w:rFonts w:hint="eastAsia" w:ascii="宋体" w:hAnsi="宋体" w:cs="宋体"/>
          <w:kern w:val="0"/>
          <w:sz w:val="24"/>
          <w:lang w:val="en-US" w:eastAsia="zh-CN"/>
        </w:rPr>
        <w:t>体现在</w:t>
      </w:r>
      <w:r>
        <w:rPr>
          <w:rFonts w:hint="eastAsia" w:ascii="宋体" w:hAnsi="宋体" w:cs="宋体"/>
          <w:kern w:val="0"/>
          <w:sz w:val="24"/>
          <w:lang w:bidi="ar"/>
        </w:rPr>
        <w:t>绿地植被保留、高固碳树种选用、节约型养护技术措施</w:t>
      </w:r>
      <w:r>
        <w:rPr>
          <w:rFonts w:hint="eastAsia" w:ascii="宋体" w:hAnsi="宋体" w:cs="宋体"/>
          <w:kern w:val="0"/>
          <w:sz w:val="24"/>
          <w:lang w:val="en-US" w:eastAsia="zh-CN" w:bidi="ar"/>
        </w:rPr>
        <w:t>等方面</w:t>
      </w:r>
      <w:r>
        <w:rPr>
          <w:rFonts w:hint="eastAsia" w:ascii="宋体" w:hAnsi="宋体" w:cs="宋体"/>
          <w:kern w:val="0"/>
          <w:sz w:val="24"/>
          <w:lang w:eastAsia="zh-CN" w:bidi="ar"/>
        </w:rPr>
        <w:t>。</w:t>
      </w:r>
    </w:p>
    <w:p w14:paraId="40C9930A">
      <w:pPr>
        <w:spacing w:line="360" w:lineRule="auto"/>
        <w:ind w:firstLine="0" w:firstLineChars="0"/>
        <w:rPr>
          <w:rFonts w:hint="default" w:ascii="宋体" w:hAnsi="宋体" w:cs="宋体"/>
          <w:kern w:val="0"/>
          <w:sz w:val="24"/>
          <w:lang w:val="en-US" w:eastAsia="zh-CN" w:bidi="ar"/>
        </w:rPr>
      </w:pPr>
      <w:r>
        <w:rPr>
          <w:rFonts w:hint="eastAsia" w:ascii="宋体" w:hAnsi="宋体" w:cs="宋体"/>
          <w:kern w:val="0"/>
          <w:sz w:val="24"/>
          <w:lang w:val="en-US" w:eastAsia="zh-CN" w:bidi="ar"/>
        </w:rPr>
        <w:t xml:space="preserve">    根据评估宗地大小和绿地生态系统类型，确定样方数量，按照《陆地生态系统生物长期监测规范》和《陆地生态系统土壤长期监测规范》进行取样分析，获得固碳产生的碳储量。</w:t>
      </w:r>
    </w:p>
    <w:p w14:paraId="2BDB9481">
      <w:pPr>
        <w:spacing w:line="360" w:lineRule="auto"/>
        <w:ind w:firstLine="480" w:firstLineChars="200"/>
        <w:rPr>
          <w:rFonts w:hint="eastAsia" w:ascii="宋体" w:hAnsi="宋体" w:cs="宋体"/>
          <w:kern w:val="0"/>
          <w:sz w:val="24"/>
          <w:lang w:val="en-US" w:eastAsia="zh-CN" w:bidi="ar"/>
        </w:rPr>
      </w:pPr>
      <w:r>
        <w:rPr>
          <w:rFonts w:hint="eastAsia" w:ascii="宋体" w:hAnsi="宋体" w:cs="宋体"/>
          <w:kern w:val="0"/>
          <w:sz w:val="24"/>
          <w:lang w:bidi="ar"/>
        </w:rPr>
        <w:t>考量内容：说明文档、规划设计文件，或相关监测</w:t>
      </w:r>
      <w:r>
        <w:rPr>
          <w:rFonts w:hint="eastAsia" w:ascii="宋体" w:hAnsi="宋体" w:cs="宋体"/>
          <w:kern w:val="0"/>
          <w:sz w:val="24"/>
          <w:lang w:val="en-US" w:eastAsia="zh-CN" w:bidi="ar"/>
        </w:rPr>
        <w:t>结果。</w:t>
      </w:r>
    </w:p>
    <w:p w14:paraId="3DF4EB2C">
      <w:pPr>
        <w:spacing w:line="360" w:lineRule="auto"/>
        <w:ind w:firstLine="0" w:firstLineChars="0"/>
        <w:rPr>
          <w:rFonts w:ascii="宋体" w:hAnsi="宋体" w:cs="宋体"/>
          <w:kern w:val="0"/>
          <w:sz w:val="24"/>
        </w:rPr>
      </w:pPr>
      <w:r>
        <w:rPr>
          <w:rFonts w:hint="eastAsia" w:ascii="宋体" w:hAnsi="宋体" w:eastAsia="宋体" w:cs="宋体"/>
          <w:sz w:val="24"/>
        </w:rPr>
        <w:t>A.0.</w:t>
      </w:r>
      <w:r>
        <w:rPr>
          <w:rFonts w:hint="eastAsia" w:ascii="宋体" w:hAnsi="宋体" w:eastAsia="宋体" w:cs="宋体"/>
          <w:sz w:val="24"/>
          <w:lang w:val="en-US" w:eastAsia="zh-CN"/>
        </w:rPr>
        <w:t>5</w:t>
      </w:r>
      <w:r>
        <w:rPr>
          <w:rFonts w:hint="eastAsia" w:ascii="宋体" w:hAnsi="宋体" w:eastAsia="宋体" w:cs="宋体"/>
          <w:sz w:val="24"/>
        </w:rPr>
        <w:t xml:space="preserve"> </w:t>
      </w:r>
      <w:r>
        <w:rPr>
          <w:rFonts w:hint="eastAsia" w:ascii="宋体" w:hAnsi="宋体" w:cs="宋体"/>
          <w:kern w:val="0"/>
          <w:sz w:val="24"/>
        </w:rPr>
        <w:t>按项目建成后宗地绿化带来热岛效应削减造成的地块内部减少夏季空调使用的碳减排效益（夏季现场监测效果）</w:t>
      </w:r>
    </w:p>
    <w:p w14:paraId="4D91A3F4">
      <w:pPr>
        <w:spacing w:line="360" w:lineRule="auto"/>
        <w:jc w:val="center"/>
        <w:rPr>
          <w:rFonts w:ascii="宋体" w:hAnsi="宋体" w:cs="宋体"/>
          <w:kern w:val="0"/>
          <w:sz w:val="24"/>
        </w:rPr>
      </w:pPr>
      <m:oMathPara>
        <m:oMath>
          <m:r>
            <m:rPr/>
            <w:rPr>
              <w:rFonts w:hint="eastAsia" w:ascii="微软雅黑" w:hAnsi="微软雅黑" w:eastAsia="微软雅黑" w:cs="微软雅黑"/>
              <w:kern w:val="0"/>
              <w:sz w:val="24"/>
            </w:rPr>
            <m:t>∆</m:t>
          </m:r>
          <m:r>
            <m:rPr/>
            <w:rPr>
              <w:rFonts w:hint="eastAsia" w:ascii="Cambria Math" w:hAnsi="Cambria Math" w:cs="宋体"/>
              <w:kern w:val="0"/>
              <w:sz w:val="24"/>
            </w:rPr>
            <m:t>t=</m:t>
          </m:r>
          <m:sSub>
            <m:sSubPr>
              <m:ctrlPr>
                <w:rPr>
                  <w:rFonts w:hint="eastAsia" w:ascii="Cambria Math" w:hAnsi="Cambria Math" w:cs="宋体"/>
                  <w:i/>
                  <w:kern w:val="0"/>
                  <w:sz w:val="24"/>
                </w:rPr>
              </m:ctrlPr>
            </m:sSubPr>
            <m:e>
              <m:r>
                <m:rPr/>
                <w:rPr>
                  <w:rFonts w:hint="eastAsia" w:ascii="Cambria Math" w:hAnsi="Cambria Math" w:cs="宋体"/>
                  <w:kern w:val="0"/>
                  <w:sz w:val="24"/>
                </w:rPr>
                <m:t>t</m:t>
              </m:r>
              <m:ctrlPr>
                <w:rPr>
                  <w:rFonts w:hint="eastAsia" w:ascii="Cambria Math" w:hAnsi="Cambria Math" w:cs="宋体"/>
                  <w:i/>
                  <w:kern w:val="0"/>
                  <w:sz w:val="24"/>
                </w:rPr>
              </m:ctrlPr>
            </m:e>
            <m:sub>
              <m:r>
                <m:rPr/>
                <w:rPr>
                  <w:rFonts w:hint="eastAsia" w:ascii="Cambria Math" w:hAnsi="Cambria Math" w:cs="宋体"/>
                  <w:kern w:val="0"/>
                  <w:sz w:val="24"/>
                </w:rPr>
                <m:t>2</m:t>
              </m:r>
              <m:ctrlPr>
                <w:rPr>
                  <w:rFonts w:hint="eastAsia" w:ascii="Cambria Math" w:hAnsi="Cambria Math" w:cs="宋体"/>
                  <w:i/>
                  <w:kern w:val="0"/>
                  <w:sz w:val="24"/>
                </w:rPr>
              </m:ctrlPr>
            </m:sub>
          </m:sSub>
          <m:r>
            <m:rPr/>
            <w:rPr>
              <w:rFonts w:hint="eastAsia" w:ascii="微软雅黑" w:hAnsi="微软雅黑" w:eastAsia="微软雅黑" w:cs="微软雅黑"/>
              <w:kern w:val="0"/>
              <w:sz w:val="24"/>
            </w:rPr>
            <m:t>−</m:t>
          </m:r>
          <m:sSub>
            <m:sSubPr>
              <m:ctrlPr>
                <w:rPr>
                  <w:rFonts w:hint="eastAsia" w:ascii="Cambria Math" w:hAnsi="Cambria Math" w:cs="宋体"/>
                  <w:i/>
                  <w:kern w:val="0"/>
                  <w:sz w:val="24"/>
                </w:rPr>
              </m:ctrlPr>
            </m:sSubPr>
            <m:e>
              <m:r>
                <m:rPr/>
                <w:rPr>
                  <w:rFonts w:hint="eastAsia" w:ascii="Cambria Math" w:hAnsi="Cambria Math" w:cs="宋体"/>
                  <w:kern w:val="0"/>
                  <w:sz w:val="24"/>
                </w:rPr>
                <m:t>t</m:t>
              </m:r>
              <m:ctrlPr>
                <w:rPr>
                  <w:rFonts w:hint="eastAsia" w:ascii="Cambria Math" w:hAnsi="Cambria Math" w:cs="宋体"/>
                  <w:i/>
                  <w:kern w:val="0"/>
                  <w:sz w:val="24"/>
                </w:rPr>
              </m:ctrlPr>
            </m:e>
            <m:sub>
              <m:r>
                <m:rPr/>
                <w:rPr>
                  <w:rFonts w:hint="eastAsia" w:ascii="Cambria Math" w:hAnsi="Cambria Math" w:cs="宋体"/>
                  <w:kern w:val="0"/>
                  <w:sz w:val="24"/>
                </w:rPr>
                <m:t>1</m:t>
              </m:r>
              <m:ctrlPr>
                <w:rPr>
                  <w:rFonts w:hint="eastAsia" w:ascii="Cambria Math" w:hAnsi="Cambria Math" w:cs="宋体"/>
                  <w:i/>
                  <w:kern w:val="0"/>
                  <w:sz w:val="24"/>
                </w:rPr>
              </m:ctrlPr>
            </m:sub>
          </m:sSub>
        </m:oMath>
      </m:oMathPara>
    </w:p>
    <w:p w14:paraId="5A4E40AF">
      <w:pPr>
        <w:spacing w:line="360" w:lineRule="auto"/>
        <w:ind w:firstLine="480" w:firstLineChars="200"/>
        <w:rPr>
          <w:rFonts w:hint="eastAsia" w:ascii="宋体" w:hAnsi="宋体" w:cs="宋体"/>
          <w:kern w:val="0"/>
          <w:sz w:val="24"/>
        </w:rPr>
      </w:pPr>
      <m:oMath>
        <m:r>
          <m:rPr/>
          <w:rPr>
            <w:rFonts w:hint="eastAsia" w:ascii="微软雅黑" w:hAnsi="微软雅黑" w:eastAsia="微软雅黑" w:cs="微软雅黑"/>
            <w:kern w:val="0"/>
            <w:sz w:val="24"/>
          </w:rPr>
          <m:t>∆</m:t>
        </m:r>
        <m:r>
          <m:rPr/>
          <w:rPr>
            <w:rFonts w:hint="eastAsia" w:ascii="Cambria Math" w:hAnsi="Cambria Math" w:cs="宋体"/>
            <w:kern w:val="0"/>
            <w:sz w:val="24"/>
          </w:rPr>
          <m:t>t</m:t>
        </m:r>
      </m:oMath>
      <w:r>
        <w:rPr>
          <w:rFonts w:hint="eastAsia" w:ascii="宋体" w:hAnsi="宋体" w:cs="宋体"/>
          <w:kern w:val="0"/>
          <w:sz w:val="24"/>
        </w:rPr>
        <w:t>为热岛效应削减带来的温度调节差值；</w:t>
      </w:r>
      <m:oMath>
        <m:sSub>
          <m:sSubPr>
            <m:ctrlPr>
              <w:rPr>
                <w:rFonts w:hint="eastAsia" w:ascii="Cambria Math" w:hAnsi="Cambria Math" w:cs="宋体"/>
                <w:i/>
                <w:kern w:val="0"/>
                <w:sz w:val="24"/>
              </w:rPr>
            </m:ctrlPr>
          </m:sSubPr>
          <m:e>
            <m:r>
              <m:rPr/>
              <w:rPr>
                <w:rFonts w:hint="eastAsia" w:ascii="Cambria Math" w:hAnsi="Cambria Math" w:cs="宋体"/>
                <w:kern w:val="0"/>
                <w:sz w:val="24"/>
              </w:rPr>
              <m:t>t</m:t>
            </m:r>
            <m:ctrlPr>
              <w:rPr>
                <w:rFonts w:hint="eastAsia" w:ascii="Cambria Math" w:hAnsi="Cambria Math" w:cs="宋体"/>
                <w:i/>
                <w:kern w:val="0"/>
                <w:sz w:val="24"/>
              </w:rPr>
            </m:ctrlPr>
          </m:e>
          <m:sub>
            <m:r>
              <m:rPr/>
              <w:rPr>
                <w:rFonts w:hint="eastAsia" w:ascii="Cambria Math" w:hAnsi="Cambria Math" w:cs="宋体"/>
                <w:kern w:val="0"/>
                <w:sz w:val="24"/>
              </w:rPr>
              <m:t>2</m:t>
            </m:r>
            <m:ctrlPr>
              <w:rPr>
                <w:rFonts w:hint="eastAsia" w:ascii="Cambria Math" w:hAnsi="Cambria Math" w:cs="宋体"/>
                <w:i/>
                <w:kern w:val="0"/>
                <w:sz w:val="24"/>
              </w:rPr>
            </m:ctrlPr>
          </m:sub>
        </m:sSub>
      </m:oMath>
      <w:r>
        <w:rPr>
          <w:rFonts w:hint="eastAsia" w:ascii="宋体" w:hAnsi="宋体" w:cs="宋体"/>
          <w:kern w:val="0"/>
          <w:sz w:val="24"/>
        </w:rPr>
        <w:t>宗地周边硬质场地平均气温，</w:t>
      </w:r>
      <m:oMath>
        <m:sSub>
          <m:sSubPr>
            <m:ctrlPr>
              <w:rPr>
                <w:rFonts w:hint="eastAsia" w:ascii="Cambria Math" w:hAnsi="Cambria Math" w:cs="宋体"/>
                <w:i/>
                <w:kern w:val="0"/>
                <w:sz w:val="24"/>
              </w:rPr>
            </m:ctrlPr>
          </m:sSubPr>
          <m:e>
            <m:r>
              <m:rPr/>
              <w:rPr>
                <w:rFonts w:hint="eastAsia" w:ascii="Cambria Math" w:hAnsi="Cambria Math" w:cs="宋体"/>
                <w:kern w:val="0"/>
                <w:sz w:val="24"/>
              </w:rPr>
              <m:t>t</m:t>
            </m:r>
            <m:ctrlPr>
              <w:rPr>
                <w:rFonts w:hint="eastAsia" w:ascii="Cambria Math" w:hAnsi="Cambria Math" w:cs="宋体"/>
                <w:i/>
                <w:kern w:val="0"/>
                <w:sz w:val="24"/>
              </w:rPr>
            </m:ctrlPr>
          </m:e>
          <m:sub>
            <m:r>
              <m:rPr/>
              <w:rPr>
                <w:rFonts w:hint="eastAsia" w:ascii="Cambria Math" w:hAnsi="Cambria Math" w:cs="宋体"/>
                <w:kern w:val="0"/>
                <w:sz w:val="24"/>
              </w:rPr>
              <m:t>1</m:t>
            </m:r>
            <m:ctrlPr>
              <w:rPr>
                <w:rFonts w:hint="eastAsia" w:ascii="Cambria Math" w:hAnsi="Cambria Math" w:cs="宋体"/>
                <w:i/>
                <w:kern w:val="0"/>
                <w:sz w:val="24"/>
              </w:rPr>
            </m:ctrlPr>
          </m:sub>
        </m:sSub>
      </m:oMath>
      <w:r>
        <w:rPr>
          <w:rFonts w:hint="eastAsia" w:ascii="宋体" w:hAnsi="宋体" w:cs="宋体"/>
          <w:kern w:val="0"/>
          <w:sz w:val="24"/>
        </w:rPr>
        <w:t>宗地内平均气温。</w:t>
      </w:r>
    </w:p>
    <w:p w14:paraId="4858DD3F">
      <w:pPr>
        <w:spacing w:line="360" w:lineRule="auto"/>
        <w:ind w:firstLine="480" w:firstLineChars="200"/>
        <w:rPr>
          <w:rFonts w:hint="eastAsia" w:ascii="宋体" w:hAnsi="宋体" w:eastAsia="宋体" w:cs="宋体"/>
          <w:kern w:val="0"/>
          <w:sz w:val="24"/>
          <w:lang w:eastAsia="zh-CN"/>
        </w:rPr>
      </w:pPr>
      <w:r>
        <w:rPr>
          <w:rFonts w:hint="eastAsia" w:ascii="宋体" w:hAnsi="宋体" w:eastAsia="宋体" w:cs="宋体"/>
          <w:color w:val="000000" w:themeColor="text1"/>
          <w:sz w:val="24"/>
          <w14:textFill>
            <w14:solidFill>
              <w14:schemeClr w14:val="tx1"/>
            </w14:solidFill>
          </w14:textFill>
        </w:rPr>
        <w:t>热岛效应强度</w:t>
      </w:r>
      <w:r>
        <w:rPr>
          <w:rFonts w:hint="eastAsia" w:ascii="宋体" w:hAnsi="宋体" w:eastAsia="宋体" w:cs="宋体"/>
          <w:color w:val="000000" w:themeColor="text1"/>
          <w:sz w:val="24"/>
          <w:lang w:val="en-US" w:eastAsia="zh-CN"/>
          <w14:textFill>
            <w14:solidFill>
              <w14:schemeClr w14:val="tx1"/>
            </w14:solidFill>
          </w14:textFill>
        </w:rPr>
        <w:t>宜小于</w:t>
      </w:r>
      <w:r>
        <w:rPr>
          <w:rFonts w:hint="eastAsia" w:ascii="宋体" w:hAnsi="宋体" w:eastAsia="宋体" w:cs="宋体"/>
          <w:color w:val="000000" w:themeColor="text1"/>
          <w:sz w:val="24"/>
          <w14:textFill>
            <w14:solidFill>
              <w14:schemeClr w14:val="tx1"/>
            </w14:solidFill>
          </w14:textFill>
        </w:rPr>
        <w:t>2.5℃</w:t>
      </w:r>
      <w:r>
        <w:rPr>
          <w:rFonts w:hint="eastAsia" w:ascii="宋体" w:hAnsi="宋体" w:eastAsia="宋体" w:cs="宋体"/>
          <w:color w:val="000000" w:themeColor="text1"/>
          <w:sz w:val="24"/>
          <w:lang w:eastAsia="zh-CN"/>
          <w14:textFill>
            <w14:solidFill>
              <w14:schemeClr w14:val="tx1"/>
            </w14:solidFill>
          </w14:textFill>
        </w:rPr>
        <w:t>。</w:t>
      </w:r>
    </w:p>
    <w:p w14:paraId="4BD16E6A">
      <w:pPr>
        <w:spacing w:line="360" w:lineRule="auto"/>
        <w:ind w:firstLine="480" w:firstLineChars="200"/>
        <w:rPr>
          <w:rFonts w:hint="eastAsia" w:ascii="宋体" w:hAnsi="宋体" w:cs="宋体"/>
          <w:kern w:val="0"/>
          <w:sz w:val="24"/>
          <w:lang w:val="en-US" w:eastAsia="zh-CN" w:bidi="ar"/>
        </w:rPr>
      </w:pPr>
      <w:r>
        <w:rPr>
          <w:rFonts w:hint="eastAsia" w:ascii="宋体" w:hAnsi="宋体" w:cs="宋体"/>
          <w:kern w:val="0"/>
          <w:sz w:val="24"/>
          <w:lang w:bidi="ar"/>
        </w:rPr>
        <w:t>考量内容：热岛效应削减</w:t>
      </w:r>
      <w:r>
        <w:rPr>
          <w:rFonts w:hint="eastAsia" w:ascii="宋体" w:hAnsi="宋体" w:cs="宋体"/>
          <w:kern w:val="0"/>
          <w:sz w:val="24"/>
          <w:lang w:val="en-US" w:eastAsia="zh-CN" w:bidi="ar"/>
        </w:rPr>
        <w:t>结果。</w:t>
      </w:r>
    </w:p>
    <w:p w14:paraId="428C3F5D">
      <w:pPr>
        <w:ind w:firstLine="0" w:firstLineChars="0"/>
        <w:rPr>
          <w:rFonts w:ascii="宋体" w:hAnsi="宋体" w:cs="宋体"/>
          <w:kern w:val="0"/>
          <w:sz w:val="24"/>
        </w:rPr>
      </w:pPr>
      <w:r>
        <w:rPr>
          <w:rFonts w:hint="eastAsia" w:ascii="宋体" w:hAnsi="宋体" w:eastAsia="宋体" w:cs="宋体"/>
          <w:sz w:val="24"/>
        </w:rPr>
        <w:t>A.0.</w:t>
      </w:r>
      <w:r>
        <w:rPr>
          <w:rFonts w:hint="eastAsia" w:ascii="宋体" w:hAnsi="宋体" w:eastAsia="宋体" w:cs="宋体"/>
          <w:sz w:val="24"/>
          <w:lang w:val="en-US" w:eastAsia="zh-CN"/>
        </w:rPr>
        <w:t xml:space="preserve">6 </w:t>
      </w:r>
      <w:r>
        <w:rPr>
          <w:rFonts w:hint="eastAsia" w:ascii="宋体" w:hAnsi="宋体" w:cs="宋体"/>
          <w:kern w:val="0"/>
          <w:sz w:val="24"/>
        </w:rPr>
        <w:t>采用景观多样性指数作为景观美学价值实物量变化评估指标。</w:t>
      </w:r>
    </w:p>
    <w:p w14:paraId="60287AE7">
      <w:pPr>
        <w:spacing w:line="360" w:lineRule="auto"/>
        <w:ind w:firstLine="480" w:firstLineChars="200"/>
        <w:rPr>
          <w:rFonts w:ascii="宋体" w:hAnsi="宋体" w:cs="宋体"/>
          <w:kern w:val="0"/>
          <w:sz w:val="24"/>
        </w:rPr>
      </w:pPr>
      <w:r>
        <w:rPr>
          <w:rFonts w:hint="eastAsia" w:ascii="宋体" w:hAnsi="宋体" w:cs="宋体"/>
          <w:kern w:val="0"/>
          <w:sz w:val="24"/>
        </w:rPr>
        <w:t>景观多样性指数计算公式如下：</w:t>
      </w:r>
    </w:p>
    <w:p w14:paraId="0E092F97">
      <w:pPr>
        <w:snapToGrid w:val="0"/>
        <w:spacing w:line="360" w:lineRule="auto"/>
        <w:rPr>
          <w:rFonts w:ascii="宋体" w:hAnsi="宋体" w:cs="宋体"/>
          <w:color w:val="000000" w:themeColor="text1"/>
          <w:sz w:val="24"/>
          <w14:textFill>
            <w14:solidFill>
              <w14:schemeClr w14:val="tx1"/>
            </w14:solidFill>
          </w14:textFill>
        </w:rPr>
      </w:pPr>
      <m:oMathPara>
        <m:oMath>
          <m:r>
            <m:rPr/>
            <w:rPr>
              <w:rFonts w:hint="eastAsia" w:ascii="Cambria Math" w:hAnsi="Cambria Math" w:cs="宋体"/>
              <w:color w:val="000000" w:themeColor="text1"/>
              <w:sz w:val="24"/>
              <w14:textFill>
                <w14:solidFill>
                  <w14:schemeClr w14:val="tx1"/>
                </w14:solidFill>
              </w14:textFill>
            </w:rPr>
            <m:t>H</m:t>
          </m:r>
          <m:r>
            <m:rPr>
              <m:sty m:val="p"/>
            </m:rPr>
            <w:rPr>
              <w:rFonts w:hint="eastAsia" w:ascii="Cambria Math" w:hAnsi="Cambria Math" w:cs="宋体"/>
              <w:color w:val="000000" w:themeColor="text1"/>
              <w:sz w:val="24"/>
              <w14:textFill>
                <w14:solidFill>
                  <w14:schemeClr w14:val="tx1"/>
                </w14:solidFill>
              </w14:textFill>
            </w:rPr>
            <m:t>=</m:t>
          </m:r>
          <m:r>
            <m:rPr>
              <m:sty m:val="p"/>
            </m:rPr>
            <w:rPr>
              <w:rFonts w:hint="eastAsia" w:ascii="微软雅黑" w:hAnsi="微软雅黑" w:eastAsia="微软雅黑" w:cs="微软雅黑"/>
              <w:color w:val="000000" w:themeColor="text1"/>
              <w:sz w:val="24"/>
              <w14:textFill>
                <w14:solidFill>
                  <w14:schemeClr w14:val="tx1"/>
                </w14:solidFill>
              </w14:textFill>
            </w:rPr>
            <m:t>−</m:t>
          </m:r>
          <m:nary>
            <m:naryPr>
              <m:chr m:val="∑"/>
              <m:limLoc m:val="undOvr"/>
              <m:ctrlPr>
                <w:rPr>
                  <w:rFonts w:hint="eastAsia" w:ascii="Cambria Math" w:hAnsi="Cambria Math" w:cs="宋体"/>
                  <w:color w:val="000000" w:themeColor="text1"/>
                  <w:sz w:val="24"/>
                  <w14:textFill>
                    <w14:solidFill>
                      <w14:schemeClr w14:val="tx1"/>
                    </w14:solidFill>
                  </w14:textFill>
                </w:rPr>
              </m:ctrlPr>
            </m:naryPr>
            <m:sub>
              <m:r>
                <m:rPr/>
                <w:rPr>
                  <w:rFonts w:hint="eastAsia" w:ascii="Cambria Math" w:hAnsi="Cambria Math" w:cs="宋体"/>
                  <w:color w:val="000000" w:themeColor="text1"/>
                  <w:sz w:val="24"/>
                  <w14:textFill>
                    <w14:solidFill>
                      <w14:schemeClr w14:val="tx1"/>
                    </w14:solidFill>
                  </w14:textFill>
                </w:rPr>
                <m:t>i</m:t>
              </m:r>
              <m:r>
                <m:rPr>
                  <m:sty m:val="p"/>
                </m:rPr>
                <w:rPr>
                  <w:rFonts w:hint="eastAsia" w:ascii="Cambria Math" w:hAnsi="Cambria Math" w:cs="宋体"/>
                  <w:color w:val="000000" w:themeColor="text1"/>
                  <w:sz w:val="24"/>
                  <w14:textFill>
                    <w14:solidFill>
                      <w14:schemeClr w14:val="tx1"/>
                    </w14:solidFill>
                  </w14:textFill>
                </w:rPr>
                <m:t>=1</m:t>
              </m:r>
              <m:ctrlPr>
                <w:rPr>
                  <w:rFonts w:hint="eastAsia" w:ascii="Cambria Math" w:hAnsi="Cambria Math" w:cs="宋体"/>
                  <w:color w:val="000000" w:themeColor="text1"/>
                  <w:sz w:val="24"/>
                  <w14:textFill>
                    <w14:solidFill>
                      <w14:schemeClr w14:val="tx1"/>
                    </w14:solidFill>
                  </w14:textFill>
                </w:rPr>
              </m:ctrlPr>
            </m:sub>
            <m:sup>
              <m:r>
                <m:rPr/>
                <w:rPr>
                  <w:rFonts w:hint="eastAsia" w:ascii="Cambria Math" w:hAnsi="Cambria Math" w:cs="宋体"/>
                  <w:color w:val="000000" w:themeColor="text1"/>
                  <w:sz w:val="24"/>
                  <w14:textFill>
                    <w14:solidFill>
                      <w14:schemeClr w14:val="tx1"/>
                    </w14:solidFill>
                  </w14:textFill>
                </w:rPr>
                <m:t>m</m:t>
              </m:r>
              <m:ctrlPr>
                <w:rPr>
                  <w:rFonts w:hint="eastAsia" w:ascii="Cambria Math" w:hAnsi="Cambria Math" w:cs="宋体"/>
                  <w:color w:val="000000" w:themeColor="text1"/>
                  <w:sz w:val="24"/>
                  <w14:textFill>
                    <w14:solidFill>
                      <w14:schemeClr w14:val="tx1"/>
                    </w14:solidFill>
                  </w14:textFill>
                </w:rPr>
              </m:ctrlPr>
            </m:sup>
            <m:e>
              <m:r>
                <m:rPr>
                  <m:sty m:val="p"/>
                </m:rPr>
                <w:rPr>
                  <w:rFonts w:hint="eastAsia" w:ascii="Cambria Math" w:hAnsi="Cambria Math" w:cs="宋体"/>
                  <w:color w:val="000000" w:themeColor="text1"/>
                  <w:sz w:val="24"/>
                  <w14:textFill>
                    <w14:solidFill>
                      <w14:schemeClr w14:val="tx1"/>
                    </w14:solidFill>
                  </w14:textFill>
                </w:rPr>
                <m:t>(</m:t>
              </m:r>
              <m:sSub>
                <m:sSubPr>
                  <m:ctrlPr>
                    <w:rPr>
                      <w:rFonts w:hint="eastAsia" w:ascii="Cambria Math" w:hAnsi="Cambria Math" w:cs="宋体"/>
                      <w:color w:val="000000" w:themeColor="text1"/>
                      <w:sz w:val="24"/>
                      <w14:textFill>
                        <w14:solidFill>
                          <w14:schemeClr w14:val="tx1"/>
                        </w14:solidFill>
                      </w14:textFill>
                    </w:rPr>
                  </m:ctrlPr>
                </m:sSubPr>
                <m:e>
                  <m:r>
                    <m:rPr/>
                    <w:rPr>
                      <w:rFonts w:hint="eastAsia" w:ascii="Cambria Math" w:hAnsi="Cambria Math" w:cs="宋体"/>
                      <w:color w:val="000000" w:themeColor="text1"/>
                      <w:sz w:val="24"/>
                      <w14:textFill>
                        <w14:solidFill>
                          <w14:schemeClr w14:val="tx1"/>
                        </w14:solidFill>
                      </w14:textFill>
                    </w:rPr>
                    <m:t>P</m:t>
                  </m:r>
                  <m:ctrlPr>
                    <w:rPr>
                      <w:rFonts w:hint="eastAsia" w:ascii="Cambria Math" w:hAnsi="Cambria Math" w:cs="宋体"/>
                      <w:color w:val="000000" w:themeColor="text1"/>
                      <w:sz w:val="24"/>
                      <w14:textFill>
                        <w14:solidFill>
                          <w14:schemeClr w14:val="tx1"/>
                        </w14:solidFill>
                      </w14:textFill>
                    </w:rPr>
                  </m:ctrlPr>
                </m:e>
                <m:sub>
                  <m:r>
                    <m:rPr/>
                    <w:rPr>
                      <w:rFonts w:hint="eastAsia" w:ascii="Cambria Math" w:hAnsi="Cambria Math" w:cs="宋体"/>
                      <w:color w:val="000000" w:themeColor="text1"/>
                      <w:sz w:val="24"/>
                      <w14:textFill>
                        <w14:solidFill>
                          <w14:schemeClr w14:val="tx1"/>
                        </w14:solidFill>
                      </w14:textFill>
                    </w:rPr>
                    <m:t>i</m:t>
                  </m:r>
                  <m:ctrlPr>
                    <w:rPr>
                      <w:rFonts w:hint="eastAsia" w:ascii="Cambria Math" w:hAnsi="Cambria Math" w:cs="宋体"/>
                      <w:color w:val="000000" w:themeColor="text1"/>
                      <w:sz w:val="24"/>
                      <w14:textFill>
                        <w14:solidFill>
                          <w14:schemeClr w14:val="tx1"/>
                        </w14:solidFill>
                      </w14:textFill>
                    </w:rPr>
                  </m:ctrlPr>
                </m:sub>
              </m:sSub>
              <m:r>
                <m:rPr>
                  <m:sty m:val="p"/>
                </m:rPr>
                <w:rPr>
                  <w:rFonts w:hint="eastAsia" w:ascii="Cambria Math" w:hAnsi="Cambria Math" w:cs="宋体"/>
                  <w:color w:val="000000" w:themeColor="text1"/>
                  <w:sz w:val="24"/>
                  <w14:textFill>
                    <w14:solidFill>
                      <w14:schemeClr w14:val="tx1"/>
                    </w14:solidFill>
                  </w14:textFill>
                </w:rPr>
                <m:t>)(</m:t>
              </m:r>
              <m:sSubSup>
                <m:sSubSupPr>
                  <m:ctrlPr>
                    <w:rPr>
                      <w:rFonts w:hint="eastAsia" w:ascii="Cambria Math" w:hAnsi="Cambria Math" w:cs="宋体"/>
                      <w:color w:val="000000" w:themeColor="text1"/>
                      <w:sz w:val="24"/>
                      <w14:textFill>
                        <w14:solidFill>
                          <w14:schemeClr w14:val="tx1"/>
                        </w14:solidFill>
                      </w14:textFill>
                    </w:rPr>
                  </m:ctrlPr>
                </m:sSubSupPr>
                <m:e>
                  <m:r>
                    <m:rPr/>
                    <w:rPr>
                      <w:rFonts w:hint="eastAsia" w:ascii="Cambria Math" w:hAnsi="Cambria Math" w:cs="宋体"/>
                      <w:color w:val="000000" w:themeColor="text1"/>
                      <w:sz w:val="24"/>
                      <w14:textFill>
                        <w14:solidFill>
                          <w14:schemeClr w14:val="tx1"/>
                        </w14:solidFill>
                      </w14:textFill>
                    </w:rPr>
                    <m:t>log</m:t>
                  </m:r>
                  <m:ctrlPr>
                    <w:rPr>
                      <w:rFonts w:hint="eastAsia" w:ascii="Cambria Math" w:hAnsi="Cambria Math" w:cs="宋体"/>
                      <w:color w:val="000000" w:themeColor="text1"/>
                      <w:sz w:val="24"/>
                      <w14:textFill>
                        <w14:solidFill>
                          <w14:schemeClr w14:val="tx1"/>
                        </w14:solidFill>
                      </w14:textFill>
                    </w:rPr>
                  </m:ctrlPr>
                </m:e>
                <m:sub>
                  <m:r>
                    <m:rPr>
                      <m:sty m:val="p"/>
                    </m:rPr>
                    <w:rPr>
                      <w:rFonts w:hint="eastAsia" w:ascii="Cambria Math" w:hAnsi="Cambria Math" w:cs="宋体"/>
                      <w:color w:val="000000" w:themeColor="text1"/>
                      <w:sz w:val="24"/>
                      <w14:textFill>
                        <w14:solidFill>
                          <w14:schemeClr w14:val="tx1"/>
                        </w14:solidFill>
                      </w14:textFill>
                    </w:rPr>
                    <m:t>2</m:t>
                  </m:r>
                  <m:ctrlPr>
                    <w:rPr>
                      <w:rFonts w:hint="eastAsia" w:ascii="Cambria Math" w:hAnsi="Cambria Math" w:cs="宋体"/>
                      <w:color w:val="000000" w:themeColor="text1"/>
                      <w:sz w:val="24"/>
                      <w14:textFill>
                        <w14:solidFill>
                          <w14:schemeClr w14:val="tx1"/>
                        </w14:solidFill>
                      </w14:textFill>
                    </w:rPr>
                  </m:ctrlPr>
                </m:sub>
                <m:sup>
                  <m:sSub>
                    <m:sSubPr>
                      <m:ctrlPr>
                        <w:rPr>
                          <w:rFonts w:hint="eastAsia" w:ascii="Cambria Math" w:hAnsi="Cambria Math" w:cs="宋体"/>
                          <w:color w:val="000000" w:themeColor="text1"/>
                          <w:sz w:val="24"/>
                          <w14:textFill>
                            <w14:solidFill>
                              <w14:schemeClr w14:val="tx1"/>
                            </w14:solidFill>
                          </w14:textFill>
                        </w:rPr>
                      </m:ctrlPr>
                    </m:sSubPr>
                    <m:e>
                      <m:r>
                        <m:rPr/>
                        <w:rPr>
                          <w:rFonts w:hint="eastAsia" w:ascii="Cambria Math" w:hAnsi="Cambria Math" w:cs="宋体"/>
                          <w:color w:val="000000" w:themeColor="text1"/>
                          <w:sz w:val="24"/>
                          <w14:textFill>
                            <w14:solidFill>
                              <w14:schemeClr w14:val="tx1"/>
                            </w14:solidFill>
                          </w14:textFill>
                        </w:rPr>
                        <m:t>P</m:t>
                      </m:r>
                      <m:ctrlPr>
                        <w:rPr>
                          <w:rFonts w:hint="eastAsia" w:ascii="Cambria Math" w:hAnsi="Cambria Math" w:cs="宋体"/>
                          <w:color w:val="000000" w:themeColor="text1"/>
                          <w:sz w:val="24"/>
                          <w14:textFill>
                            <w14:solidFill>
                              <w14:schemeClr w14:val="tx1"/>
                            </w14:solidFill>
                          </w14:textFill>
                        </w:rPr>
                      </m:ctrlPr>
                    </m:e>
                    <m:sub>
                      <m:r>
                        <m:rPr/>
                        <w:rPr>
                          <w:rFonts w:hint="eastAsia" w:ascii="Cambria Math" w:hAnsi="Cambria Math" w:cs="宋体"/>
                          <w:color w:val="000000" w:themeColor="text1"/>
                          <w:sz w:val="24"/>
                          <w14:textFill>
                            <w14:solidFill>
                              <w14:schemeClr w14:val="tx1"/>
                            </w14:solidFill>
                          </w14:textFill>
                        </w:rPr>
                        <m:t>i</m:t>
                      </m:r>
                      <m:ctrlPr>
                        <w:rPr>
                          <w:rFonts w:hint="eastAsia" w:ascii="Cambria Math" w:hAnsi="Cambria Math" w:cs="宋体"/>
                          <w:color w:val="000000" w:themeColor="text1"/>
                          <w:sz w:val="24"/>
                          <w14:textFill>
                            <w14:solidFill>
                              <w14:schemeClr w14:val="tx1"/>
                            </w14:solidFill>
                          </w14:textFill>
                        </w:rPr>
                      </m:ctrlPr>
                    </m:sub>
                  </m:sSub>
                  <m:ctrlPr>
                    <w:rPr>
                      <w:rFonts w:hint="eastAsia" w:ascii="Cambria Math" w:hAnsi="Cambria Math" w:cs="宋体"/>
                      <w:color w:val="000000" w:themeColor="text1"/>
                      <w:sz w:val="24"/>
                      <w14:textFill>
                        <w14:solidFill>
                          <w14:schemeClr w14:val="tx1"/>
                        </w14:solidFill>
                      </w14:textFill>
                    </w:rPr>
                  </m:ctrlPr>
                </m:sup>
              </m:sSubSup>
              <m:r>
                <m:rPr>
                  <m:sty m:val="p"/>
                </m:rPr>
                <w:rPr>
                  <w:rFonts w:hint="eastAsia" w:ascii="Cambria Math" w:hAnsi="Cambria Math" w:cs="宋体"/>
                  <w:color w:val="000000" w:themeColor="text1"/>
                  <w:sz w:val="24"/>
                  <w14:textFill>
                    <w14:solidFill>
                      <w14:schemeClr w14:val="tx1"/>
                    </w14:solidFill>
                  </w14:textFill>
                </w:rPr>
                <m:t>)</m:t>
              </m:r>
              <m:ctrlPr>
                <w:rPr>
                  <w:rFonts w:hint="eastAsia" w:ascii="Cambria Math" w:hAnsi="Cambria Math" w:cs="宋体"/>
                  <w:color w:val="000000" w:themeColor="text1"/>
                  <w:sz w:val="24"/>
                  <w14:textFill>
                    <w14:solidFill>
                      <w14:schemeClr w14:val="tx1"/>
                    </w14:solidFill>
                  </w14:textFill>
                </w:rPr>
              </m:ctrlPr>
            </m:e>
          </m:nary>
        </m:oMath>
      </m:oMathPara>
    </w:p>
    <w:p w14:paraId="79D171DA">
      <w:pPr>
        <w:spacing w:line="360" w:lineRule="auto"/>
        <w:ind w:firstLine="480" w:firstLineChars="200"/>
        <w:rPr>
          <w:rFonts w:hint="eastAsia" w:ascii="宋体" w:hAnsi="宋体" w:cs="宋体"/>
          <w:color w:val="000000" w:themeColor="text1"/>
          <w:kern w:val="0"/>
          <w:sz w:val="24"/>
          <w:lang w:eastAsia="zh-CN"/>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式中，</w:t>
      </w:r>
      <w:r>
        <w:rPr>
          <w:rFonts w:hint="eastAsia" w:ascii="宋体" w:hAnsi="宋体" w:cs="宋体"/>
          <w:i/>
          <w:iCs/>
          <w:color w:val="000000" w:themeColor="text1"/>
          <w:kern w:val="0"/>
          <w:sz w:val="24"/>
          <w14:textFill>
            <w14:solidFill>
              <w14:schemeClr w14:val="tx1"/>
            </w14:solidFill>
          </w14:textFill>
        </w:rPr>
        <w:t xml:space="preserve">H </w:t>
      </w:r>
      <w:r>
        <w:rPr>
          <w:rFonts w:hint="eastAsia" w:ascii="宋体" w:hAnsi="宋体" w:cs="宋体"/>
          <w:color w:val="000000" w:themeColor="text1"/>
          <w:kern w:val="0"/>
          <w:sz w:val="24"/>
          <w14:textFill>
            <w14:solidFill>
              <w14:schemeClr w14:val="tx1"/>
            </w14:solidFill>
          </w14:textFill>
        </w:rPr>
        <w:t>为</w:t>
      </w:r>
      <w:r>
        <w:fldChar w:fldCharType="begin"/>
      </w:r>
      <w:r>
        <w:instrText xml:space="preserve"> HYPERLINK "https://baike.baidu.com/item/%E5%A4%9A%E6%A0%B7%E6%80%A7%E6%8C%87%E6%95%B0" \t "_blank" </w:instrText>
      </w:r>
      <w:r>
        <w:fldChar w:fldCharType="separate"/>
      </w:r>
      <w:r>
        <w:rPr>
          <w:rFonts w:hint="eastAsia" w:ascii="宋体" w:hAnsi="宋体" w:cs="宋体"/>
          <w:color w:val="000000" w:themeColor="text1"/>
          <w:kern w:val="0"/>
          <w:sz w:val="24"/>
          <w14:textFill>
            <w14:solidFill>
              <w14:schemeClr w14:val="tx1"/>
            </w14:solidFill>
          </w14:textFill>
        </w:rPr>
        <w:t>多样性指数</w:t>
      </w:r>
      <w:r>
        <w:rPr>
          <w:rFonts w:hint="eastAsia" w:ascii="宋体" w:hAnsi="宋体" w:cs="宋体"/>
          <w:color w:val="000000" w:themeColor="text1"/>
          <w:kern w:val="0"/>
          <w:sz w:val="24"/>
          <w14:textFill>
            <w14:solidFill>
              <w14:schemeClr w14:val="tx1"/>
            </w14:solidFill>
          </w14:textFill>
        </w:rPr>
        <w:fldChar w:fldCharType="end"/>
      </w:r>
      <w:r>
        <w:rPr>
          <w:rFonts w:hint="eastAsia" w:ascii="宋体" w:hAnsi="宋体" w:cs="宋体"/>
          <w:color w:val="000000" w:themeColor="text1"/>
          <w:kern w:val="0"/>
          <w:sz w:val="24"/>
          <w14:textFill>
            <w14:solidFill>
              <w14:schemeClr w14:val="tx1"/>
            </w14:solidFill>
          </w14:textFill>
        </w:rPr>
        <w:t>；</w:t>
      </w:r>
      <w:r>
        <w:rPr>
          <w:rFonts w:hint="eastAsia" w:ascii="宋体" w:hAnsi="宋体" w:cs="宋体"/>
          <w:i/>
          <w:iCs/>
          <w:color w:val="000000" w:themeColor="text1"/>
          <w:kern w:val="0"/>
          <w:sz w:val="24"/>
          <w14:textFill>
            <w14:solidFill>
              <w14:schemeClr w14:val="tx1"/>
            </w14:solidFill>
          </w14:textFill>
        </w:rPr>
        <w:t>P</w:t>
      </w:r>
      <w:r>
        <w:rPr>
          <w:rFonts w:hint="eastAsia" w:ascii="宋体" w:hAnsi="宋体" w:cs="宋体"/>
          <w:color w:val="000000" w:themeColor="text1"/>
          <w:kern w:val="0"/>
          <w:sz w:val="24"/>
          <w:vertAlign w:val="subscript"/>
          <w14:textFill>
            <w14:solidFill>
              <w14:schemeClr w14:val="tx1"/>
            </w14:solidFill>
          </w14:textFill>
        </w:rPr>
        <w:t>i</w:t>
      </w:r>
      <w:r>
        <w:rPr>
          <w:rFonts w:hint="eastAsia" w:ascii="宋体" w:hAnsi="宋体" w:cs="宋体"/>
          <w:color w:val="000000" w:themeColor="text1"/>
          <w:kern w:val="0"/>
          <w:sz w:val="24"/>
          <w14:textFill>
            <w14:solidFill>
              <w14:schemeClr w14:val="tx1"/>
            </w14:solidFill>
          </w14:textFill>
        </w:rPr>
        <w:t xml:space="preserve"> 是第i类景观所占面积的比例；</w:t>
      </w:r>
      <w:r>
        <w:rPr>
          <w:rFonts w:hint="eastAsia" w:ascii="宋体" w:hAnsi="宋体" w:cs="宋体"/>
          <w:i/>
          <w:iCs/>
          <w:color w:val="000000" w:themeColor="text1"/>
          <w:kern w:val="0"/>
          <w:sz w:val="24"/>
          <w14:textFill>
            <w14:solidFill>
              <w14:schemeClr w14:val="tx1"/>
            </w14:solidFill>
          </w14:textFill>
        </w:rPr>
        <w:t xml:space="preserve">m </w:t>
      </w:r>
      <w:r>
        <w:rPr>
          <w:rFonts w:hint="eastAsia" w:ascii="宋体" w:hAnsi="宋体" w:cs="宋体"/>
          <w:color w:val="000000" w:themeColor="text1"/>
          <w:kern w:val="0"/>
          <w:sz w:val="24"/>
          <w14:textFill>
            <w14:solidFill>
              <w14:schemeClr w14:val="tx1"/>
            </w14:solidFill>
          </w14:textFill>
        </w:rPr>
        <w:t>为</w:t>
      </w:r>
      <w:r>
        <w:rPr>
          <w:rFonts w:hint="eastAsia" w:ascii="宋体" w:hAnsi="宋体" w:cs="宋体"/>
          <w:color w:val="000000" w:themeColor="text1"/>
          <w:kern w:val="0"/>
          <w:sz w:val="24"/>
          <w:highlight w:val="none"/>
          <w14:textFill>
            <w14:solidFill>
              <w14:schemeClr w14:val="tx1"/>
            </w14:solidFill>
          </w14:textFill>
        </w:rPr>
        <w:t>景观类型</w:t>
      </w:r>
      <w:r>
        <w:rPr>
          <w:rFonts w:hint="eastAsia" w:ascii="宋体" w:hAnsi="宋体" w:cs="宋体"/>
          <w:color w:val="000000" w:themeColor="text1"/>
          <w:kern w:val="0"/>
          <w:sz w:val="24"/>
          <w14:textFill>
            <w14:solidFill>
              <w14:schemeClr w14:val="tx1"/>
            </w14:solidFill>
          </w14:textFill>
        </w:rPr>
        <w:t>数目。</w:t>
      </w:r>
      <w:r>
        <w:rPr>
          <w:rFonts w:hint="eastAsia" w:ascii="宋体" w:hAnsi="宋体" w:cs="宋体"/>
          <w:i/>
          <w:iCs/>
          <w:color w:val="000000" w:themeColor="text1"/>
          <w:kern w:val="0"/>
          <w:sz w:val="24"/>
          <w14:textFill>
            <w14:solidFill>
              <w14:schemeClr w14:val="tx1"/>
            </w14:solidFill>
          </w14:textFill>
        </w:rPr>
        <w:t xml:space="preserve">H </w:t>
      </w:r>
      <w:r>
        <w:rPr>
          <w:rFonts w:hint="eastAsia" w:ascii="宋体" w:hAnsi="宋体" w:cs="宋体"/>
          <w:color w:val="000000" w:themeColor="text1"/>
          <w:kern w:val="0"/>
          <w:sz w:val="24"/>
          <w14:textFill>
            <w14:solidFill>
              <w14:schemeClr w14:val="tx1"/>
            </w14:solidFill>
          </w14:textFill>
        </w:rPr>
        <w:t>值越大，表示景观多样性越大</w:t>
      </w:r>
      <w:r>
        <w:rPr>
          <w:rFonts w:hint="eastAsia" w:ascii="宋体" w:hAnsi="宋体" w:cs="宋体"/>
          <w:color w:val="000000" w:themeColor="text1"/>
          <w:kern w:val="0"/>
          <w:sz w:val="24"/>
          <w:lang w:eastAsia="zh-CN"/>
          <w14:textFill>
            <w14:solidFill>
              <w14:schemeClr w14:val="tx1"/>
            </w14:solidFill>
          </w14:textFill>
        </w:rPr>
        <w:t>。</w:t>
      </w:r>
    </w:p>
    <w:p w14:paraId="668A89D8">
      <w:pPr>
        <w:spacing w:line="360" w:lineRule="auto"/>
        <w:ind w:firstLine="480" w:firstLineChars="200"/>
        <w:rPr>
          <w:rFonts w:hint="eastAsia"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这里的景观类型是在生态系统类型上划分的</w:t>
      </w:r>
      <w:r>
        <w:rPr>
          <w:rFonts w:hint="eastAsia" w:ascii="宋体" w:hAnsi="宋体" w:cs="宋体"/>
          <w:color w:val="000000" w:themeColor="text1"/>
          <w:kern w:val="0"/>
          <w:sz w:val="24"/>
          <w:lang w:eastAsia="zh-CN"/>
          <w14:textFill>
            <w14:solidFill>
              <w14:schemeClr w14:val="tx1"/>
            </w14:solidFill>
          </w14:textFill>
        </w:rPr>
        <w:t>，生态系统的类型包括自然生态系统和人工生态系统。自然生态系统有森林、草原、湿地、海洋和淡水等。人工生态系统包括农田和城市。</w:t>
      </w:r>
    </w:p>
    <w:p w14:paraId="797B639E">
      <w:pPr>
        <w:spacing w:line="360" w:lineRule="auto"/>
        <w:ind w:firstLine="480" w:firstLineChars="200"/>
        <w:rPr>
          <w:rFonts w:hint="eastAsia" w:ascii="宋体" w:hAnsi="宋体" w:cs="宋体" w:eastAsiaTheme="minorEastAsia"/>
          <w:kern w:val="0"/>
          <w:sz w:val="24"/>
          <w:lang w:val="en-US" w:eastAsia="zh-CN"/>
        </w:rPr>
      </w:pPr>
      <w:r>
        <w:rPr>
          <w:rFonts w:hint="eastAsia" w:ascii="宋体" w:hAnsi="宋体" w:cs="宋体"/>
          <w:kern w:val="0"/>
          <w:sz w:val="24"/>
          <w:lang w:bidi="ar"/>
        </w:rPr>
        <w:t>考量内容：</w:t>
      </w:r>
      <w:r>
        <w:rPr>
          <w:rFonts w:hint="eastAsia" w:ascii="宋体" w:hAnsi="宋体" w:cs="宋体"/>
          <w:kern w:val="0"/>
          <w:sz w:val="24"/>
        </w:rPr>
        <w:t>景观多样性指数</w:t>
      </w:r>
      <w:r>
        <w:rPr>
          <w:rFonts w:hint="eastAsia" w:ascii="宋体" w:hAnsi="宋体" w:cs="宋体"/>
          <w:kern w:val="0"/>
          <w:sz w:val="24"/>
          <w:lang w:eastAsia="zh-CN"/>
        </w:rPr>
        <w:t>。</w:t>
      </w:r>
    </w:p>
    <w:p w14:paraId="2758926B">
      <w:pPr>
        <w:pStyle w:val="26"/>
        <w:numPr>
          <w:ilvl w:val="2"/>
          <w:numId w:val="0"/>
        </w:numPr>
        <w:snapToGrid w:val="0"/>
        <w:spacing w:beforeLines="0" w:afterLines="0" w:line="360" w:lineRule="auto"/>
        <w:ind w:firstLine="0" w:firstLineChars="0"/>
        <w:outlineLvl w:val="9"/>
        <w:rPr>
          <w:rFonts w:hint="eastAsia" w:ascii="宋体" w:hAnsi="宋体" w:cs="宋体" w:eastAsiaTheme="minorEastAsia"/>
          <w:kern w:val="0"/>
          <w:sz w:val="24"/>
          <w:szCs w:val="24"/>
          <w:lang w:val="en-US" w:eastAsia="zh-CN"/>
        </w:rPr>
      </w:pPr>
      <w:r>
        <w:rPr>
          <w:rFonts w:hint="eastAsia" w:ascii="宋体" w:hAnsi="宋体" w:eastAsia="宋体" w:cs="宋体"/>
          <w:sz w:val="24"/>
        </w:rPr>
        <w:t>A.0.</w:t>
      </w:r>
      <w:r>
        <w:rPr>
          <w:rFonts w:hint="eastAsia" w:ascii="宋体" w:hAnsi="宋体" w:eastAsia="宋体" w:cs="宋体"/>
          <w:sz w:val="24"/>
          <w:lang w:val="en-US" w:eastAsia="zh-CN"/>
        </w:rPr>
        <w:t xml:space="preserve">7 </w:t>
      </w:r>
      <w:r>
        <w:rPr>
          <w:rFonts w:hint="eastAsia" w:ascii="宋体" w:hAnsi="宋体" w:eastAsia="宋体" w:cs="宋体"/>
          <w:sz w:val="24"/>
        </w:rPr>
        <w:t xml:space="preserve"> </w:t>
      </w:r>
      <w:r>
        <w:rPr>
          <w:rFonts w:hint="eastAsia" w:ascii="宋体" w:hAnsi="宋体" w:cs="宋体" w:eastAsiaTheme="minorEastAsia"/>
          <w:kern w:val="0"/>
          <w:sz w:val="24"/>
          <w:szCs w:val="24"/>
          <w:lang w:val="en-US" w:eastAsia="zh-CN"/>
        </w:rPr>
        <w:t>固废资源回收利用产生的经济价值：以采用的固废资源和余料等经加工处理后可交易的物品数量（重量）乘以交易价格减去回收加工制备成本作为经济价值评价指标。</w:t>
      </w:r>
    </w:p>
    <w:p w14:paraId="208E7915">
      <w:pPr>
        <w:pStyle w:val="26"/>
        <w:numPr>
          <w:ilvl w:val="2"/>
          <w:numId w:val="0"/>
        </w:numPr>
        <w:snapToGrid w:val="0"/>
        <w:spacing w:beforeLines="0" w:afterLines="0" w:line="360" w:lineRule="auto"/>
        <w:ind w:firstLine="480" w:firstLineChars="200"/>
        <w:outlineLvl w:val="9"/>
        <w:rPr>
          <w:rFonts w:hint="eastAsia" w:ascii="宋体" w:hAnsi="宋体" w:cs="宋体" w:eastAsiaTheme="minorEastAsia"/>
          <w:kern w:val="0"/>
          <w:sz w:val="24"/>
          <w:szCs w:val="24"/>
          <w:lang w:val="en-US" w:eastAsia="zh-CN"/>
        </w:rPr>
      </w:pPr>
      <w:r>
        <w:rPr>
          <w:rFonts w:hint="eastAsia" w:ascii="宋体" w:hAnsi="宋体" w:cs="宋体" w:eastAsiaTheme="minorEastAsia"/>
          <w:kern w:val="0"/>
          <w:sz w:val="24"/>
          <w:szCs w:val="24"/>
          <w:lang w:val="en-US" w:eastAsia="zh-CN"/>
        </w:rPr>
        <w:t>计算如下：</w:t>
      </w:r>
    </w:p>
    <w:p w14:paraId="06C5F8FB">
      <w:pPr>
        <w:pStyle w:val="26"/>
        <w:numPr>
          <w:ilvl w:val="2"/>
          <w:numId w:val="0"/>
        </w:numPr>
        <w:snapToGrid w:val="0"/>
        <w:spacing w:beforeLines="0" w:afterLines="0" w:line="360" w:lineRule="auto"/>
        <w:ind w:firstLine="0" w:firstLineChars="0"/>
        <w:outlineLvl w:val="9"/>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(1)废弃物资源化利用</w:t>
      </w:r>
    </w:p>
    <w:p w14:paraId="4641CF4E">
      <w:pPr>
        <w:snapToGrid w:val="0"/>
        <w:spacing w:line="360" w:lineRule="auto"/>
        <w:ind w:firstLine="480" w:firstLineChars="200"/>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采用回收的建筑废料、企事业单位生产废料和农业废弃物等经加工处理后可交易的物品数量（重量）作为实物量评价指标，实物量乘以交易价格减去回收加工制备成本作为价值量评价指标。</w:t>
      </w:r>
    </w:p>
    <w:p w14:paraId="2FD33D57">
      <w:pPr>
        <w:snapToGrid w:val="0"/>
        <w:spacing w:line="360" w:lineRule="auto"/>
        <w:rPr>
          <w:rFonts w:ascii="宋体" w:hAnsi="宋体" w:cs="宋体"/>
          <w:color w:val="000000" w:themeColor="text1"/>
          <w:sz w:val="24"/>
          <w14:textFill>
            <w14:solidFill>
              <w14:schemeClr w14:val="tx1"/>
            </w14:solidFill>
          </w14:textFill>
        </w:rPr>
      </w:pPr>
      <m:oMathPara>
        <m:oMath>
          <m:sSub>
            <m:sSubPr>
              <m:ctrlPr>
                <w:rPr>
                  <w:rFonts w:hint="eastAsia" w:ascii="Cambria Math" w:hAnsi="Cambria Math" w:cs="宋体"/>
                  <w:color w:val="000000" w:themeColor="text1"/>
                  <w:sz w:val="24"/>
                  <w14:textFill>
                    <w14:solidFill>
                      <w14:schemeClr w14:val="tx1"/>
                    </w14:solidFill>
                  </w14:textFill>
                </w:rPr>
              </m:ctrlPr>
            </m:sSubPr>
            <m:e>
              <m:r>
                <m:rPr/>
                <w:rPr>
                  <w:rFonts w:hint="eastAsia" w:ascii="Cambria Math" w:hAnsi="Cambria Math" w:cs="宋体"/>
                  <w:color w:val="000000" w:themeColor="text1"/>
                  <w:sz w:val="24"/>
                  <w14:textFill>
                    <w14:solidFill>
                      <w14:schemeClr w14:val="tx1"/>
                    </w14:solidFill>
                  </w14:textFill>
                </w:rPr>
                <m:t>R</m:t>
              </m:r>
              <m:ctrlPr>
                <w:rPr>
                  <w:rFonts w:hint="eastAsia" w:ascii="Cambria Math" w:hAnsi="Cambria Math" w:cs="宋体"/>
                  <w:color w:val="000000" w:themeColor="text1"/>
                  <w:sz w:val="24"/>
                  <w14:textFill>
                    <w14:solidFill>
                      <w14:schemeClr w14:val="tx1"/>
                    </w14:solidFill>
                  </w14:textFill>
                </w:rPr>
              </m:ctrlPr>
            </m:e>
            <m:sub>
              <m:r>
                <m:rPr/>
                <w:rPr>
                  <w:rFonts w:hint="eastAsia" w:ascii="Cambria Math" w:hAnsi="Cambria Math" w:cs="宋体"/>
                  <w:color w:val="000000" w:themeColor="text1"/>
                  <w:sz w:val="24"/>
                  <w14:textFill>
                    <w14:solidFill>
                      <w14:schemeClr w14:val="tx1"/>
                    </w14:solidFill>
                  </w14:textFill>
                </w:rPr>
                <m:t>w</m:t>
              </m:r>
              <m:ctrlPr>
                <w:rPr>
                  <w:rFonts w:hint="eastAsia" w:ascii="Cambria Math" w:hAnsi="Cambria Math" w:cs="宋体"/>
                  <w:color w:val="000000" w:themeColor="text1"/>
                  <w:sz w:val="24"/>
                  <w14:textFill>
                    <w14:solidFill>
                      <w14:schemeClr w14:val="tx1"/>
                    </w14:solidFill>
                  </w14:textFill>
                </w:rPr>
              </m:ctrlPr>
            </m:sub>
          </m:sSub>
          <m:r>
            <m:rPr>
              <m:sty m:val="p"/>
            </m:rPr>
            <w:rPr>
              <w:rFonts w:hint="eastAsia" w:ascii="Cambria Math" w:hAnsi="Cambria Math" w:cs="宋体"/>
              <w:color w:val="000000" w:themeColor="text1"/>
              <w:sz w:val="24"/>
              <w14:textFill>
                <w14:solidFill>
                  <w14:schemeClr w14:val="tx1"/>
                </w14:solidFill>
              </w14:textFill>
            </w:rPr>
            <m:t>=</m:t>
          </m:r>
          <m:nary>
            <m:naryPr>
              <m:chr m:val="∑"/>
              <m:limLoc m:val="undOvr"/>
              <m:ctrlPr>
                <w:rPr>
                  <w:rFonts w:hint="eastAsia" w:ascii="Cambria Math" w:hAnsi="Cambria Math" w:cs="宋体"/>
                  <w:color w:val="000000" w:themeColor="text1"/>
                  <w:sz w:val="24"/>
                  <w14:textFill>
                    <w14:solidFill>
                      <w14:schemeClr w14:val="tx1"/>
                    </w14:solidFill>
                  </w14:textFill>
                </w:rPr>
              </m:ctrlPr>
            </m:naryPr>
            <m:sub>
              <m:r>
                <m:rPr/>
                <w:rPr>
                  <w:rFonts w:hint="eastAsia" w:ascii="Cambria Math" w:hAnsi="Cambria Math" w:cs="宋体"/>
                  <w:color w:val="000000" w:themeColor="text1"/>
                  <w:sz w:val="24"/>
                  <w14:textFill>
                    <w14:solidFill>
                      <w14:schemeClr w14:val="tx1"/>
                    </w14:solidFill>
                  </w14:textFill>
                </w:rPr>
                <m:t>i</m:t>
              </m:r>
              <m:ctrlPr>
                <w:rPr>
                  <w:rFonts w:hint="eastAsia" w:ascii="Cambria Math" w:hAnsi="Cambria Math" w:cs="宋体"/>
                  <w:color w:val="000000" w:themeColor="text1"/>
                  <w:sz w:val="24"/>
                  <w14:textFill>
                    <w14:solidFill>
                      <w14:schemeClr w14:val="tx1"/>
                    </w14:solidFill>
                  </w14:textFill>
                </w:rPr>
              </m:ctrlPr>
            </m:sub>
            <m:sup>
              <m:r>
                <m:rPr/>
                <w:rPr>
                  <w:rFonts w:hint="eastAsia" w:ascii="Cambria Math" w:hAnsi="Cambria Math" w:cs="宋体"/>
                  <w:color w:val="000000" w:themeColor="text1"/>
                  <w:sz w:val="24"/>
                  <w14:textFill>
                    <w14:solidFill>
                      <w14:schemeClr w14:val="tx1"/>
                    </w14:solidFill>
                  </w14:textFill>
                </w:rPr>
                <m:t>n</m:t>
              </m:r>
              <m:ctrlPr>
                <w:rPr>
                  <w:rFonts w:hint="eastAsia" w:ascii="Cambria Math" w:hAnsi="Cambria Math" w:cs="宋体"/>
                  <w:color w:val="000000" w:themeColor="text1"/>
                  <w:sz w:val="24"/>
                  <w14:textFill>
                    <w14:solidFill>
                      <w14:schemeClr w14:val="tx1"/>
                    </w14:solidFill>
                  </w14:textFill>
                </w:rPr>
              </m:ctrlPr>
            </m:sup>
            <m:e>
              <m:sSub>
                <m:sSubPr>
                  <m:ctrlPr>
                    <w:rPr>
                      <w:rFonts w:hint="eastAsia" w:ascii="Cambria Math" w:hAnsi="Cambria Math" w:cs="宋体"/>
                      <w:color w:val="000000" w:themeColor="text1"/>
                      <w:sz w:val="24"/>
                      <w14:textFill>
                        <w14:solidFill>
                          <w14:schemeClr w14:val="tx1"/>
                        </w14:solidFill>
                      </w14:textFill>
                    </w:rPr>
                  </m:ctrlPr>
                </m:sSubPr>
                <m:e>
                  <m:r>
                    <m:rPr/>
                    <w:rPr>
                      <w:rFonts w:hint="eastAsia" w:ascii="Cambria Math" w:hAnsi="Cambria Math" w:cs="宋体"/>
                      <w:color w:val="000000" w:themeColor="text1"/>
                      <w:sz w:val="24"/>
                      <w14:textFill>
                        <w14:solidFill>
                          <w14:schemeClr w14:val="tx1"/>
                        </w14:solidFill>
                      </w14:textFill>
                    </w:rPr>
                    <m:t>R</m:t>
                  </m:r>
                  <m:ctrlPr>
                    <w:rPr>
                      <w:rFonts w:hint="eastAsia" w:ascii="Cambria Math" w:hAnsi="Cambria Math" w:cs="宋体"/>
                      <w:color w:val="000000" w:themeColor="text1"/>
                      <w:sz w:val="24"/>
                      <w14:textFill>
                        <w14:solidFill>
                          <w14:schemeClr w14:val="tx1"/>
                        </w14:solidFill>
                      </w14:textFill>
                    </w:rPr>
                  </m:ctrlPr>
                </m:e>
                <m:sub>
                  <m:r>
                    <m:rPr/>
                    <w:rPr>
                      <w:rFonts w:hint="eastAsia" w:ascii="Cambria Math" w:hAnsi="Cambria Math" w:cs="宋体"/>
                      <w:color w:val="000000" w:themeColor="text1"/>
                      <w:sz w:val="24"/>
                      <w14:textFill>
                        <w14:solidFill>
                          <w14:schemeClr w14:val="tx1"/>
                        </w14:solidFill>
                      </w14:textFill>
                    </w:rPr>
                    <m:t>wi</m:t>
                  </m:r>
                  <m:ctrlPr>
                    <w:rPr>
                      <w:rFonts w:hint="eastAsia" w:ascii="Cambria Math" w:hAnsi="Cambria Math" w:cs="宋体"/>
                      <w:color w:val="000000" w:themeColor="text1"/>
                      <w:sz w:val="24"/>
                      <w14:textFill>
                        <w14:solidFill>
                          <w14:schemeClr w14:val="tx1"/>
                        </w14:solidFill>
                      </w14:textFill>
                    </w:rPr>
                  </m:ctrlPr>
                </m:sub>
              </m:sSub>
              <m:ctrlPr>
                <w:rPr>
                  <w:rFonts w:hint="eastAsia" w:ascii="Cambria Math" w:hAnsi="Cambria Math" w:cs="宋体"/>
                  <w:color w:val="000000" w:themeColor="text1"/>
                  <w:sz w:val="24"/>
                  <w14:textFill>
                    <w14:solidFill>
                      <w14:schemeClr w14:val="tx1"/>
                    </w14:solidFill>
                  </w14:textFill>
                </w:rPr>
              </m:ctrlPr>
            </m:e>
          </m:nary>
        </m:oMath>
      </m:oMathPara>
    </w:p>
    <w:p w14:paraId="3F1402B1">
      <w:pPr>
        <w:snapToGrid w:val="0"/>
        <w:spacing w:line="360" w:lineRule="auto"/>
        <w:rPr>
          <w:rFonts w:ascii="宋体" w:hAnsi="宋体" w:cs="宋体"/>
          <w:color w:val="000000" w:themeColor="text1"/>
          <w:sz w:val="24"/>
          <w14:textFill>
            <w14:solidFill>
              <w14:schemeClr w14:val="tx1"/>
            </w14:solidFill>
          </w14:textFill>
        </w:rPr>
      </w:pPr>
      <m:oMathPara>
        <m:oMath>
          <m:sSub>
            <m:sSubPr>
              <m:ctrlPr>
                <w:rPr>
                  <w:rFonts w:hint="eastAsia" w:ascii="Cambria Math" w:hAnsi="Cambria Math" w:cs="宋体"/>
                  <w:color w:val="000000" w:themeColor="text1"/>
                  <w:sz w:val="24"/>
                  <w14:textFill>
                    <w14:solidFill>
                      <w14:schemeClr w14:val="tx1"/>
                    </w14:solidFill>
                  </w14:textFill>
                </w:rPr>
              </m:ctrlPr>
            </m:sSubPr>
            <m:e>
              <m:r>
                <m:rPr/>
                <w:rPr>
                  <w:rFonts w:hint="eastAsia" w:ascii="Cambria Math" w:hAnsi="Cambria Math" w:cs="宋体"/>
                  <w:color w:val="000000" w:themeColor="text1"/>
                  <w:sz w:val="24"/>
                  <w14:textFill>
                    <w14:solidFill>
                      <w14:schemeClr w14:val="tx1"/>
                    </w14:solidFill>
                  </w14:textFill>
                </w:rPr>
                <m:t>V</m:t>
              </m:r>
              <m:ctrlPr>
                <w:rPr>
                  <w:rFonts w:hint="eastAsia" w:ascii="Cambria Math" w:hAnsi="Cambria Math" w:cs="宋体"/>
                  <w:color w:val="000000" w:themeColor="text1"/>
                  <w:sz w:val="24"/>
                  <w14:textFill>
                    <w14:solidFill>
                      <w14:schemeClr w14:val="tx1"/>
                    </w14:solidFill>
                  </w14:textFill>
                </w:rPr>
              </m:ctrlPr>
            </m:e>
            <m:sub>
              <m:r>
                <m:rPr/>
                <w:rPr>
                  <w:rFonts w:hint="eastAsia" w:ascii="Cambria Math" w:hAnsi="Cambria Math" w:cs="宋体"/>
                  <w:color w:val="000000" w:themeColor="text1"/>
                  <w:sz w:val="24"/>
                  <w14:textFill>
                    <w14:solidFill>
                      <w14:schemeClr w14:val="tx1"/>
                    </w14:solidFill>
                  </w14:textFill>
                </w:rPr>
                <m:t>w</m:t>
              </m:r>
              <m:ctrlPr>
                <w:rPr>
                  <w:rFonts w:hint="eastAsia" w:ascii="Cambria Math" w:hAnsi="Cambria Math" w:cs="宋体"/>
                  <w:color w:val="000000" w:themeColor="text1"/>
                  <w:sz w:val="24"/>
                  <w14:textFill>
                    <w14:solidFill>
                      <w14:schemeClr w14:val="tx1"/>
                    </w14:solidFill>
                  </w14:textFill>
                </w:rPr>
              </m:ctrlPr>
            </m:sub>
          </m:sSub>
          <m:r>
            <m:rPr>
              <m:sty m:val="p"/>
            </m:rPr>
            <w:rPr>
              <w:rFonts w:hint="eastAsia" w:ascii="Cambria Math" w:hAnsi="Cambria Math" w:cs="宋体"/>
              <w:color w:val="000000" w:themeColor="text1"/>
              <w:sz w:val="24"/>
              <w14:textFill>
                <w14:solidFill>
                  <w14:schemeClr w14:val="tx1"/>
                </w14:solidFill>
              </w14:textFill>
            </w:rPr>
            <m:t>=</m:t>
          </m:r>
          <m:nary>
            <m:naryPr>
              <m:chr m:val="∑"/>
              <m:limLoc m:val="undOvr"/>
              <m:ctrlPr>
                <w:rPr>
                  <w:rFonts w:hint="eastAsia" w:ascii="Cambria Math" w:hAnsi="Cambria Math" w:cs="宋体"/>
                  <w:color w:val="000000" w:themeColor="text1"/>
                  <w:sz w:val="24"/>
                  <w14:textFill>
                    <w14:solidFill>
                      <w14:schemeClr w14:val="tx1"/>
                    </w14:solidFill>
                  </w14:textFill>
                </w:rPr>
              </m:ctrlPr>
            </m:naryPr>
            <m:sub>
              <m:r>
                <m:rPr/>
                <w:rPr>
                  <w:rFonts w:hint="eastAsia" w:ascii="Cambria Math" w:hAnsi="Cambria Math" w:cs="宋体"/>
                  <w:color w:val="000000" w:themeColor="text1"/>
                  <w:sz w:val="24"/>
                  <w14:textFill>
                    <w14:solidFill>
                      <w14:schemeClr w14:val="tx1"/>
                    </w14:solidFill>
                  </w14:textFill>
                </w:rPr>
                <m:t>i</m:t>
              </m:r>
              <m:ctrlPr>
                <w:rPr>
                  <w:rFonts w:hint="eastAsia" w:ascii="Cambria Math" w:hAnsi="Cambria Math" w:cs="宋体"/>
                  <w:color w:val="000000" w:themeColor="text1"/>
                  <w:sz w:val="24"/>
                  <w14:textFill>
                    <w14:solidFill>
                      <w14:schemeClr w14:val="tx1"/>
                    </w14:solidFill>
                  </w14:textFill>
                </w:rPr>
              </m:ctrlPr>
            </m:sub>
            <m:sup>
              <m:r>
                <m:rPr/>
                <w:rPr>
                  <w:rFonts w:hint="eastAsia" w:ascii="Cambria Math" w:hAnsi="Cambria Math" w:cs="宋体"/>
                  <w:color w:val="000000" w:themeColor="text1"/>
                  <w:sz w:val="24"/>
                  <w14:textFill>
                    <w14:solidFill>
                      <w14:schemeClr w14:val="tx1"/>
                    </w14:solidFill>
                  </w14:textFill>
                </w:rPr>
                <m:t>n</m:t>
              </m:r>
              <m:ctrlPr>
                <w:rPr>
                  <w:rFonts w:hint="eastAsia" w:ascii="Cambria Math" w:hAnsi="Cambria Math" w:cs="宋体"/>
                  <w:color w:val="000000" w:themeColor="text1"/>
                  <w:sz w:val="24"/>
                  <w14:textFill>
                    <w14:solidFill>
                      <w14:schemeClr w14:val="tx1"/>
                    </w14:solidFill>
                  </w14:textFill>
                </w:rPr>
              </m:ctrlPr>
            </m:sup>
            <m:e>
              <m:sSub>
                <m:sSubPr>
                  <m:ctrlPr>
                    <w:rPr>
                      <w:rFonts w:hint="eastAsia" w:ascii="Cambria Math" w:hAnsi="Cambria Math" w:cs="宋体"/>
                      <w:color w:val="000000" w:themeColor="text1"/>
                      <w:sz w:val="24"/>
                      <w14:textFill>
                        <w14:solidFill>
                          <w14:schemeClr w14:val="tx1"/>
                        </w14:solidFill>
                      </w14:textFill>
                    </w:rPr>
                  </m:ctrlPr>
                </m:sSubPr>
                <m:e>
                  <m:r>
                    <m:rPr/>
                    <w:rPr>
                      <w:rFonts w:hint="eastAsia" w:ascii="Cambria Math" w:hAnsi="Cambria Math" w:cs="宋体"/>
                      <w:color w:val="000000" w:themeColor="text1"/>
                      <w:sz w:val="24"/>
                      <w14:textFill>
                        <w14:solidFill>
                          <w14:schemeClr w14:val="tx1"/>
                        </w14:solidFill>
                      </w14:textFill>
                    </w:rPr>
                    <m:t>P</m:t>
                  </m:r>
                  <m:ctrlPr>
                    <w:rPr>
                      <w:rFonts w:hint="eastAsia" w:ascii="Cambria Math" w:hAnsi="Cambria Math" w:cs="宋体"/>
                      <w:color w:val="000000" w:themeColor="text1"/>
                      <w:sz w:val="24"/>
                      <w14:textFill>
                        <w14:solidFill>
                          <w14:schemeClr w14:val="tx1"/>
                        </w14:solidFill>
                      </w14:textFill>
                    </w:rPr>
                  </m:ctrlPr>
                </m:e>
                <m:sub>
                  <m:r>
                    <m:rPr/>
                    <w:rPr>
                      <w:rFonts w:hint="eastAsia" w:ascii="Cambria Math" w:hAnsi="Cambria Math" w:cs="宋体"/>
                      <w:color w:val="000000" w:themeColor="text1"/>
                      <w:sz w:val="24"/>
                      <w14:textFill>
                        <w14:solidFill>
                          <w14:schemeClr w14:val="tx1"/>
                        </w14:solidFill>
                      </w14:textFill>
                    </w:rPr>
                    <m:t>wi</m:t>
                  </m:r>
                  <m:ctrlPr>
                    <w:rPr>
                      <w:rFonts w:hint="eastAsia" w:ascii="Cambria Math" w:hAnsi="Cambria Math" w:cs="宋体"/>
                      <w:color w:val="000000" w:themeColor="text1"/>
                      <w:sz w:val="24"/>
                      <w14:textFill>
                        <w14:solidFill>
                          <w14:schemeClr w14:val="tx1"/>
                        </w14:solidFill>
                      </w14:textFill>
                    </w:rPr>
                  </m:ctrlPr>
                </m:sub>
              </m:sSub>
              <m:ctrlPr>
                <w:rPr>
                  <w:rFonts w:hint="eastAsia" w:ascii="Cambria Math" w:hAnsi="Cambria Math" w:cs="宋体"/>
                  <w:color w:val="000000" w:themeColor="text1"/>
                  <w:sz w:val="24"/>
                  <w14:textFill>
                    <w14:solidFill>
                      <w14:schemeClr w14:val="tx1"/>
                    </w14:solidFill>
                  </w14:textFill>
                </w:rPr>
              </m:ctrlPr>
            </m:e>
          </m:nary>
          <m:r>
            <m:rPr>
              <m:sty m:val="p"/>
            </m:rPr>
            <w:rPr>
              <w:rFonts w:hint="eastAsia" w:ascii="Cambria Math" w:hAnsi="Cambria Math" w:cs="宋体"/>
              <w:color w:val="000000" w:themeColor="text1"/>
              <w:sz w:val="24"/>
              <w14:textFill>
                <w14:solidFill>
                  <w14:schemeClr w14:val="tx1"/>
                </w14:solidFill>
              </w14:textFill>
            </w:rPr>
            <m:t>×</m:t>
          </m:r>
          <m:sSub>
            <m:sSubPr>
              <m:ctrlPr>
                <w:rPr>
                  <w:rFonts w:hint="eastAsia" w:ascii="Cambria Math" w:hAnsi="Cambria Math" w:cs="宋体"/>
                  <w:color w:val="000000" w:themeColor="text1"/>
                  <w:sz w:val="24"/>
                  <w14:textFill>
                    <w14:solidFill>
                      <w14:schemeClr w14:val="tx1"/>
                    </w14:solidFill>
                  </w14:textFill>
                </w:rPr>
              </m:ctrlPr>
            </m:sSubPr>
            <m:e>
              <m:r>
                <m:rPr/>
                <w:rPr>
                  <w:rFonts w:hint="eastAsia" w:ascii="Cambria Math" w:hAnsi="Cambria Math" w:cs="宋体"/>
                  <w:color w:val="000000" w:themeColor="text1"/>
                  <w:sz w:val="24"/>
                  <w14:textFill>
                    <w14:solidFill>
                      <w14:schemeClr w14:val="tx1"/>
                    </w14:solidFill>
                  </w14:textFill>
                </w:rPr>
                <m:t>R</m:t>
              </m:r>
              <m:ctrlPr>
                <w:rPr>
                  <w:rFonts w:hint="eastAsia" w:ascii="Cambria Math" w:hAnsi="Cambria Math" w:cs="宋体"/>
                  <w:color w:val="000000" w:themeColor="text1"/>
                  <w:sz w:val="24"/>
                  <w14:textFill>
                    <w14:solidFill>
                      <w14:schemeClr w14:val="tx1"/>
                    </w14:solidFill>
                  </w14:textFill>
                </w:rPr>
              </m:ctrlPr>
            </m:e>
            <m:sub>
              <m:r>
                <m:rPr/>
                <w:rPr>
                  <w:rFonts w:hint="eastAsia" w:ascii="Cambria Math" w:hAnsi="Cambria Math" w:cs="宋体"/>
                  <w:color w:val="000000" w:themeColor="text1"/>
                  <w:sz w:val="24"/>
                  <w14:textFill>
                    <w14:solidFill>
                      <w14:schemeClr w14:val="tx1"/>
                    </w14:solidFill>
                  </w14:textFill>
                </w:rPr>
                <m:t>wi</m:t>
              </m:r>
              <m:ctrlPr>
                <w:rPr>
                  <w:rFonts w:hint="eastAsia" w:ascii="Cambria Math" w:hAnsi="Cambria Math" w:cs="宋体"/>
                  <w:color w:val="000000" w:themeColor="text1"/>
                  <w:sz w:val="24"/>
                  <w14:textFill>
                    <w14:solidFill>
                      <w14:schemeClr w14:val="tx1"/>
                    </w14:solidFill>
                  </w14:textFill>
                </w:rPr>
              </m:ctrlPr>
            </m:sub>
          </m:sSub>
          <m:r>
            <m:rPr>
              <m:sty m:val="p"/>
            </m:rPr>
            <w:rPr>
              <w:rFonts w:hint="eastAsia" w:ascii="微软雅黑" w:hAnsi="微软雅黑" w:eastAsia="微软雅黑" w:cs="微软雅黑"/>
              <w:color w:val="000000" w:themeColor="text1"/>
              <w:sz w:val="24"/>
              <w14:textFill>
                <w14:solidFill>
                  <w14:schemeClr w14:val="tx1"/>
                </w14:solidFill>
              </w14:textFill>
            </w:rPr>
            <m:t>−</m:t>
          </m:r>
          <m:sSub>
            <m:sSubPr>
              <m:ctrlPr>
                <w:rPr>
                  <w:rFonts w:hint="eastAsia" w:ascii="Cambria Math" w:hAnsi="Cambria Math" w:cs="宋体"/>
                  <w:color w:val="000000" w:themeColor="text1"/>
                  <w:sz w:val="24"/>
                  <w14:textFill>
                    <w14:solidFill>
                      <w14:schemeClr w14:val="tx1"/>
                    </w14:solidFill>
                  </w14:textFill>
                </w:rPr>
              </m:ctrlPr>
            </m:sSubPr>
            <m:e>
              <m:r>
                <m:rPr/>
                <w:rPr>
                  <w:rFonts w:hint="eastAsia" w:ascii="Cambria Math" w:hAnsi="Cambria Math" w:cs="宋体"/>
                  <w:color w:val="000000" w:themeColor="text1"/>
                  <w:sz w:val="24"/>
                  <w14:textFill>
                    <w14:solidFill>
                      <w14:schemeClr w14:val="tx1"/>
                    </w14:solidFill>
                  </w14:textFill>
                </w:rPr>
                <m:t>C</m:t>
              </m:r>
              <m:ctrlPr>
                <w:rPr>
                  <w:rFonts w:hint="eastAsia" w:ascii="Cambria Math" w:hAnsi="Cambria Math" w:cs="宋体"/>
                  <w:color w:val="000000" w:themeColor="text1"/>
                  <w:sz w:val="24"/>
                  <w14:textFill>
                    <w14:solidFill>
                      <w14:schemeClr w14:val="tx1"/>
                    </w14:solidFill>
                  </w14:textFill>
                </w:rPr>
              </m:ctrlPr>
            </m:e>
            <m:sub>
              <m:r>
                <m:rPr/>
                <w:rPr>
                  <w:rFonts w:hint="eastAsia" w:ascii="Cambria Math" w:hAnsi="Cambria Math" w:cs="宋体"/>
                  <w:color w:val="000000" w:themeColor="text1"/>
                  <w:sz w:val="24"/>
                  <w14:textFill>
                    <w14:solidFill>
                      <w14:schemeClr w14:val="tx1"/>
                    </w14:solidFill>
                  </w14:textFill>
                </w:rPr>
                <m:t>wi</m:t>
              </m:r>
              <m:ctrlPr>
                <w:rPr>
                  <w:rFonts w:hint="eastAsia" w:ascii="Cambria Math" w:hAnsi="Cambria Math" w:cs="宋体"/>
                  <w:color w:val="000000" w:themeColor="text1"/>
                  <w:sz w:val="24"/>
                  <w14:textFill>
                    <w14:solidFill>
                      <w14:schemeClr w14:val="tx1"/>
                    </w14:solidFill>
                  </w14:textFill>
                </w:rPr>
              </m:ctrlPr>
            </m:sub>
          </m:sSub>
        </m:oMath>
      </m:oMathPara>
    </w:p>
    <w:p w14:paraId="02C79FE4">
      <w:pPr>
        <w:snapToGrid w:val="0"/>
        <w:spacing w:line="360" w:lineRule="auto"/>
        <w:ind w:firstLine="480" w:firstLineChars="200"/>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式中</w:t>
      </w:r>
      <w:r>
        <w:rPr>
          <w:rFonts w:hint="eastAsia" w:ascii="宋体" w:hAnsi="宋体" w:cs="宋体"/>
          <w:i/>
          <w:color w:val="000000" w:themeColor="text1"/>
          <w:sz w:val="24"/>
          <w14:textFill>
            <w14:solidFill>
              <w14:schemeClr w14:val="tx1"/>
            </w14:solidFill>
          </w14:textFill>
        </w:rPr>
        <w:t>R</w:t>
      </w:r>
      <w:r>
        <w:rPr>
          <w:rFonts w:hint="eastAsia" w:ascii="宋体" w:hAnsi="宋体" w:cs="宋体"/>
          <w:color w:val="000000" w:themeColor="text1"/>
          <w:sz w:val="24"/>
          <w:vertAlign w:val="subscript"/>
          <w14:textFill>
            <w14:solidFill>
              <w14:schemeClr w14:val="tx1"/>
            </w14:solidFill>
          </w14:textFill>
        </w:rPr>
        <w:t>w</w:t>
      </w:r>
      <w:r>
        <w:rPr>
          <w:rFonts w:hint="eastAsia" w:ascii="宋体" w:hAnsi="宋体" w:cs="宋体"/>
          <w:color w:val="000000" w:themeColor="text1"/>
          <w:sz w:val="24"/>
          <w14:textFill>
            <w14:solidFill>
              <w14:schemeClr w14:val="tx1"/>
            </w14:solidFill>
          </w14:textFill>
        </w:rPr>
        <w:t>为加工制备后可交易的废弃物数量（重量），</w:t>
      </w:r>
      <w:r>
        <w:rPr>
          <w:rFonts w:hint="eastAsia" w:ascii="宋体" w:hAnsi="宋体" w:cs="宋体"/>
          <w:i/>
          <w:color w:val="000000" w:themeColor="text1"/>
          <w:sz w:val="24"/>
          <w14:textFill>
            <w14:solidFill>
              <w14:schemeClr w14:val="tx1"/>
            </w14:solidFill>
          </w14:textFill>
        </w:rPr>
        <w:t>i</w:t>
      </w:r>
      <w:r>
        <w:rPr>
          <w:rFonts w:hint="eastAsia" w:ascii="宋体" w:hAnsi="宋体" w:cs="宋体"/>
          <w:color w:val="000000" w:themeColor="text1"/>
          <w:sz w:val="24"/>
          <w14:textFill>
            <w14:solidFill>
              <w14:schemeClr w14:val="tx1"/>
            </w14:solidFill>
          </w14:textFill>
        </w:rPr>
        <w:t>为可回收利用的废弃物资源种类，</w:t>
      </w:r>
      <w:r>
        <w:rPr>
          <w:rFonts w:hint="eastAsia" w:ascii="宋体" w:hAnsi="宋体" w:cs="宋体"/>
          <w:i/>
          <w:color w:val="000000" w:themeColor="text1"/>
          <w:sz w:val="24"/>
          <w14:textFill>
            <w14:solidFill>
              <w14:schemeClr w14:val="tx1"/>
            </w14:solidFill>
          </w14:textFill>
        </w:rPr>
        <w:t>i</w:t>
      </w:r>
      <w:r>
        <w:rPr>
          <w:rFonts w:hint="eastAsia" w:ascii="宋体" w:hAnsi="宋体" w:cs="宋体"/>
          <w:color w:val="000000" w:themeColor="text1"/>
          <w:sz w:val="24"/>
          <w14:textFill>
            <w14:solidFill>
              <w14:schemeClr w14:val="tx1"/>
            </w14:solidFill>
          </w14:textFill>
        </w:rPr>
        <w:t>=1，2，……，</w:t>
      </w:r>
      <w:r>
        <w:rPr>
          <w:rFonts w:hint="eastAsia" w:ascii="宋体" w:hAnsi="宋体" w:cs="宋体"/>
          <w:i/>
          <w:color w:val="000000" w:themeColor="text1"/>
          <w:sz w:val="24"/>
          <w14:textFill>
            <w14:solidFill>
              <w14:schemeClr w14:val="tx1"/>
            </w14:solidFill>
          </w14:textFill>
        </w:rPr>
        <w:t>n</w:t>
      </w:r>
      <w:r>
        <w:rPr>
          <w:rFonts w:hint="eastAsia" w:ascii="宋体" w:hAnsi="宋体" w:cs="宋体"/>
          <w:color w:val="000000" w:themeColor="text1"/>
          <w:sz w:val="24"/>
          <w14:textFill>
            <w14:solidFill>
              <w14:schemeClr w14:val="tx1"/>
            </w14:solidFill>
          </w14:textFill>
        </w:rPr>
        <w:t>，</w:t>
      </w:r>
      <w:r>
        <w:rPr>
          <w:rFonts w:hint="eastAsia" w:ascii="宋体" w:hAnsi="宋体" w:cs="宋体"/>
          <w:i/>
          <w:color w:val="000000" w:themeColor="text1"/>
          <w:sz w:val="24"/>
          <w14:textFill>
            <w14:solidFill>
              <w14:schemeClr w14:val="tx1"/>
            </w14:solidFill>
          </w14:textFill>
        </w:rPr>
        <w:t>R</w:t>
      </w:r>
      <w:r>
        <w:rPr>
          <w:rFonts w:hint="eastAsia" w:ascii="宋体" w:hAnsi="宋体" w:cs="宋体"/>
          <w:i/>
          <w:color w:val="000000" w:themeColor="text1"/>
          <w:sz w:val="24"/>
          <w:vertAlign w:val="subscript"/>
          <w14:textFill>
            <w14:solidFill>
              <w14:schemeClr w14:val="tx1"/>
            </w14:solidFill>
          </w14:textFill>
        </w:rPr>
        <w:t>w</w:t>
      </w:r>
      <w:r>
        <w:rPr>
          <w:rFonts w:hint="eastAsia" w:ascii="宋体" w:hAnsi="宋体" w:cs="宋体"/>
          <w:color w:val="000000" w:themeColor="text1"/>
          <w:sz w:val="24"/>
          <w:vertAlign w:val="subscript"/>
          <w14:textFill>
            <w14:solidFill>
              <w14:schemeClr w14:val="tx1"/>
            </w14:solidFill>
          </w14:textFill>
        </w:rPr>
        <w:t>i</w:t>
      </w:r>
      <w:r>
        <w:rPr>
          <w:rFonts w:hint="eastAsia" w:ascii="宋体" w:hAnsi="宋体" w:cs="宋体"/>
          <w:color w:val="000000" w:themeColor="text1"/>
          <w:sz w:val="24"/>
          <w14:textFill>
            <w14:solidFill>
              <w14:schemeClr w14:val="tx1"/>
            </w14:solidFill>
          </w14:textFill>
        </w:rPr>
        <w:t>为第</w:t>
      </w:r>
      <w:r>
        <w:rPr>
          <w:rFonts w:hint="eastAsia" w:ascii="宋体" w:hAnsi="宋体" w:cs="宋体"/>
          <w:i/>
          <w:color w:val="000000" w:themeColor="text1"/>
          <w:sz w:val="24"/>
          <w14:textFill>
            <w14:solidFill>
              <w14:schemeClr w14:val="tx1"/>
            </w14:solidFill>
          </w14:textFill>
        </w:rPr>
        <w:t>i</w:t>
      </w:r>
      <w:r>
        <w:rPr>
          <w:rFonts w:hint="eastAsia" w:ascii="宋体" w:hAnsi="宋体" w:cs="宋体"/>
          <w:color w:val="000000" w:themeColor="text1"/>
          <w:sz w:val="24"/>
          <w14:textFill>
            <w14:solidFill>
              <w14:schemeClr w14:val="tx1"/>
            </w14:solidFill>
          </w14:textFill>
        </w:rPr>
        <w:t>种废弃物资源的数量（重量），</w:t>
      </w:r>
      <w:r>
        <w:rPr>
          <w:rFonts w:hint="eastAsia" w:ascii="宋体" w:hAnsi="宋体" w:cs="宋体"/>
          <w:i/>
          <w:color w:val="000000" w:themeColor="text1"/>
          <w:sz w:val="24"/>
          <w14:textFill>
            <w14:solidFill>
              <w14:schemeClr w14:val="tx1"/>
            </w14:solidFill>
          </w14:textFill>
        </w:rPr>
        <w:t>P</w:t>
      </w:r>
      <w:r>
        <w:rPr>
          <w:rFonts w:hint="eastAsia" w:ascii="宋体" w:hAnsi="宋体" w:cs="宋体"/>
          <w:color w:val="000000" w:themeColor="text1"/>
          <w:sz w:val="24"/>
          <w:vertAlign w:val="subscript"/>
          <w14:textFill>
            <w14:solidFill>
              <w14:schemeClr w14:val="tx1"/>
            </w14:solidFill>
          </w14:textFill>
        </w:rPr>
        <w:t>wi</w:t>
      </w:r>
      <w:r>
        <w:rPr>
          <w:rFonts w:hint="eastAsia" w:ascii="宋体" w:hAnsi="宋体" w:cs="宋体"/>
          <w:color w:val="000000" w:themeColor="text1"/>
          <w:sz w:val="24"/>
          <w14:textFill>
            <w14:solidFill>
              <w14:schemeClr w14:val="tx1"/>
            </w14:solidFill>
          </w14:textFill>
        </w:rPr>
        <w:t>为第</w:t>
      </w:r>
      <w:r>
        <w:rPr>
          <w:rFonts w:hint="eastAsia" w:ascii="宋体" w:hAnsi="宋体" w:cs="宋体"/>
          <w:i/>
          <w:color w:val="000000" w:themeColor="text1"/>
          <w:sz w:val="24"/>
          <w14:textFill>
            <w14:solidFill>
              <w14:schemeClr w14:val="tx1"/>
            </w14:solidFill>
          </w14:textFill>
        </w:rPr>
        <w:t>i</w:t>
      </w:r>
      <w:r>
        <w:rPr>
          <w:rFonts w:hint="eastAsia" w:ascii="宋体" w:hAnsi="宋体" w:cs="宋体"/>
          <w:iCs/>
          <w:color w:val="000000" w:themeColor="text1"/>
          <w:sz w:val="24"/>
          <w14:textFill>
            <w14:solidFill>
              <w14:schemeClr w14:val="tx1"/>
            </w14:solidFill>
          </w14:textFill>
        </w:rPr>
        <w:t>种废弃物资源的价格，</w:t>
      </w:r>
      <w:r>
        <w:rPr>
          <w:rFonts w:hint="eastAsia" w:ascii="宋体" w:hAnsi="宋体" w:cs="宋体"/>
          <w:i/>
          <w:color w:val="000000" w:themeColor="text1"/>
          <w:sz w:val="24"/>
          <w14:textFill>
            <w14:solidFill>
              <w14:schemeClr w14:val="tx1"/>
            </w14:solidFill>
          </w14:textFill>
        </w:rPr>
        <w:t>C</w:t>
      </w:r>
      <w:r>
        <w:rPr>
          <w:rFonts w:hint="eastAsia" w:ascii="宋体" w:hAnsi="宋体" w:cs="宋体"/>
          <w:iCs/>
          <w:color w:val="000000" w:themeColor="text1"/>
          <w:sz w:val="24"/>
          <w:vertAlign w:val="subscript"/>
          <w14:textFill>
            <w14:solidFill>
              <w14:schemeClr w14:val="tx1"/>
            </w14:solidFill>
          </w14:textFill>
        </w:rPr>
        <w:t>wi</w:t>
      </w:r>
      <w:r>
        <w:rPr>
          <w:rFonts w:hint="eastAsia" w:ascii="宋体" w:hAnsi="宋体" w:cs="宋体"/>
          <w:iCs/>
          <w:color w:val="000000" w:themeColor="text1"/>
          <w:sz w:val="24"/>
          <w14:textFill>
            <w14:solidFill>
              <w14:schemeClr w14:val="tx1"/>
            </w14:solidFill>
          </w14:textFill>
        </w:rPr>
        <w:t>为</w:t>
      </w:r>
      <w:r>
        <w:rPr>
          <w:rFonts w:hint="eastAsia" w:ascii="宋体" w:hAnsi="宋体" w:cs="宋体"/>
          <w:color w:val="000000" w:themeColor="text1"/>
          <w:sz w:val="24"/>
          <w14:textFill>
            <w14:solidFill>
              <w14:schemeClr w14:val="tx1"/>
            </w14:solidFill>
          </w14:textFill>
        </w:rPr>
        <w:t>第</w:t>
      </w:r>
      <w:r>
        <w:rPr>
          <w:rFonts w:hint="eastAsia" w:ascii="宋体" w:hAnsi="宋体" w:cs="宋体"/>
          <w:i/>
          <w:color w:val="000000" w:themeColor="text1"/>
          <w:sz w:val="24"/>
          <w14:textFill>
            <w14:solidFill>
              <w14:schemeClr w14:val="tx1"/>
            </w14:solidFill>
          </w14:textFill>
        </w:rPr>
        <w:t>i</w:t>
      </w:r>
      <w:r>
        <w:rPr>
          <w:rFonts w:hint="eastAsia" w:ascii="宋体" w:hAnsi="宋体" w:cs="宋体"/>
          <w:iCs/>
          <w:color w:val="000000" w:themeColor="text1"/>
          <w:sz w:val="24"/>
          <w14:textFill>
            <w14:solidFill>
              <w14:schemeClr w14:val="tx1"/>
            </w14:solidFill>
          </w14:textFill>
        </w:rPr>
        <w:t>种废弃物生资源的回收和加工制备成本</w:t>
      </w:r>
      <w:r>
        <w:rPr>
          <w:rFonts w:hint="eastAsia" w:ascii="宋体" w:hAnsi="宋体" w:cs="宋体"/>
          <w:color w:val="000000" w:themeColor="text1"/>
          <w:sz w:val="24"/>
          <w14:textFill>
            <w14:solidFill>
              <w14:schemeClr w14:val="tx1"/>
            </w14:solidFill>
          </w14:textFill>
        </w:rPr>
        <w:t>。</w:t>
      </w:r>
    </w:p>
    <w:p w14:paraId="567737D6">
      <w:pPr>
        <w:pStyle w:val="26"/>
        <w:numPr>
          <w:ilvl w:val="2"/>
          <w:numId w:val="0"/>
        </w:numPr>
        <w:snapToGrid w:val="0"/>
        <w:spacing w:beforeLines="0" w:afterLines="0" w:line="360" w:lineRule="auto"/>
        <w:ind w:firstLine="480" w:firstLineChars="200"/>
        <w:outlineLvl w:val="9"/>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(2)材料资源再利用</w:t>
      </w:r>
    </w:p>
    <w:p w14:paraId="4299D427">
      <w:pPr>
        <w:snapToGrid w:val="0"/>
        <w:spacing w:line="360" w:lineRule="auto"/>
        <w:ind w:firstLine="480" w:firstLineChars="200"/>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采用回收的建筑材料或建筑构件可交易的物品数量（重量）作为实物量评价指标，实物量乘以交易价格减去回收成本作为价值量评价指标。</w:t>
      </w:r>
    </w:p>
    <w:p w14:paraId="72E4B124">
      <w:pPr>
        <w:snapToGrid w:val="0"/>
        <w:spacing w:line="360" w:lineRule="auto"/>
        <w:rPr>
          <w:rFonts w:ascii="宋体" w:hAnsi="宋体" w:cs="宋体"/>
          <w:color w:val="000000" w:themeColor="text1"/>
          <w:sz w:val="24"/>
          <w14:textFill>
            <w14:solidFill>
              <w14:schemeClr w14:val="tx1"/>
            </w14:solidFill>
          </w14:textFill>
        </w:rPr>
      </w:pPr>
      <m:oMathPara>
        <m:oMath>
          <m:sSub>
            <m:sSubPr>
              <m:ctrlPr>
                <w:rPr>
                  <w:rFonts w:hint="eastAsia" w:ascii="Cambria Math" w:hAnsi="Cambria Math" w:cs="宋体"/>
                  <w:color w:val="000000" w:themeColor="text1"/>
                  <w:sz w:val="24"/>
                  <w14:textFill>
                    <w14:solidFill>
                      <w14:schemeClr w14:val="tx1"/>
                    </w14:solidFill>
                  </w14:textFill>
                </w:rPr>
              </m:ctrlPr>
            </m:sSubPr>
            <m:e>
              <m:r>
                <m:rPr/>
                <w:rPr>
                  <w:rFonts w:hint="eastAsia" w:ascii="Cambria Math" w:hAnsi="Cambria Math" w:cs="宋体"/>
                  <w:color w:val="000000" w:themeColor="text1"/>
                  <w:sz w:val="24"/>
                  <w14:textFill>
                    <w14:solidFill>
                      <w14:schemeClr w14:val="tx1"/>
                    </w14:solidFill>
                  </w14:textFill>
                </w:rPr>
                <m:t>R</m:t>
              </m:r>
              <m:ctrlPr>
                <w:rPr>
                  <w:rFonts w:hint="eastAsia" w:ascii="Cambria Math" w:hAnsi="Cambria Math" w:cs="宋体"/>
                  <w:color w:val="000000" w:themeColor="text1"/>
                  <w:sz w:val="24"/>
                  <w14:textFill>
                    <w14:solidFill>
                      <w14:schemeClr w14:val="tx1"/>
                    </w14:solidFill>
                  </w14:textFill>
                </w:rPr>
              </m:ctrlPr>
            </m:e>
            <m:sub>
              <m:r>
                <m:rPr/>
                <w:rPr>
                  <w:rFonts w:hint="eastAsia" w:ascii="Cambria Math" w:hAnsi="Cambria Math" w:cs="宋体"/>
                  <w:color w:val="000000" w:themeColor="text1"/>
                  <w:sz w:val="24"/>
                  <w14:textFill>
                    <w14:solidFill>
                      <w14:schemeClr w14:val="tx1"/>
                    </w14:solidFill>
                  </w14:textFill>
                </w:rPr>
                <m:t>m</m:t>
              </m:r>
              <m:ctrlPr>
                <w:rPr>
                  <w:rFonts w:hint="eastAsia" w:ascii="Cambria Math" w:hAnsi="Cambria Math" w:cs="宋体"/>
                  <w:color w:val="000000" w:themeColor="text1"/>
                  <w:sz w:val="24"/>
                  <w14:textFill>
                    <w14:solidFill>
                      <w14:schemeClr w14:val="tx1"/>
                    </w14:solidFill>
                  </w14:textFill>
                </w:rPr>
              </m:ctrlPr>
            </m:sub>
          </m:sSub>
          <m:r>
            <m:rPr>
              <m:sty m:val="p"/>
            </m:rPr>
            <w:rPr>
              <w:rFonts w:hint="eastAsia" w:ascii="Cambria Math" w:hAnsi="Cambria Math" w:cs="宋体"/>
              <w:color w:val="000000" w:themeColor="text1"/>
              <w:sz w:val="24"/>
              <w14:textFill>
                <w14:solidFill>
                  <w14:schemeClr w14:val="tx1"/>
                </w14:solidFill>
              </w14:textFill>
            </w:rPr>
            <m:t>=</m:t>
          </m:r>
          <m:nary>
            <m:naryPr>
              <m:chr m:val="∑"/>
              <m:limLoc m:val="undOvr"/>
              <m:ctrlPr>
                <w:rPr>
                  <w:rFonts w:hint="eastAsia" w:ascii="Cambria Math" w:hAnsi="Cambria Math" w:cs="宋体"/>
                  <w:color w:val="000000" w:themeColor="text1"/>
                  <w:sz w:val="24"/>
                  <w14:textFill>
                    <w14:solidFill>
                      <w14:schemeClr w14:val="tx1"/>
                    </w14:solidFill>
                  </w14:textFill>
                </w:rPr>
              </m:ctrlPr>
            </m:naryPr>
            <m:sub>
              <m:r>
                <m:rPr/>
                <w:rPr>
                  <w:rFonts w:hint="eastAsia" w:ascii="Cambria Math" w:hAnsi="Cambria Math" w:cs="宋体"/>
                  <w:color w:val="000000" w:themeColor="text1"/>
                  <w:sz w:val="24"/>
                  <w14:textFill>
                    <w14:solidFill>
                      <w14:schemeClr w14:val="tx1"/>
                    </w14:solidFill>
                  </w14:textFill>
                </w:rPr>
                <m:t>i</m:t>
              </m:r>
              <m:ctrlPr>
                <w:rPr>
                  <w:rFonts w:hint="eastAsia" w:ascii="Cambria Math" w:hAnsi="Cambria Math" w:cs="宋体"/>
                  <w:color w:val="000000" w:themeColor="text1"/>
                  <w:sz w:val="24"/>
                  <w14:textFill>
                    <w14:solidFill>
                      <w14:schemeClr w14:val="tx1"/>
                    </w14:solidFill>
                  </w14:textFill>
                </w:rPr>
              </m:ctrlPr>
            </m:sub>
            <m:sup>
              <m:r>
                <m:rPr/>
                <w:rPr>
                  <w:rFonts w:hint="eastAsia" w:ascii="Cambria Math" w:hAnsi="Cambria Math" w:cs="宋体"/>
                  <w:color w:val="000000" w:themeColor="text1"/>
                  <w:sz w:val="24"/>
                  <w14:textFill>
                    <w14:solidFill>
                      <w14:schemeClr w14:val="tx1"/>
                    </w14:solidFill>
                  </w14:textFill>
                </w:rPr>
                <m:t>n</m:t>
              </m:r>
              <m:ctrlPr>
                <w:rPr>
                  <w:rFonts w:hint="eastAsia" w:ascii="Cambria Math" w:hAnsi="Cambria Math" w:cs="宋体"/>
                  <w:color w:val="000000" w:themeColor="text1"/>
                  <w:sz w:val="24"/>
                  <w14:textFill>
                    <w14:solidFill>
                      <w14:schemeClr w14:val="tx1"/>
                    </w14:solidFill>
                  </w14:textFill>
                </w:rPr>
              </m:ctrlPr>
            </m:sup>
            <m:e>
              <m:sSub>
                <m:sSubPr>
                  <m:ctrlPr>
                    <w:rPr>
                      <w:rFonts w:hint="eastAsia" w:ascii="Cambria Math" w:hAnsi="Cambria Math" w:cs="宋体"/>
                      <w:color w:val="000000" w:themeColor="text1"/>
                      <w:sz w:val="24"/>
                      <w14:textFill>
                        <w14:solidFill>
                          <w14:schemeClr w14:val="tx1"/>
                        </w14:solidFill>
                      </w14:textFill>
                    </w:rPr>
                  </m:ctrlPr>
                </m:sSubPr>
                <m:e>
                  <m:r>
                    <m:rPr/>
                    <w:rPr>
                      <w:rFonts w:hint="eastAsia" w:ascii="Cambria Math" w:hAnsi="Cambria Math" w:cs="宋体"/>
                      <w:color w:val="000000" w:themeColor="text1"/>
                      <w:sz w:val="24"/>
                      <w14:textFill>
                        <w14:solidFill>
                          <w14:schemeClr w14:val="tx1"/>
                        </w14:solidFill>
                      </w14:textFill>
                    </w:rPr>
                    <m:t>R</m:t>
                  </m:r>
                  <m:ctrlPr>
                    <w:rPr>
                      <w:rFonts w:hint="eastAsia" w:ascii="Cambria Math" w:hAnsi="Cambria Math" w:cs="宋体"/>
                      <w:color w:val="000000" w:themeColor="text1"/>
                      <w:sz w:val="24"/>
                      <w14:textFill>
                        <w14:solidFill>
                          <w14:schemeClr w14:val="tx1"/>
                        </w14:solidFill>
                      </w14:textFill>
                    </w:rPr>
                  </m:ctrlPr>
                </m:e>
                <m:sub>
                  <m:r>
                    <m:rPr/>
                    <w:rPr>
                      <w:rFonts w:hint="eastAsia" w:ascii="Cambria Math" w:hAnsi="Cambria Math" w:cs="宋体"/>
                      <w:color w:val="000000" w:themeColor="text1"/>
                      <w:sz w:val="24"/>
                      <w14:textFill>
                        <w14:solidFill>
                          <w14:schemeClr w14:val="tx1"/>
                        </w14:solidFill>
                      </w14:textFill>
                    </w:rPr>
                    <m:t>mi</m:t>
                  </m:r>
                  <m:ctrlPr>
                    <w:rPr>
                      <w:rFonts w:hint="eastAsia" w:ascii="Cambria Math" w:hAnsi="Cambria Math" w:cs="宋体"/>
                      <w:color w:val="000000" w:themeColor="text1"/>
                      <w:sz w:val="24"/>
                      <w14:textFill>
                        <w14:solidFill>
                          <w14:schemeClr w14:val="tx1"/>
                        </w14:solidFill>
                      </w14:textFill>
                    </w:rPr>
                  </m:ctrlPr>
                </m:sub>
              </m:sSub>
              <m:ctrlPr>
                <w:rPr>
                  <w:rFonts w:hint="eastAsia" w:ascii="Cambria Math" w:hAnsi="Cambria Math" w:cs="宋体"/>
                  <w:color w:val="000000" w:themeColor="text1"/>
                  <w:sz w:val="24"/>
                  <w14:textFill>
                    <w14:solidFill>
                      <w14:schemeClr w14:val="tx1"/>
                    </w14:solidFill>
                  </w14:textFill>
                </w:rPr>
              </m:ctrlPr>
            </m:e>
          </m:nary>
        </m:oMath>
      </m:oMathPara>
    </w:p>
    <w:p w14:paraId="1169A2BB">
      <w:pPr>
        <w:snapToGrid w:val="0"/>
        <w:spacing w:line="360" w:lineRule="auto"/>
        <w:rPr>
          <w:rFonts w:ascii="宋体" w:hAnsi="宋体" w:cs="宋体"/>
          <w:color w:val="000000" w:themeColor="text1"/>
          <w:sz w:val="24"/>
          <w14:textFill>
            <w14:solidFill>
              <w14:schemeClr w14:val="tx1"/>
            </w14:solidFill>
          </w14:textFill>
        </w:rPr>
      </w:pPr>
      <m:oMathPara>
        <m:oMath>
          <m:sSub>
            <m:sSubPr>
              <m:ctrlPr>
                <w:rPr>
                  <w:rFonts w:hint="eastAsia" w:ascii="Cambria Math" w:hAnsi="Cambria Math" w:cs="宋体"/>
                  <w:color w:val="000000" w:themeColor="text1"/>
                  <w:sz w:val="24"/>
                  <w14:textFill>
                    <w14:solidFill>
                      <w14:schemeClr w14:val="tx1"/>
                    </w14:solidFill>
                  </w14:textFill>
                </w:rPr>
              </m:ctrlPr>
            </m:sSubPr>
            <m:e>
              <m:r>
                <m:rPr/>
                <w:rPr>
                  <w:rFonts w:hint="eastAsia" w:ascii="Cambria Math" w:hAnsi="Cambria Math" w:cs="宋体"/>
                  <w:color w:val="000000" w:themeColor="text1"/>
                  <w:sz w:val="24"/>
                  <w14:textFill>
                    <w14:solidFill>
                      <w14:schemeClr w14:val="tx1"/>
                    </w14:solidFill>
                  </w14:textFill>
                </w:rPr>
                <m:t>V</m:t>
              </m:r>
              <m:ctrlPr>
                <w:rPr>
                  <w:rFonts w:hint="eastAsia" w:ascii="Cambria Math" w:hAnsi="Cambria Math" w:cs="宋体"/>
                  <w:color w:val="000000" w:themeColor="text1"/>
                  <w:sz w:val="24"/>
                  <w14:textFill>
                    <w14:solidFill>
                      <w14:schemeClr w14:val="tx1"/>
                    </w14:solidFill>
                  </w14:textFill>
                </w:rPr>
              </m:ctrlPr>
            </m:e>
            <m:sub>
              <m:r>
                <m:rPr/>
                <w:rPr>
                  <w:rFonts w:hint="eastAsia" w:ascii="Cambria Math" w:hAnsi="Cambria Math" w:cs="宋体"/>
                  <w:color w:val="000000" w:themeColor="text1"/>
                  <w:sz w:val="24"/>
                  <w14:textFill>
                    <w14:solidFill>
                      <w14:schemeClr w14:val="tx1"/>
                    </w14:solidFill>
                  </w14:textFill>
                </w:rPr>
                <m:t>m</m:t>
              </m:r>
              <m:ctrlPr>
                <w:rPr>
                  <w:rFonts w:hint="eastAsia" w:ascii="Cambria Math" w:hAnsi="Cambria Math" w:cs="宋体"/>
                  <w:color w:val="000000" w:themeColor="text1"/>
                  <w:sz w:val="24"/>
                  <w14:textFill>
                    <w14:solidFill>
                      <w14:schemeClr w14:val="tx1"/>
                    </w14:solidFill>
                  </w14:textFill>
                </w:rPr>
              </m:ctrlPr>
            </m:sub>
          </m:sSub>
          <m:r>
            <m:rPr>
              <m:sty m:val="p"/>
            </m:rPr>
            <w:rPr>
              <w:rFonts w:hint="eastAsia" w:ascii="Cambria Math" w:hAnsi="Cambria Math" w:cs="宋体"/>
              <w:color w:val="000000" w:themeColor="text1"/>
              <w:sz w:val="24"/>
              <w14:textFill>
                <w14:solidFill>
                  <w14:schemeClr w14:val="tx1"/>
                </w14:solidFill>
              </w14:textFill>
            </w:rPr>
            <m:t>=</m:t>
          </m:r>
          <m:nary>
            <m:naryPr>
              <m:chr m:val="∑"/>
              <m:limLoc m:val="undOvr"/>
              <m:ctrlPr>
                <w:rPr>
                  <w:rFonts w:hint="eastAsia" w:ascii="Cambria Math" w:hAnsi="Cambria Math" w:cs="宋体"/>
                  <w:color w:val="000000" w:themeColor="text1"/>
                  <w:sz w:val="24"/>
                  <w14:textFill>
                    <w14:solidFill>
                      <w14:schemeClr w14:val="tx1"/>
                    </w14:solidFill>
                  </w14:textFill>
                </w:rPr>
              </m:ctrlPr>
            </m:naryPr>
            <m:sub>
              <m:r>
                <m:rPr/>
                <w:rPr>
                  <w:rFonts w:hint="eastAsia" w:ascii="Cambria Math" w:hAnsi="Cambria Math" w:cs="宋体"/>
                  <w:color w:val="000000" w:themeColor="text1"/>
                  <w:sz w:val="24"/>
                  <w14:textFill>
                    <w14:solidFill>
                      <w14:schemeClr w14:val="tx1"/>
                    </w14:solidFill>
                  </w14:textFill>
                </w:rPr>
                <m:t>i</m:t>
              </m:r>
              <m:ctrlPr>
                <w:rPr>
                  <w:rFonts w:hint="eastAsia" w:ascii="Cambria Math" w:hAnsi="Cambria Math" w:cs="宋体"/>
                  <w:color w:val="000000" w:themeColor="text1"/>
                  <w:sz w:val="24"/>
                  <w14:textFill>
                    <w14:solidFill>
                      <w14:schemeClr w14:val="tx1"/>
                    </w14:solidFill>
                  </w14:textFill>
                </w:rPr>
              </m:ctrlPr>
            </m:sub>
            <m:sup>
              <m:r>
                <m:rPr/>
                <w:rPr>
                  <w:rFonts w:hint="eastAsia" w:ascii="Cambria Math" w:hAnsi="Cambria Math" w:cs="宋体"/>
                  <w:color w:val="000000" w:themeColor="text1"/>
                  <w:sz w:val="24"/>
                  <w14:textFill>
                    <w14:solidFill>
                      <w14:schemeClr w14:val="tx1"/>
                    </w14:solidFill>
                  </w14:textFill>
                </w:rPr>
                <m:t>n</m:t>
              </m:r>
              <m:ctrlPr>
                <w:rPr>
                  <w:rFonts w:hint="eastAsia" w:ascii="Cambria Math" w:hAnsi="Cambria Math" w:cs="宋体"/>
                  <w:color w:val="000000" w:themeColor="text1"/>
                  <w:sz w:val="24"/>
                  <w14:textFill>
                    <w14:solidFill>
                      <w14:schemeClr w14:val="tx1"/>
                    </w14:solidFill>
                  </w14:textFill>
                </w:rPr>
              </m:ctrlPr>
            </m:sup>
            <m:e>
              <m:sSub>
                <m:sSubPr>
                  <m:ctrlPr>
                    <w:rPr>
                      <w:rFonts w:hint="eastAsia" w:ascii="Cambria Math" w:hAnsi="Cambria Math" w:cs="宋体"/>
                      <w:color w:val="000000" w:themeColor="text1"/>
                      <w:sz w:val="24"/>
                      <w14:textFill>
                        <w14:solidFill>
                          <w14:schemeClr w14:val="tx1"/>
                        </w14:solidFill>
                      </w14:textFill>
                    </w:rPr>
                  </m:ctrlPr>
                </m:sSubPr>
                <m:e>
                  <m:r>
                    <m:rPr/>
                    <w:rPr>
                      <w:rFonts w:hint="eastAsia" w:ascii="Cambria Math" w:hAnsi="Cambria Math" w:cs="宋体"/>
                      <w:color w:val="000000" w:themeColor="text1"/>
                      <w:sz w:val="24"/>
                      <w14:textFill>
                        <w14:solidFill>
                          <w14:schemeClr w14:val="tx1"/>
                        </w14:solidFill>
                      </w14:textFill>
                    </w:rPr>
                    <m:t>P</m:t>
                  </m:r>
                  <m:ctrlPr>
                    <w:rPr>
                      <w:rFonts w:hint="eastAsia" w:ascii="Cambria Math" w:hAnsi="Cambria Math" w:cs="宋体"/>
                      <w:color w:val="000000" w:themeColor="text1"/>
                      <w:sz w:val="24"/>
                      <w14:textFill>
                        <w14:solidFill>
                          <w14:schemeClr w14:val="tx1"/>
                        </w14:solidFill>
                      </w14:textFill>
                    </w:rPr>
                  </m:ctrlPr>
                </m:e>
                <m:sub>
                  <m:r>
                    <m:rPr/>
                    <w:rPr>
                      <w:rFonts w:hint="eastAsia" w:ascii="Cambria Math" w:hAnsi="Cambria Math" w:cs="宋体"/>
                      <w:color w:val="000000" w:themeColor="text1"/>
                      <w:sz w:val="24"/>
                      <w14:textFill>
                        <w14:solidFill>
                          <w14:schemeClr w14:val="tx1"/>
                        </w14:solidFill>
                      </w14:textFill>
                    </w:rPr>
                    <m:t>mi</m:t>
                  </m:r>
                  <m:ctrlPr>
                    <w:rPr>
                      <w:rFonts w:hint="eastAsia" w:ascii="Cambria Math" w:hAnsi="Cambria Math" w:cs="宋体"/>
                      <w:color w:val="000000" w:themeColor="text1"/>
                      <w:sz w:val="24"/>
                      <w14:textFill>
                        <w14:solidFill>
                          <w14:schemeClr w14:val="tx1"/>
                        </w14:solidFill>
                      </w14:textFill>
                    </w:rPr>
                  </m:ctrlPr>
                </m:sub>
              </m:sSub>
              <m:ctrlPr>
                <w:rPr>
                  <w:rFonts w:hint="eastAsia" w:ascii="Cambria Math" w:hAnsi="Cambria Math" w:cs="宋体"/>
                  <w:color w:val="000000" w:themeColor="text1"/>
                  <w:sz w:val="24"/>
                  <w14:textFill>
                    <w14:solidFill>
                      <w14:schemeClr w14:val="tx1"/>
                    </w14:solidFill>
                  </w14:textFill>
                </w:rPr>
              </m:ctrlPr>
            </m:e>
          </m:nary>
          <m:r>
            <m:rPr>
              <m:sty m:val="p"/>
            </m:rPr>
            <w:rPr>
              <w:rFonts w:hint="eastAsia" w:ascii="Cambria Math" w:hAnsi="Cambria Math" w:cs="宋体"/>
              <w:color w:val="000000" w:themeColor="text1"/>
              <w:sz w:val="24"/>
              <w14:textFill>
                <w14:solidFill>
                  <w14:schemeClr w14:val="tx1"/>
                </w14:solidFill>
              </w14:textFill>
            </w:rPr>
            <m:t>×</m:t>
          </m:r>
          <m:sSub>
            <m:sSubPr>
              <m:ctrlPr>
                <w:rPr>
                  <w:rFonts w:hint="eastAsia" w:ascii="Cambria Math" w:hAnsi="Cambria Math" w:cs="宋体"/>
                  <w:color w:val="000000" w:themeColor="text1"/>
                  <w:sz w:val="24"/>
                  <w14:textFill>
                    <w14:solidFill>
                      <w14:schemeClr w14:val="tx1"/>
                    </w14:solidFill>
                  </w14:textFill>
                </w:rPr>
              </m:ctrlPr>
            </m:sSubPr>
            <m:e>
              <m:r>
                <m:rPr/>
                <w:rPr>
                  <w:rFonts w:hint="eastAsia" w:ascii="Cambria Math" w:hAnsi="Cambria Math" w:cs="宋体"/>
                  <w:color w:val="000000" w:themeColor="text1"/>
                  <w:sz w:val="24"/>
                  <w14:textFill>
                    <w14:solidFill>
                      <w14:schemeClr w14:val="tx1"/>
                    </w14:solidFill>
                  </w14:textFill>
                </w:rPr>
                <m:t>R</m:t>
              </m:r>
              <m:ctrlPr>
                <w:rPr>
                  <w:rFonts w:hint="eastAsia" w:ascii="Cambria Math" w:hAnsi="Cambria Math" w:cs="宋体"/>
                  <w:color w:val="000000" w:themeColor="text1"/>
                  <w:sz w:val="24"/>
                  <w14:textFill>
                    <w14:solidFill>
                      <w14:schemeClr w14:val="tx1"/>
                    </w14:solidFill>
                  </w14:textFill>
                </w:rPr>
              </m:ctrlPr>
            </m:e>
            <m:sub>
              <m:r>
                <m:rPr/>
                <w:rPr>
                  <w:rFonts w:hint="eastAsia" w:ascii="Cambria Math" w:hAnsi="Cambria Math" w:cs="宋体"/>
                  <w:color w:val="000000" w:themeColor="text1"/>
                  <w:sz w:val="24"/>
                  <w14:textFill>
                    <w14:solidFill>
                      <w14:schemeClr w14:val="tx1"/>
                    </w14:solidFill>
                  </w14:textFill>
                </w:rPr>
                <m:t>mi</m:t>
              </m:r>
              <m:ctrlPr>
                <w:rPr>
                  <w:rFonts w:hint="eastAsia" w:ascii="Cambria Math" w:hAnsi="Cambria Math" w:cs="宋体"/>
                  <w:color w:val="000000" w:themeColor="text1"/>
                  <w:sz w:val="24"/>
                  <w14:textFill>
                    <w14:solidFill>
                      <w14:schemeClr w14:val="tx1"/>
                    </w14:solidFill>
                  </w14:textFill>
                </w:rPr>
              </m:ctrlPr>
            </m:sub>
          </m:sSub>
          <m:r>
            <m:rPr>
              <m:sty m:val="p"/>
            </m:rPr>
            <w:rPr>
              <w:rFonts w:hint="eastAsia" w:ascii="微软雅黑" w:hAnsi="微软雅黑" w:eastAsia="微软雅黑" w:cs="微软雅黑"/>
              <w:color w:val="000000" w:themeColor="text1"/>
              <w:sz w:val="24"/>
              <w14:textFill>
                <w14:solidFill>
                  <w14:schemeClr w14:val="tx1"/>
                </w14:solidFill>
              </w14:textFill>
            </w:rPr>
            <m:t>−</m:t>
          </m:r>
          <m:sSub>
            <m:sSubPr>
              <m:ctrlPr>
                <w:rPr>
                  <w:rFonts w:hint="eastAsia" w:ascii="Cambria Math" w:hAnsi="Cambria Math" w:cs="宋体"/>
                  <w:color w:val="000000" w:themeColor="text1"/>
                  <w:sz w:val="24"/>
                  <w14:textFill>
                    <w14:solidFill>
                      <w14:schemeClr w14:val="tx1"/>
                    </w14:solidFill>
                  </w14:textFill>
                </w:rPr>
              </m:ctrlPr>
            </m:sSubPr>
            <m:e>
              <m:r>
                <m:rPr/>
                <w:rPr>
                  <w:rFonts w:hint="eastAsia" w:ascii="Cambria Math" w:hAnsi="Cambria Math" w:cs="宋体"/>
                  <w:color w:val="000000" w:themeColor="text1"/>
                  <w:sz w:val="24"/>
                  <w14:textFill>
                    <w14:solidFill>
                      <w14:schemeClr w14:val="tx1"/>
                    </w14:solidFill>
                  </w14:textFill>
                </w:rPr>
                <m:t>C</m:t>
              </m:r>
              <m:ctrlPr>
                <w:rPr>
                  <w:rFonts w:hint="eastAsia" w:ascii="Cambria Math" w:hAnsi="Cambria Math" w:cs="宋体"/>
                  <w:color w:val="000000" w:themeColor="text1"/>
                  <w:sz w:val="24"/>
                  <w14:textFill>
                    <w14:solidFill>
                      <w14:schemeClr w14:val="tx1"/>
                    </w14:solidFill>
                  </w14:textFill>
                </w:rPr>
              </m:ctrlPr>
            </m:e>
            <m:sub>
              <m:r>
                <m:rPr/>
                <w:rPr>
                  <w:rFonts w:hint="eastAsia" w:ascii="Cambria Math" w:hAnsi="Cambria Math" w:cs="宋体"/>
                  <w:color w:val="000000" w:themeColor="text1"/>
                  <w:sz w:val="24"/>
                  <w14:textFill>
                    <w14:solidFill>
                      <w14:schemeClr w14:val="tx1"/>
                    </w14:solidFill>
                  </w14:textFill>
                </w:rPr>
                <m:t>wi</m:t>
              </m:r>
              <m:ctrlPr>
                <w:rPr>
                  <w:rFonts w:hint="eastAsia" w:ascii="Cambria Math" w:hAnsi="Cambria Math" w:cs="宋体"/>
                  <w:color w:val="000000" w:themeColor="text1"/>
                  <w:sz w:val="24"/>
                  <w14:textFill>
                    <w14:solidFill>
                      <w14:schemeClr w14:val="tx1"/>
                    </w14:solidFill>
                  </w14:textFill>
                </w:rPr>
              </m:ctrlPr>
            </m:sub>
          </m:sSub>
        </m:oMath>
      </m:oMathPara>
    </w:p>
    <w:p w14:paraId="79532C53">
      <w:pPr>
        <w:snapToGrid w:val="0"/>
        <w:spacing w:line="360" w:lineRule="auto"/>
        <w:ind w:firstLine="480" w:firstLineChars="200"/>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式中</w:t>
      </w:r>
      <w:r>
        <w:rPr>
          <w:rFonts w:hint="eastAsia" w:ascii="宋体" w:hAnsi="宋体" w:cs="宋体"/>
          <w:i/>
          <w:color w:val="000000" w:themeColor="text1"/>
          <w:sz w:val="24"/>
          <w14:textFill>
            <w14:solidFill>
              <w14:schemeClr w14:val="tx1"/>
            </w14:solidFill>
          </w14:textFill>
        </w:rPr>
        <w:t>R</w:t>
      </w:r>
      <w:r>
        <w:rPr>
          <w:rFonts w:hint="eastAsia" w:ascii="宋体" w:hAnsi="宋体" w:cs="宋体"/>
          <w:color w:val="000000" w:themeColor="text1"/>
          <w:sz w:val="24"/>
          <w:vertAlign w:val="subscript"/>
          <w14:textFill>
            <w14:solidFill>
              <w14:schemeClr w14:val="tx1"/>
            </w14:solidFill>
          </w14:textFill>
        </w:rPr>
        <w:t>m</w:t>
      </w:r>
      <w:r>
        <w:rPr>
          <w:rFonts w:hint="eastAsia" w:ascii="宋体" w:hAnsi="宋体" w:cs="宋体"/>
          <w:color w:val="000000" w:themeColor="text1"/>
          <w:sz w:val="24"/>
          <w14:textFill>
            <w14:solidFill>
              <w14:schemeClr w14:val="tx1"/>
            </w14:solidFill>
          </w14:textFill>
        </w:rPr>
        <w:t>为回收的建筑材料或建筑构件数量（重量），</w:t>
      </w:r>
      <w:r>
        <w:rPr>
          <w:rFonts w:hint="eastAsia" w:ascii="宋体" w:hAnsi="宋体" w:cs="宋体"/>
          <w:i/>
          <w:color w:val="000000" w:themeColor="text1"/>
          <w:sz w:val="24"/>
          <w14:textFill>
            <w14:solidFill>
              <w14:schemeClr w14:val="tx1"/>
            </w14:solidFill>
          </w14:textFill>
        </w:rPr>
        <w:t>i</w:t>
      </w:r>
      <w:r>
        <w:rPr>
          <w:rFonts w:hint="eastAsia" w:ascii="宋体" w:hAnsi="宋体" w:cs="宋体"/>
          <w:color w:val="000000" w:themeColor="text1"/>
          <w:sz w:val="24"/>
          <w14:textFill>
            <w14:solidFill>
              <w14:schemeClr w14:val="tx1"/>
            </w14:solidFill>
          </w14:textFill>
        </w:rPr>
        <w:t>为可回收利用的建筑材料或建筑构件种类，</w:t>
      </w:r>
      <w:r>
        <w:rPr>
          <w:rFonts w:hint="eastAsia" w:ascii="宋体" w:hAnsi="宋体" w:cs="宋体"/>
          <w:i/>
          <w:color w:val="000000" w:themeColor="text1"/>
          <w:sz w:val="24"/>
          <w14:textFill>
            <w14:solidFill>
              <w14:schemeClr w14:val="tx1"/>
            </w14:solidFill>
          </w14:textFill>
        </w:rPr>
        <w:t>i</w:t>
      </w:r>
      <w:r>
        <w:rPr>
          <w:rFonts w:hint="eastAsia" w:ascii="宋体" w:hAnsi="宋体" w:cs="宋体"/>
          <w:color w:val="000000" w:themeColor="text1"/>
          <w:sz w:val="24"/>
          <w14:textFill>
            <w14:solidFill>
              <w14:schemeClr w14:val="tx1"/>
            </w14:solidFill>
          </w14:textFill>
        </w:rPr>
        <w:t>=1，2，……，</w:t>
      </w:r>
      <w:r>
        <w:rPr>
          <w:rFonts w:hint="eastAsia" w:ascii="宋体" w:hAnsi="宋体" w:cs="宋体"/>
          <w:i/>
          <w:color w:val="000000" w:themeColor="text1"/>
          <w:sz w:val="24"/>
          <w14:textFill>
            <w14:solidFill>
              <w14:schemeClr w14:val="tx1"/>
            </w14:solidFill>
          </w14:textFill>
        </w:rPr>
        <w:t>n</w:t>
      </w:r>
      <w:r>
        <w:rPr>
          <w:rFonts w:hint="eastAsia" w:ascii="宋体" w:hAnsi="宋体" w:cs="宋体"/>
          <w:color w:val="000000" w:themeColor="text1"/>
          <w:sz w:val="24"/>
          <w14:textFill>
            <w14:solidFill>
              <w14:schemeClr w14:val="tx1"/>
            </w14:solidFill>
          </w14:textFill>
        </w:rPr>
        <w:t>，</w:t>
      </w:r>
      <w:r>
        <w:rPr>
          <w:rFonts w:hint="eastAsia" w:ascii="宋体" w:hAnsi="宋体" w:cs="宋体"/>
          <w:i/>
          <w:color w:val="000000" w:themeColor="text1"/>
          <w:sz w:val="24"/>
          <w14:textFill>
            <w14:solidFill>
              <w14:schemeClr w14:val="tx1"/>
            </w14:solidFill>
          </w14:textFill>
        </w:rPr>
        <w:t>m</w:t>
      </w:r>
      <w:r>
        <w:rPr>
          <w:rFonts w:hint="eastAsia" w:ascii="宋体" w:hAnsi="宋体" w:cs="宋体"/>
          <w:color w:val="000000" w:themeColor="text1"/>
          <w:sz w:val="24"/>
          <w:vertAlign w:val="subscript"/>
          <w14:textFill>
            <w14:solidFill>
              <w14:schemeClr w14:val="tx1"/>
            </w14:solidFill>
          </w14:textFill>
        </w:rPr>
        <w:t>i</w:t>
      </w:r>
      <w:r>
        <w:rPr>
          <w:rFonts w:hint="eastAsia" w:ascii="宋体" w:hAnsi="宋体" w:cs="宋体"/>
          <w:color w:val="000000" w:themeColor="text1"/>
          <w:sz w:val="24"/>
          <w14:textFill>
            <w14:solidFill>
              <w14:schemeClr w14:val="tx1"/>
            </w14:solidFill>
          </w14:textFill>
        </w:rPr>
        <w:t>为第</w:t>
      </w:r>
      <w:r>
        <w:rPr>
          <w:rFonts w:hint="eastAsia" w:ascii="宋体" w:hAnsi="宋体" w:cs="宋体"/>
          <w:i/>
          <w:color w:val="000000" w:themeColor="text1"/>
          <w:sz w:val="24"/>
          <w14:textFill>
            <w14:solidFill>
              <w14:schemeClr w14:val="tx1"/>
            </w14:solidFill>
          </w14:textFill>
        </w:rPr>
        <w:t>i</w:t>
      </w:r>
      <w:r>
        <w:rPr>
          <w:rFonts w:hint="eastAsia" w:ascii="宋体" w:hAnsi="宋体" w:cs="宋体"/>
          <w:color w:val="000000" w:themeColor="text1"/>
          <w:sz w:val="24"/>
          <w14:textFill>
            <w14:solidFill>
              <w14:schemeClr w14:val="tx1"/>
            </w14:solidFill>
          </w14:textFill>
        </w:rPr>
        <w:t>种建筑材料或建筑构件的数量（重量），</w:t>
      </w:r>
      <w:r>
        <w:rPr>
          <w:rFonts w:hint="eastAsia" w:ascii="宋体" w:hAnsi="宋体" w:cs="宋体"/>
          <w:i/>
          <w:color w:val="000000" w:themeColor="text1"/>
          <w:sz w:val="24"/>
          <w14:textFill>
            <w14:solidFill>
              <w14:schemeClr w14:val="tx1"/>
            </w14:solidFill>
          </w14:textFill>
        </w:rPr>
        <w:t>P</w:t>
      </w:r>
      <w:r>
        <w:rPr>
          <w:rFonts w:hint="eastAsia" w:ascii="宋体" w:hAnsi="宋体" w:cs="宋体"/>
          <w:color w:val="000000" w:themeColor="text1"/>
          <w:sz w:val="24"/>
          <w:vertAlign w:val="subscript"/>
          <w14:textFill>
            <w14:solidFill>
              <w14:schemeClr w14:val="tx1"/>
            </w14:solidFill>
          </w14:textFill>
        </w:rPr>
        <w:t>mi</w:t>
      </w:r>
      <w:r>
        <w:rPr>
          <w:rFonts w:hint="eastAsia" w:ascii="宋体" w:hAnsi="宋体" w:cs="宋体"/>
          <w:color w:val="000000" w:themeColor="text1"/>
          <w:sz w:val="24"/>
          <w14:textFill>
            <w14:solidFill>
              <w14:schemeClr w14:val="tx1"/>
            </w14:solidFill>
          </w14:textFill>
        </w:rPr>
        <w:t>为第</w:t>
      </w:r>
      <w:r>
        <w:rPr>
          <w:rFonts w:hint="eastAsia" w:ascii="宋体" w:hAnsi="宋体" w:cs="宋体"/>
          <w:i/>
          <w:color w:val="000000" w:themeColor="text1"/>
          <w:sz w:val="24"/>
          <w14:textFill>
            <w14:solidFill>
              <w14:schemeClr w14:val="tx1"/>
            </w14:solidFill>
          </w14:textFill>
        </w:rPr>
        <w:t>i</w:t>
      </w:r>
      <w:r>
        <w:rPr>
          <w:rFonts w:hint="eastAsia" w:ascii="宋体" w:hAnsi="宋体" w:cs="宋体"/>
          <w:iCs/>
          <w:color w:val="000000" w:themeColor="text1"/>
          <w:sz w:val="24"/>
          <w14:textFill>
            <w14:solidFill>
              <w14:schemeClr w14:val="tx1"/>
            </w14:solidFill>
          </w14:textFill>
        </w:rPr>
        <w:t>种</w:t>
      </w:r>
      <w:r>
        <w:rPr>
          <w:rFonts w:hint="eastAsia" w:ascii="宋体" w:hAnsi="宋体" w:cs="宋体"/>
          <w:color w:val="000000" w:themeColor="text1"/>
          <w:sz w:val="24"/>
          <w14:textFill>
            <w14:solidFill>
              <w14:schemeClr w14:val="tx1"/>
            </w14:solidFill>
          </w14:textFill>
        </w:rPr>
        <w:t>建筑材料或建筑构件</w:t>
      </w:r>
      <w:r>
        <w:rPr>
          <w:rFonts w:hint="eastAsia" w:ascii="宋体" w:hAnsi="宋体" w:cs="宋体"/>
          <w:iCs/>
          <w:color w:val="000000" w:themeColor="text1"/>
          <w:sz w:val="24"/>
          <w14:textFill>
            <w14:solidFill>
              <w14:schemeClr w14:val="tx1"/>
            </w14:solidFill>
          </w14:textFill>
        </w:rPr>
        <w:t>的价格，</w:t>
      </w:r>
      <w:r>
        <w:rPr>
          <w:rFonts w:hint="eastAsia" w:ascii="宋体" w:hAnsi="宋体" w:cs="宋体"/>
          <w:i/>
          <w:color w:val="000000" w:themeColor="text1"/>
          <w:sz w:val="24"/>
          <w14:textFill>
            <w14:solidFill>
              <w14:schemeClr w14:val="tx1"/>
            </w14:solidFill>
          </w14:textFill>
        </w:rPr>
        <w:t>C</w:t>
      </w:r>
      <w:r>
        <w:rPr>
          <w:rFonts w:hint="eastAsia" w:ascii="宋体" w:hAnsi="宋体" w:cs="宋体"/>
          <w:iCs/>
          <w:color w:val="000000" w:themeColor="text1"/>
          <w:sz w:val="24"/>
          <w:vertAlign w:val="subscript"/>
          <w14:textFill>
            <w14:solidFill>
              <w14:schemeClr w14:val="tx1"/>
            </w14:solidFill>
          </w14:textFill>
        </w:rPr>
        <w:t>mi</w:t>
      </w:r>
      <w:r>
        <w:rPr>
          <w:rFonts w:hint="eastAsia" w:ascii="宋体" w:hAnsi="宋体" w:cs="宋体"/>
          <w:iCs/>
          <w:color w:val="000000" w:themeColor="text1"/>
          <w:sz w:val="24"/>
          <w14:textFill>
            <w14:solidFill>
              <w14:schemeClr w14:val="tx1"/>
            </w14:solidFill>
          </w14:textFill>
        </w:rPr>
        <w:t>为</w:t>
      </w:r>
      <w:r>
        <w:rPr>
          <w:rFonts w:hint="eastAsia" w:ascii="宋体" w:hAnsi="宋体" w:cs="宋体"/>
          <w:color w:val="000000" w:themeColor="text1"/>
          <w:sz w:val="24"/>
          <w14:textFill>
            <w14:solidFill>
              <w14:schemeClr w14:val="tx1"/>
            </w14:solidFill>
          </w14:textFill>
        </w:rPr>
        <w:t>第</w:t>
      </w:r>
      <w:r>
        <w:rPr>
          <w:rFonts w:hint="eastAsia" w:ascii="宋体" w:hAnsi="宋体" w:cs="宋体"/>
          <w:i/>
          <w:color w:val="000000" w:themeColor="text1"/>
          <w:sz w:val="24"/>
          <w14:textFill>
            <w14:solidFill>
              <w14:schemeClr w14:val="tx1"/>
            </w14:solidFill>
          </w14:textFill>
        </w:rPr>
        <w:t>i</w:t>
      </w:r>
      <w:r>
        <w:rPr>
          <w:rFonts w:hint="eastAsia" w:ascii="宋体" w:hAnsi="宋体" w:cs="宋体"/>
          <w:iCs/>
          <w:color w:val="000000" w:themeColor="text1"/>
          <w:sz w:val="24"/>
          <w14:textFill>
            <w14:solidFill>
              <w14:schemeClr w14:val="tx1"/>
            </w14:solidFill>
          </w14:textFill>
        </w:rPr>
        <w:t>种</w:t>
      </w:r>
      <w:r>
        <w:rPr>
          <w:rFonts w:hint="eastAsia" w:ascii="宋体" w:hAnsi="宋体" w:cs="宋体"/>
          <w:color w:val="000000" w:themeColor="text1"/>
          <w:sz w:val="24"/>
          <w14:textFill>
            <w14:solidFill>
              <w14:schemeClr w14:val="tx1"/>
            </w14:solidFill>
          </w14:textFill>
        </w:rPr>
        <w:t>建筑材料或建筑构件</w:t>
      </w:r>
      <w:r>
        <w:rPr>
          <w:rFonts w:hint="eastAsia" w:ascii="宋体" w:hAnsi="宋体" w:cs="宋体"/>
          <w:iCs/>
          <w:color w:val="000000" w:themeColor="text1"/>
          <w:sz w:val="24"/>
          <w14:textFill>
            <w14:solidFill>
              <w14:schemeClr w14:val="tx1"/>
            </w14:solidFill>
          </w14:textFill>
        </w:rPr>
        <w:t>的回收成本</w:t>
      </w:r>
      <w:r>
        <w:rPr>
          <w:rFonts w:hint="eastAsia" w:ascii="宋体" w:hAnsi="宋体" w:cs="宋体"/>
          <w:color w:val="000000" w:themeColor="text1"/>
          <w:sz w:val="24"/>
          <w14:textFill>
            <w14:solidFill>
              <w14:schemeClr w14:val="tx1"/>
            </w14:solidFill>
          </w14:textFill>
        </w:rPr>
        <w:t>。</w:t>
      </w:r>
    </w:p>
    <w:p w14:paraId="28AE5D4B">
      <w:pPr>
        <w:spacing w:line="360" w:lineRule="auto"/>
        <w:ind w:firstLine="480" w:firstLineChars="200"/>
        <w:rPr>
          <w:rFonts w:hint="eastAsia" w:ascii="宋体" w:hAnsi="宋体" w:cs="宋体"/>
          <w:kern w:val="0"/>
          <w:sz w:val="24"/>
          <w:lang w:eastAsia="zh-CN" w:bidi="ar"/>
        </w:rPr>
      </w:pPr>
      <w:r>
        <w:rPr>
          <w:rFonts w:hint="eastAsia" w:ascii="宋体" w:hAnsi="宋体" w:cs="宋体"/>
          <w:kern w:val="0"/>
          <w:sz w:val="24"/>
          <w:lang w:bidi="ar"/>
        </w:rPr>
        <w:t>考量内容：</w:t>
      </w:r>
      <w:r>
        <w:rPr>
          <w:rFonts w:hint="eastAsia" w:ascii="宋体" w:hAnsi="宋体" w:cs="宋体"/>
          <w:kern w:val="0"/>
          <w:sz w:val="24"/>
          <w:lang w:eastAsia="zh-CN" w:bidi="ar"/>
        </w:rPr>
        <w:t>固废资源和余料等资源化利用产生的经济价值。</w:t>
      </w:r>
    </w:p>
    <w:p w14:paraId="60CE215F">
      <w:pPr>
        <w:snapToGrid w:val="0"/>
        <w:spacing w:beforeLines="0" w:afterLines="0" w:line="360" w:lineRule="auto"/>
        <w:ind w:firstLine="0" w:firstLineChars="0"/>
        <w:outlineLvl w:val="9"/>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A</w:t>
      </w:r>
      <w:r>
        <w:rPr>
          <w:rFonts w:hint="eastAsia" w:ascii="宋体" w:hAnsi="宋体" w:eastAsia="宋体" w:cs="宋体"/>
          <w:sz w:val="24"/>
        </w:rPr>
        <w:t>.0.</w:t>
      </w:r>
      <w:r>
        <w:rPr>
          <w:rFonts w:hint="eastAsia" w:ascii="宋体" w:hAnsi="宋体" w:eastAsia="宋体" w:cs="宋体"/>
          <w:sz w:val="24"/>
          <w:lang w:val="en-US" w:eastAsia="zh-CN"/>
        </w:rPr>
        <w:t xml:space="preserve">8 </w:t>
      </w:r>
      <w:r>
        <w:rPr>
          <w:rFonts w:hint="eastAsia" w:ascii="宋体" w:hAnsi="宋体" w:eastAsia="宋体" w:cs="宋体"/>
          <w:color w:val="000000" w:themeColor="text1"/>
          <w:sz w:val="24"/>
          <w:szCs w:val="24"/>
          <w14:textFill>
            <w14:solidFill>
              <w14:schemeClr w14:val="tx1"/>
            </w14:solidFill>
          </w14:textFill>
        </w:rPr>
        <w:t>节约的水资源价值</w:t>
      </w: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lang w:val="en-US" w:eastAsia="zh-CN"/>
          <w14:textFill>
            <w14:solidFill>
              <w14:schemeClr w14:val="tx1"/>
            </w14:solidFill>
          </w14:textFill>
        </w:rPr>
        <w:t>即以</w:t>
      </w:r>
      <w:r>
        <w:rPr>
          <w:rFonts w:hint="eastAsia" w:ascii="宋体" w:hAnsi="宋体" w:eastAsia="宋体" w:cs="宋体"/>
          <w:color w:val="000000" w:themeColor="text1"/>
          <w:sz w:val="24"/>
          <w:szCs w:val="24"/>
          <w14:textFill>
            <w14:solidFill>
              <w14:schemeClr w14:val="tx1"/>
            </w14:solidFill>
          </w14:textFill>
        </w:rPr>
        <w:t>非传统水源利用量乘以水资源费减去非传统水源使用前的处理成本作为价值量的评价指标。</w:t>
      </w:r>
    </w:p>
    <w:p w14:paraId="311D7716">
      <w:pPr>
        <w:snapToGrid w:val="0"/>
        <w:spacing w:line="360" w:lineRule="auto"/>
        <w:rPr>
          <w:rFonts w:ascii="宋体" w:hAnsi="宋体" w:cs="宋体"/>
          <w:color w:val="000000" w:themeColor="text1"/>
          <w:sz w:val="24"/>
          <w14:textFill>
            <w14:solidFill>
              <w14:schemeClr w14:val="tx1"/>
            </w14:solidFill>
          </w14:textFill>
        </w:rPr>
      </w:pPr>
      <m:oMathPara>
        <m:oMath>
          <m:sSub>
            <m:sSubPr>
              <m:ctrlPr>
                <w:rPr>
                  <w:rFonts w:hint="eastAsia" w:ascii="Cambria Math" w:hAnsi="Cambria Math" w:cs="宋体"/>
                  <w:color w:val="000000" w:themeColor="text1"/>
                  <w:sz w:val="24"/>
                  <w14:textFill>
                    <w14:solidFill>
                      <w14:schemeClr w14:val="tx1"/>
                    </w14:solidFill>
                  </w14:textFill>
                </w:rPr>
              </m:ctrlPr>
            </m:sSubPr>
            <m:e>
              <m:r>
                <m:rPr/>
                <w:rPr>
                  <w:rFonts w:hint="eastAsia" w:ascii="Cambria Math" w:hAnsi="Cambria Math" w:cs="宋体"/>
                  <w:color w:val="000000" w:themeColor="text1"/>
                  <w:sz w:val="24"/>
                  <w14:textFill>
                    <w14:solidFill>
                      <w14:schemeClr w14:val="tx1"/>
                    </w14:solidFill>
                  </w14:textFill>
                </w:rPr>
                <m:t>W</m:t>
              </m:r>
              <m:ctrlPr>
                <w:rPr>
                  <w:rFonts w:hint="eastAsia" w:ascii="Cambria Math" w:hAnsi="Cambria Math" w:cs="宋体"/>
                  <w:color w:val="000000" w:themeColor="text1"/>
                  <w:sz w:val="24"/>
                  <w14:textFill>
                    <w14:solidFill>
                      <w14:schemeClr w14:val="tx1"/>
                    </w14:solidFill>
                  </w14:textFill>
                </w:rPr>
              </m:ctrlPr>
            </m:e>
            <m:sub>
              <m:r>
                <m:rPr/>
                <w:rPr>
                  <w:rFonts w:hint="eastAsia" w:ascii="Cambria Math" w:hAnsi="Cambria Math" w:cs="宋体"/>
                  <w:color w:val="000000" w:themeColor="text1"/>
                  <w:sz w:val="24"/>
                  <w14:textFill>
                    <w14:solidFill>
                      <w14:schemeClr w14:val="tx1"/>
                    </w14:solidFill>
                  </w14:textFill>
                </w:rPr>
                <m:t>nt</m:t>
              </m:r>
              <m:ctrlPr>
                <w:rPr>
                  <w:rFonts w:hint="eastAsia" w:ascii="Cambria Math" w:hAnsi="Cambria Math" w:cs="宋体"/>
                  <w:color w:val="000000" w:themeColor="text1"/>
                  <w:sz w:val="24"/>
                  <w14:textFill>
                    <w14:solidFill>
                      <w14:schemeClr w14:val="tx1"/>
                    </w14:solidFill>
                  </w14:textFill>
                </w:rPr>
              </m:ctrlPr>
            </m:sub>
          </m:sSub>
          <m:r>
            <m:rPr>
              <m:sty m:val="p"/>
            </m:rPr>
            <w:rPr>
              <w:rFonts w:hint="eastAsia" w:ascii="Cambria Math" w:hAnsi="Cambria Math" w:cs="宋体"/>
              <w:color w:val="000000" w:themeColor="text1"/>
              <w:sz w:val="24"/>
              <w14:textFill>
                <w14:solidFill>
                  <w14:schemeClr w14:val="tx1"/>
                </w14:solidFill>
              </w14:textFill>
            </w:rPr>
            <m:t>=</m:t>
          </m:r>
          <m:nary>
            <m:naryPr>
              <m:chr m:val="∑"/>
              <m:limLoc m:val="undOvr"/>
              <m:ctrlPr>
                <w:rPr>
                  <w:rFonts w:hint="eastAsia" w:ascii="Cambria Math" w:hAnsi="Cambria Math" w:cs="宋体"/>
                  <w:color w:val="000000" w:themeColor="text1"/>
                  <w:sz w:val="24"/>
                  <w14:textFill>
                    <w14:solidFill>
                      <w14:schemeClr w14:val="tx1"/>
                    </w14:solidFill>
                  </w14:textFill>
                </w:rPr>
              </m:ctrlPr>
            </m:naryPr>
            <m:sub>
              <m:r>
                <m:rPr/>
                <w:rPr>
                  <w:rFonts w:hint="eastAsia" w:ascii="Cambria Math" w:hAnsi="Cambria Math" w:cs="宋体"/>
                  <w:color w:val="000000" w:themeColor="text1"/>
                  <w:sz w:val="24"/>
                  <w14:textFill>
                    <w14:solidFill>
                      <w14:schemeClr w14:val="tx1"/>
                    </w14:solidFill>
                  </w14:textFill>
                </w:rPr>
                <m:t>i</m:t>
              </m:r>
              <m:ctrlPr>
                <w:rPr>
                  <w:rFonts w:hint="eastAsia" w:ascii="Cambria Math" w:hAnsi="Cambria Math" w:cs="宋体"/>
                  <w:color w:val="000000" w:themeColor="text1"/>
                  <w:sz w:val="24"/>
                  <w14:textFill>
                    <w14:solidFill>
                      <w14:schemeClr w14:val="tx1"/>
                    </w14:solidFill>
                  </w14:textFill>
                </w:rPr>
              </m:ctrlPr>
            </m:sub>
            <m:sup>
              <m:r>
                <m:rPr/>
                <w:rPr>
                  <w:rFonts w:hint="eastAsia" w:ascii="Cambria Math" w:hAnsi="Cambria Math" w:cs="宋体"/>
                  <w:color w:val="000000" w:themeColor="text1"/>
                  <w:sz w:val="24"/>
                  <w14:textFill>
                    <w14:solidFill>
                      <w14:schemeClr w14:val="tx1"/>
                    </w14:solidFill>
                  </w14:textFill>
                </w:rPr>
                <m:t>n</m:t>
              </m:r>
              <m:ctrlPr>
                <w:rPr>
                  <w:rFonts w:hint="eastAsia" w:ascii="Cambria Math" w:hAnsi="Cambria Math" w:cs="宋体"/>
                  <w:color w:val="000000" w:themeColor="text1"/>
                  <w:sz w:val="24"/>
                  <w14:textFill>
                    <w14:solidFill>
                      <w14:schemeClr w14:val="tx1"/>
                    </w14:solidFill>
                  </w14:textFill>
                </w:rPr>
              </m:ctrlPr>
            </m:sup>
            <m:e>
              <m:sSub>
                <m:sSubPr>
                  <m:ctrlPr>
                    <w:rPr>
                      <w:rFonts w:hint="eastAsia" w:ascii="Cambria Math" w:hAnsi="Cambria Math" w:cs="宋体"/>
                      <w:color w:val="000000" w:themeColor="text1"/>
                      <w:sz w:val="24"/>
                      <w14:textFill>
                        <w14:solidFill>
                          <w14:schemeClr w14:val="tx1"/>
                        </w14:solidFill>
                      </w14:textFill>
                    </w:rPr>
                  </m:ctrlPr>
                </m:sSubPr>
                <m:e>
                  <m:r>
                    <m:rPr/>
                    <w:rPr>
                      <w:rFonts w:hint="eastAsia" w:ascii="Cambria Math" w:hAnsi="Cambria Math" w:cs="宋体"/>
                      <w:color w:val="000000" w:themeColor="text1"/>
                      <w:sz w:val="24"/>
                      <w14:textFill>
                        <w14:solidFill>
                          <w14:schemeClr w14:val="tx1"/>
                        </w14:solidFill>
                      </w14:textFill>
                    </w:rPr>
                    <m:t>W</m:t>
                  </m:r>
                  <m:ctrlPr>
                    <w:rPr>
                      <w:rFonts w:hint="eastAsia" w:ascii="Cambria Math" w:hAnsi="Cambria Math" w:cs="宋体"/>
                      <w:color w:val="000000" w:themeColor="text1"/>
                      <w:sz w:val="24"/>
                      <w14:textFill>
                        <w14:solidFill>
                          <w14:schemeClr w14:val="tx1"/>
                        </w14:solidFill>
                      </w14:textFill>
                    </w:rPr>
                  </m:ctrlPr>
                </m:e>
                <m:sub>
                  <m:r>
                    <m:rPr/>
                    <w:rPr>
                      <w:rFonts w:hint="eastAsia" w:ascii="Cambria Math" w:hAnsi="Cambria Math" w:cs="宋体"/>
                      <w:color w:val="000000" w:themeColor="text1"/>
                      <w:sz w:val="24"/>
                      <w14:textFill>
                        <w14:solidFill>
                          <w14:schemeClr w14:val="tx1"/>
                        </w14:solidFill>
                      </w14:textFill>
                    </w:rPr>
                    <m:t>nti</m:t>
                  </m:r>
                  <m:ctrlPr>
                    <w:rPr>
                      <w:rFonts w:hint="eastAsia" w:ascii="Cambria Math" w:hAnsi="Cambria Math" w:cs="宋体"/>
                      <w:color w:val="000000" w:themeColor="text1"/>
                      <w:sz w:val="24"/>
                      <w14:textFill>
                        <w14:solidFill>
                          <w14:schemeClr w14:val="tx1"/>
                        </w14:solidFill>
                      </w14:textFill>
                    </w:rPr>
                  </m:ctrlPr>
                </m:sub>
              </m:sSub>
              <m:ctrlPr>
                <w:rPr>
                  <w:rFonts w:hint="eastAsia" w:ascii="Cambria Math" w:hAnsi="Cambria Math" w:cs="宋体"/>
                  <w:color w:val="000000" w:themeColor="text1"/>
                  <w:sz w:val="24"/>
                  <w14:textFill>
                    <w14:solidFill>
                      <w14:schemeClr w14:val="tx1"/>
                    </w14:solidFill>
                  </w14:textFill>
                </w:rPr>
              </m:ctrlPr>
            </m:e>
          </m:nary>
        </m:oMath>
      </m:oMathPara>
    </w:p>
    <w:p w14:paraId="546D0170">
      <w:pPr>
        <w:snapToGrid w:val="0"/>
        <w:spacing w:line="360" w:lineRule="auto"/>
        <w:rPr>
          <w:rFonts w:ascii="宋体" w:hAnsi="宋体" w:cs="宋体"/>
          <w:color w:val="000000" w:themeColor="text1"/>
          <w:sz w:val="24"/>
          <w14:textFill>
            <w14:solidFill>
              <w14:schemeClr w14:val="tx1"/>
            </w14:solidFill>
          </w14:textFill>
        </w:rPr>
      </w:pPr>
      <m:oMathPara>
        <m:oMath>
          <m:sSub>
            <m:sSubPr>
              <m:ctrlPr>
                <w:rPr>
                  <w:rFonts w:hint="eastAsia" w:ascii="Cambria Math" w:hAnsi="Cambria Math" w:cs="宋体"/>
                  <w:color w:val="000000" w:themeColor="text1"/>
                  <w:sz w:val="24"/>
                  <w14:textFill>
                    <w14:solidFill>
                      <w14:schemeClr w14:val="tx1"/>
                    </w14:solidFill>
                  </w14:textFill>
                </w:rPr>
              </m:ctrlPr>
            </m:sSubPr>
            <m:e>
              <m:r>
                <m:rPr/>
                <w:rPr>
                  <w:rFonts w:hint="eastAsia" w:ascii="Cambria Math" w:hAnsi="Cambria Math" w:cs="宋体"/>
                  <w:color w:val="000000" w:themeColor="text1"/>
                  <w:sz w:val="24"/>
                  <w14:textFill>
                    <w14:solidFill>
                      <w14:schemeClr w14:val="tx1"/>
                    </w14:solidFill>
                  </w14:textFill>
                </w:rPr>
                <m:t>V</m:t>
              </m:r>
              <m:ctrlPr>
                <w:rPr>
                  <w:rFonts w:hint="eastAsia" w:ascii="Cambria Math" w:hAnsi="Cambria Math" w:cs="宋体"/>
                  <w:color w:val="000000" w:themeColor="text1"/>
                  <w:sz w:val="24"/>
                  <w14:textFill>
                    <w14:solidFill>
                      <w14:schemeClr w14:val="tx1"/>
                    </w14:solidFill>
                  </w14:textFill>
                </w:rPr>
              </m:ctrlPr>
            </m:e>
            <m:sub>
              <m:r>
                <m:rPr/>
                <w:rPr>
                  <w:rFonts w:hint="eastAsia" w:ascii="Cambria Math" w:hAnsi="Cambria Math" w:cs="宋体"/>
                  <w:color w:val="000000" w:themeColor="text1"/>
                  <w:sz w:val="24"/>
                  <w14:textFill>
                    <w14:solidFill>
                      <w14:schemeClr w14:val="tx1"/>
                    </w14:solidFill>
                  </w14:textFill>
                </w:rPr>
                <m:t>w</m:t>
              </m:r>
              <m:ctrlPr>
                <w:rPr>
                  <w:rFonts w:hint="eastAsia" w:ascii="Cambria Math" w:hAnsi="Cambria Math" w:cs="宋体"/>
                  <w:color w:val="000000" w:themeColor="text1"/>
                  <w:sz w:val="24"/>
                  <w14:textFill>
                    <w14:solidFill>
                      <w14:schemeClr w14:val="tx1"/>
                    </w14:solidFill>
                  </w14:textFill>
                </w:rPr>
              </m:ctrlPr>
            </m:sub>
          </m:sSub>
          <m:r>
            <m:rPr>
              <m:sty m:val="p"/>
            </m:rPr>
            <w:rPr>
              <w:rFonts w:hint="eastAsia" w:ascii="Cambria Math" w:hAnsi="Cambria Math" w:cs="宋体"/>
              <w:color w:val="000000" w:themeColor="text1"/>
              <w:sz w:val="24"/>
              <w14:textFill>
                <w14:solidFill>
                  <w14:schemeClr w14:val="tx1"/>
                </w14:solidFill>
              </w14:textFill>
            </w:rPr>
            <m:t>=</m:t>
          </m:r>
          <m:nary>
            <m:naryPr>
              <m:chr m:val="∑"/>
              <m:limLoc m:val="undOvr"/>
              <m:ctrlPr>
                <w:rPr>
                  <w:rFonts w:hint="eastAsia" w:ascii="Cambria Math" w:hAnsi="Cambria Math" w:cs="宋体"/>
                  <w:color w:val="000000" w:themeColor="text1"/>
                  <w:sz w:val="24"/>
                  <w14:textFill>
                    <w14:solidFill>
                      <w14:schemeClr w14:val="tx1"/>
                    </w14:solidFill>
                  </w14:textFill>
                </w:rPr>
              </m:ctrlPr>
            </m:naryPr>
            <m:sub>
              <m:r>
                <m:rPr/>
                <w:rPr>
                  <w:rFonts w:hint="eastAsia" w:ascii="Cambria Math" w:hAnsi="Cambria Math" w:cs="宋体"/>
                  <w:color w:val="000000" w:themeColor="text1"/>
                  <w:sz w:val="24"/>
                  <w14:textFill>
                    <w14:solidFill>
                      <w14:schemeClr w14:val="tx1"/>
                    </w14:solidFill>
                  </w14:textFill>
                </w:rPr>
                <m:t>i</m:t>
              </m:r>
              <m:ctrlPr>
                <w:rPr>
                  <w:rFonts w:hint="eastAsia" w:ascii="Cambria Math" w:hAnsi="Cambria Math" w:cs="宋体"/>
                  <w:color w:val="000000" w:themeColor="text1"/>
                  <w:sz w:val="24"/>
                  <w14:textFill>
                    <w14:solidFill>
                      <w14:schemeClr w14:val="tx1"/>
                    </w14:solidFill>
                  </w14:textFill>
                </w:rPr>
              </m:ctrlPr>
            </m:sub>
            <m:sup>
              <m:r>
                <m:rPr/>
                <w:rPr>
                  <w:rFonts w:hint="eastAsia" w:ascii="Cambria Math" w:hAnsi="Cambria Math" w:cs="宋体"/>
                  <w:color w:val="000000" w:themeColor="text1"/>
                  <w:sz w:val="24"/>
                  <w14:textFill>
                    <w14:solidFill>
                      <w14:schemeClr w14:val="tx1"/>
                    </w14:solidFill>
                  </w14:textFill>
                </w:rPr>
                <m:t>n</m:t>
              </m:r>
              <m:ctrlPr>
                <w:rPr>
                  <w:rFonts w:hint="eastAsia" w:ascii="Cambria Math" w:hAnsi="Cambria Math" w:cs="宋体"/>
                  <w:color w:val="000000" w:themeColor="text1"/>
                  <w:sz w:val="24"/>
                  <w14:textFill>
                    <w14:solidFill>
                      <w14:schemeClr w14:val="tx1"/>
                    </w14:solidFill>
                  </w14:textFill>
                </w:rPr>
              </m:ctrlPr>
            </m:sup>
            <m:e>
              <m:sSub>
                <m:sSubPr>
                  <m:ctrlPr>
                    <w:rPr>
                      <w:rFonts w:hint="eastAsia" w:ascii="Cambria Math" w:hAnsi="Cambria Math" w:cs="宋体"/>
                      <w:color w:val="000000" w:themeColor="text1"/>
                      <w:sz w:val="24"/>
                      <w14:textFill>
                        <w14:solidFill>
                          <w14:schemeClr w14:val="tx1"/>
                        </w14:solidFill>
                      </w14:textFill>
                    </w:rPr>
                  </m:ctrlPr>
                </m:sSubPr>
                <m:e>
                  <m:r>
                    <m:rPr/>
                    <w:rPr>
                      <w:rFonts w:hint="eastAsia" w:ascii="Cambria Math" w:hAnsi="Cambria Math" w:cs="宋体"/>
                      <w:color w:val="000000" w:themeColor="text1"/>
                      <w:sz w:val="24"/>
                      <w14:textFill>
                        <w14:solidFill>
                          <w14:schemeClr w14:val="tx1"/>
                        </w14:solidFill>
                      </w14:textFill>
                    </w:rPr>
                    <m:t>P</m:t>
                  </m:r>
                  <m:ctrlPr>
                    <w:rPr>
                      <w:rFonts w:hint="eastAsia" w:ascii="Cambria Math" w:hAnsi="Cambria Math" w:cs="宋体"/>
                      <w:color w:val="000000" w:themeColor="text1"/>
                      <w:sz w:val="24"/>
                      <w14:textFill>
                        <w14:solidFill>
                          <w14:schemeClr w14:val="tx1"/>
                        </w14:solidFill>
                      </w14:textFill>
                    </w:rPr>
                  </m:ctrlPr>
                </m:e>
                <m:sub>
                  <m:r>
                    <m:rPr/>
                    <w:rPr>
                      <w:rFonts w:hint="eastAsia" w:ascii="Cambria Math" w:hAnsi="Cambria Math" w:cs="宋体"/>
                      <w:color w:val="000000" w:themeColor="text1"/>
                      <w:sz w:val="24"/>
                      <w14:textFill>
                        <w14:solidFill>
                          <w14:schemeClr w14:val="tx1"/>
                        </w14:solidFill>
                      </w14:textFill>
                    </w:rPr>
                    <m:t>w</m:t>
                  </m:r>
                  <m:ctrlPr>
                    <w:rPr>
                      <w:rFonts w:hint="eastAsia" w:ascii="Cambria Math" w:hAnsi="Cambria Math" w:cs="宋体"/>
                      <w:color w:val="000000" w:themeColor="text1"/>
                      <w:sz w:val="24"/>
                      <w14:textFill>
                        <w14:solidFill>
                          <w14:schemeClr w14:val="tx1"/>
                        </w14:solidFill>
                      </w14:textFill>
                    </w:rPr>
                  </m:ctrlPr>
                </m:sub>
              </m:sSub>
              <m:ctrlPr>
                <w:rPr>
                  <w:rFonts w:hint="eastAsia" w:ascii="Cambria Math" w:hAnsi="Cambria Math" w:cs="宋体"/>
                  <w:color w:val="000000" w:themeColor="text1"/>
                  <w:sz w:val="24"/>
                  <w14:textFill>
                    <w14:solidFill>
                      <w14:schemeClr w14:val="tx1"/>
                    </w14:solidFill>
                  </w14:textFill>
                </w:rPr>
              </m:ctrlPr>
            </m:e>
          </m:nary>
          <m:r>
            <m:rPr>
              <m:sty m:val="p"/>
            </m:rPr>
            <w:rPr>
              <w:rFonts w:hint="eastAsia" w:ascii="Cambria Math" w:hAnsi="Cambria Math" w:cs="宋体"/>
              <w:color w:val="000000" w:themeColor="text1"/>
              <w:sz w:val="24"/>
              <w14:textFill>
                <w14:solidFill>
                  <w14:schemeClr w14:val="tx1"/>
                </w14:solidFill>
              </w14:textFill>
            </w:rPr>
            <m:t>×</m:t>
          </m:r>
          <m:sSub>
            <m:sSubPr>
              <m:ctrlPr>
                <w:rPr>
                  <w:rFonts w:hint="eastAsia" w:ascii="Cambria Math" w:hAnsi="Cambria Math" w:cs="宋体"/>
                  <w:color w:val="000000" w:themeColor="text1"/>
                  <w:sz w:val="24"/>
                  <w14:textFill>
                    <w14:solidFill>
                      <w14:schemeClr w14:val="tx1"/>
                    </w14:solidFill>
                  </w14:textFill>
                </w:rPr>
              </m:ctrlPr>
            </m:sSubPr>
            <m:e>
              <m:r>
                <m:rPr/>
                <w:rPr>
                  <w:rFonts w:hint="eastAsia" w:ascii="Cambria Math" w:hAnsi="Cambria Math" w:cs="宋体"/>
                  <w:color w:val="000000" w:themeColor="text1"/>
                  <w:sz w:val="24"/>
                  <w14:textFill>
                    <w14:solidFill>
                      <w14:schemeClr w14:val="tx1"/>
                    </w14:solidFill>
                  </w14:textFill>
                </w:rPr>
                <m:t>W</m:t>
              </m:r>
              <m:ctrlPr>
                <w:rPr>
                  <w:rFonts w:hint="eastAsia" w:ascii="Cambria Math" w:hAnsi="Cambria Math" w:cs="宋体"/>
                  <w:color w:val="000000" w:themeColor="text1"/>
                  <w:sz w:val="24"/>
                  <w14:textFill>
                    <w14:solidFill>
                      <w14:schemeClr w14:val="tx1"/>
                    </w14:solidFill>
                  </w14:textFill>
                </w:rPr>
              </m:ctrlPr>
            </m:e>
            <m:sub>
              <m:r>
                <m:rPr/>
                <w:rPr>
                  <w:rFonts w:hint="eastAsia" w:ascii="Cambria Math" w:hAnsi="Cambria Math" w:cs="宋体"/>
                  <w:color w:val="000000" w:themeColor="text1"/>
                  <w:sz w:val="24"/>
                  <w14:textFill>
                    <w14:solidFill>
                      <w14:schemeClr w14:val="tx1"/>
                    </w14:solidFill>
                  </w14:textFill>
                </w:rPr>
                <m:t>nti</m:t>
              </m:r>
              <m:ctrlPr>
                <w:rPr>
                  <w:rFonts w:hint="eastAsia" w:ascii="Cambria Math" w:hAnsi="Cambria Math" w:cs="宋体"/>
                  <w:color w:val="000000" w:themeColor="text1"/>
                  <w:sz w:val="24"/>
                  <w14:textFill>
                    <w14:solidFill>
                      <w14:schemeClr w14:val="tx1"/>
                    </w14:solidFill>
                  </w14:textFill>
                </w:rPr>
              </m:ctrlPr>
            </m:sub>
          </m:sSub>
          <m:r>
            <m:rPr>
              <m:sty m:val="p"/>
            </m:rPr>
            <w:rPr>
              <w:rFonts w:hint="eastAsia" w:ascii="微软雅黑" w:hAnsi="微软雅黑" w:eastAsia="微软雅黑" w:cs="微软雅黑"/>
              <w:color w:val="000000" w:themeColor="text1"/>
              <w:sz w:val="24"/>
              <w14:textFill>
                <w14:solidFill>
                  <w14:schemeClr w14:val="tx1"/>
                </w14:solidFill>
              </w14:textFill>
            </w:rPr>
            <m:t>−</m:t>
          </m:r>
          <m:sSub>
            <m:sSubPr>
              <m:ctrlPr>
                <w:rPr>
                  <w:rFonts w:hint="eastAsia" w:ascii="Cambria Math" w:hAnsi="Cambria Math" w:cs="宋体"/>
                  <w:color w:val="000000" w:themeColor="text1"/>
                  <w:sz w:val="24"/>
                  <w14:textFill>
                    <w14:solidFill>
                      <w14:schemeClr w14:val="tx1"/>
                    </w14:solidFill>
                  </w14:textFill>
                </w:rPr>
              </m:ctrlPr>
            </m:sSubPr>
            <m:e>
              <m:r>
                <m:rPr/>
                <w:rPr>
                  <w:rFonts w:hint="eastAsia" w:ascii="Cambria Math" w:hAnsi="Cambria Math" w:cs="宋体"/>
                  <w:color w:val="000000" w:themeColor="text1"/>
                  <w:sz w:val="24"/>
                  <w14:textFill>
                    <w14:solidFill>
                      <w14:schemeClr w14:val="tx1"/>
                    </w14:solidFill>
                  </w14:textFill>
                </w:rPr>
                <m:t>C</m:t>
              </m:r>
              <m:ctrlPr>
                <w:rPr>
                  <w:rFonts w:hint="eastAsia" w:ascii="Cambria Math" w:hAnsi="Cambria Math" w:cs="宋体"/>
                  <w:color w:val="000000" w:themeColor="text1"/>
                  <w:sz w:val="24"/>
                  <w14:textFill>
                    <w14:solidFill>
                      <w14:schemeClr w14:val="tx1"/>
                    </w14:solidFill>
                  </w14:textFill>
                </w:rPr>
              </m:ctrlPr>
            </m:e>
            <m:sub>
              <m:r>
                <m:rPr/>
                <w:rPr>
                  <w:rFonts w:hint="eastAsia" w:ascii="Cambria Math" w:hAnsi="Cambria Math" w:cs="宋体"/>
                  <w:color w:val="000000" w:themeColor="text1"/>
                  <w:sz w:val="24"/>
                  <w14:textFill>
                    <w14:solidFill>
                      <w14:schemeClr w14:val="tx1"/>
                    </w14:solidFill>
                  </w14:textFill>
                </w:rPr>
                <m:t>nti</m:t>
              </m:r>
              <m:ctrlPr>
                <w:rPr>
                  <w:rFonts w:hint="eastAsia" w:ascii="Cambria Math" w:hAnsi="Cambria Math" w:cs="宋体"/>
                  <w:color w:val="000000" w:themeColor="text1"/>
                  <w:sz w:val="24"/>
                  <w14:textFill>
                    <w14:solidFill>
                      <w14:schemeClr w14:val="tx1"/>
                    </w14:solidFill>
                  </w14:textFill>
                </w:rPr>
              </m:ctrlPr>
            </m:sub>
          </m:sSub>
        </m:oMath>
      </m:oMathPara>
    </w:p>
    <w:p w14:paraId="4DCFB018">
      <w:pPr>
        <w:snapToGrid w:val="0"/>
        <w:spacing w:line="360" w:lineRule="auto"/>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式中</w:t>
      </w:r>
      <w:r>
        <w:rPr>
          <w:rFonts w:hint="eastAsia" w:ascii="宋体" w:hAnsi="宋体" w:cs="宋体"/>
          <w:i/>
          <w:color w:val="000000" w:themeColor="text1"/>
          <w:sz w:val="24"/>
          <w14:textFill>
            <w14:solidFill>
              <w14:schemeClr w14:val="tx1"/>
            </w14:solidFill>
          </w14:textFill>
        </w:rPr>
        <w:t>W</w:t>
      </w:r>
      <w:r>
        <w:rPr>
          <w:rFonts w:hint="eastAsia" w:ascii="宋体" w:hAnsi="宋体" w:cs="宋体"/>
          <w:color w:val="000000" w:themeColor="text1"/>
          <w:sz w:val="24"/>
          <w:vertAlign w:val="subscript"/>
          <w14:textFill>
            <w14:solidFill>
              <w14:schemeClr w14:val="tx1"/>
            </w14:solidFill>
          </w14:textFill>
        </w:rPr>
        <w:t>nt</w:t>
      </w:r>
      <w:r>
        <w:rPr>
          <w:rFonts w:hint="eastAsia" w:ascii="宋体" w:hAnsi="宋体" w:cs="宋体"/>
          <w:color w:val="000000" w:themeColor="text1"/>
          <w:sz w:val="24"/>
          <w14:textFill>
            <w14:solidFill>
              <w14:schemeClr w14:val="tx1"/>
            </w14:solidFill>
          </w14:textFill>
        </w:rPr>
        <w:t>为利用的非传统水资源总量，</w:t>
      </w:r>
      <w:r>
        <w:rPr>
          <w:rFonts w:hint="eastAsia" w:ascii="宋体" w:hAnsi="宋体" w:cs="宋体"/>
          <w:i/>
          <w:color w:val="000000" w:themeColor="text1"/>
          <w:sz w:val="24"/>
          <w14:textFill>
            <w14:solidFill>
              <w14:schemeClr w14:val="tx1"/>
            </w14:solidFill>
          </w14:textFill>
        </w:rPr>
        <w:t>i</w:t>
      </w:r>
      <w:r>
        <w:rPr>
          <w:rFonts w:hint="eastAsia" w:ascii="宋体" w:hAnsi="宋体" w:cs="宋体"/>
          <w:color w:val="000000" w:themeColor="text1"/>
          <w:sz w:val="24"/>
          <w14:textFill>
            <w14:solidFill>
              <w14:schemeClr w14:val="tx1"/>
            </w14:solidFill>
          </w14:textFill>
        </w:rPr>
        <w:t>为利用的非传统水源种类，</w:t>
      </w:r>
      <w:r>
        <w:rPr>
          <w:rFonts w:hint="eastAsia" w:ascii="宋体" w:hAnsi="宋体" w:cs="宋体"/>
          <w:i/>
          <w:color w:val="000000" w:themeColor="text1"/>
          <w:sz w:val="24"/>
          <w14:textFill>
            <w14:solidFill>
              <w14:schemeClr w14:val="tx1"/>
            </w14:solidFill>
          </w14:textFill>
        </w:rPr>
        <w:t>i</w:t>
      </w:r>
      <w:r>
        <w:rPr>
          <w:rFonts w:hint="eastAsia" w:ascii="宋体" w:hAnsi="宋体" w:cs="宋体"/>
          <w:color w:val="000000" w:themeColor="text1"/>
          <w:sz w:val="24"/>
          <w14:textFill>
            <w14:solidFill>
              <w14:schemeClr w14:val="tx1"/>
            </w14:solidFill>
          </w14:textFill>
        </w:rPr>
        <w:t>=1，2，……，</w:t>
      </w:r>
      <w:r>
        <w:rPr>
          <w:rFonts w:hint="eastAsia" w:ascii="宋体" w:hAnsi="宋体" w:cs="宋体"/>
          <w:i/>
          <w:color w:val="000000" w:themeColor="text1"/>
          <w:sz w:val="24"/>
          <w14:textFill>
            <w14:solidFill>
              <w14:schemeClr w14:val="tx1"/>
            </w14:solidFill>
          </w14:textFill>
        </w:rPr>
        <w:t>n</w:t>
      </w:r>
      <w:r>
        <w:rPr>
          <w:rFonts w:hint="eastAsia" w:ascii="宋体" w:hAnsi="宋体" w:cs="宋体"/>
          <w:color w:val="000000" w:themeColor="text1"/>
          <w:sz w:val="24"/>
          <w14:textFill>
            <w14:solidFill>
              <w14:schemeClr w14:val="tx1"/>
            </w14:solidFill>
          </w14:textFill>
        </w:rPr>
        <w:t>，</w:t>
      </w:r>
      <w:r>
        <w:rPr>
          <w:rFonts w:hint="eastAsia" w:ascii="宋体" w:hAnsi="宋体" w:cs="宋体"/>
          <w:i/>
          <w:color w:val="000000" w:themeColor="text1"/>
          <w:sz w:val="24"/>
          <w14:textFill>
            <w14:solidFill>
              <w14:schemeClr w14:val="tx1"/>
            </w14:solidFill>
          </w14:textFill>
        </w:rPr>
        <w:t>W</w:t>
      </w:r>
      <w:r>
        <w:rPr>
          <w:rFonts w:hint="eastAsia" w:ascii="宋体" w:hAnsi="宋体" w:cs="宋体"/>
          <w:i/>
          <w:color w:val="000000" w:themeColor="text1"/>
          <w:sz w:val="24"/>
          <w:vertAlign w:val="subscript"/>
          <w14:textFill>
            <w14:solidFill>
              <w14:schemeClr w14:val="tx1"/>
            </w14:solidFill>
          </w14:textFill>
        </w:rPr>
        <w:t>nt</w:t>
      </w:r>
      <w:r>
        <w:rPr>
          <w:rFonts w:hint="eastAsia" w:ascii="宋体" w:hAnsi="宋体" w:cs="宋体"/>
          <w:color w:val="000000" w:themeColor="text1"/>
          <w:sz w:val="24"/>
          <w:vertAlign w:val="subscript"/>
          <w14:textFill>
            <w14:solidFill>
              <w14:schemeClr w14:val="tx1"/>
            </w14:solidFill>
          </w14:textFill>
        </w:rPr>
        <w:t>i</w:t>
      </w:r>
      <w:r>
        <w:rPr>
          <w:rFonts w:hint="eastAsia" w:ascii="宋体" w:hAnsi="宋体" w:cs="宋体"/>
          <w:color w:val="000000" w:themeColor="text1"/>
          <w:sz w:val="24"/>
          <w14:textFill>
            <w14:solidFill>
              <w14:schemeClr w14:val="tx1"/>
            </w14:solidFill>
          </w14:textFill>
        </w:rPr>
        <w:t>为第</w:t>
      </w:r>
      <w:r>
        <w:rPr>
          <w:rFonts w:hint="eastAsia" w:ascii="宋体" w:hAnsi="宋体" w:cs="宋体"/>
          <w:i/>
          <w:color w:val="000000" w:themeColor="text1"/>
          <w:sz w:val="24"/>
          <w14:textFill>
            <w14:solidFill>
              <w14:schemeClr w14:val="tx1"/>
            </w14:solidFill>
          </w14:textFill>
        </w:rPr>
        <w:t>i</w:t>
      </w:r>
      <w:r>
        <w:rPr>
          <w:rFonts w:hint="eastAsia" w:ascii="宋体" w:hAnsi="宋体" w:cs="宋体"/>
          <w:color w:val="000000" w:themeColor="text1"/>
          <w:sz w:val="24"/>
          <w14:textFill>
            <w14:solidFill>
              <w14:schemeClr w14:val="tx1"/>
            </w14:solidFill>
          </w14:textFill>
        </w:rPr>
        <w:t>种非传统水资源总量，</w:t>
      </w:r>
      <w:r>
        <w:rPr>
          <w:rFonts w:hint="eastAsia" w:ascii="宋体" w:hAnsi="宋体" w:cs="宋体"/>
          <w:i/>
          <w:color w:val="000000" w:themeColor="text1"/>
          <w:sz w:val="24"/>
          <w14:textFill>
            <w14:solidFill>
              <w14:schemeClr w14:val="tx1"/>
            </w14:solidFill>
          </w14:textFill>
        </w:rPr>
        <w:t>P</w:t>
      </w:r>
      <w:r>
        <w:rPr>
          <w:rFonts w:hint="eastAsia" w:ascii="宋体" w:hAnsi="宋体" w:cs="宋体"/>
          <w:color w:val="000000" w:themeColor="text1"/>
          <w:sz w:val="24"/>
          <w:vertAlign w:val="subscript"/>
          <w14:textFill>
            <w14:solidFill>
              <w14:schemeClr w14:val="tx1"/>
            </w14:solidFill>
          </w14:textFill>
        </w:rPr>
        <w:t>w</w:t>
      </w:r>
      <w:r>
        <w:rPr>
          <w:rFonts w:hint="eastAsia" w:ascii="宋体" w:hAnsi="宋体" w:cs="宋体"/>
          <w:color w:val="000000" w:themeColor="text1"/>
          <w:sz w:val="24"/>
          <w14:textFill>
            <w14:solidFill>
              <w14:schemeClr w14:val="tx1"/>
            </w14:solidFill>
          </w14:textFill>
        </w:rPr>
        <w:t>为当地水资源费</w:t>
      </w:r>
      <w:r>
        <w:rPr>
          <w:rFonts w:hint="eastAsia" w:ascii="宋体" w:hAnsi="宋体" w:cs="宋体"/>
          <w:iCs/>
          <w:color w:val="000000" w:themeColor="text1"/>
          <w:sz w:val="24"/>
          <w14:textFill>
            <w14:solidFill>
              <w14:schemeClr w14:val="tx1"/>
            </w14:solidFill>
          </w14:textFill>
        </w:rPr>
        <w:t>，</w:t>
      </w:r>
      <w:r>
        <w:rPr>
          <w:rFonts w:hint="eastAsia" w:ascii="宋体" w:hAnsi="宋体" w:cs="宋体"/>
          <w:i/>
          <w:color w:val="000000" w:themeColor="text1"/>
          <w:sz w:val="24"/>
          <w14:textFill>
            <w14:solidFill>
              <w14:schemeClr w14:val="tx1"/>
            </w14:solidFill>
          </w14:textFill>
        </w:rPr>
        <w:t>C</w:t>
      </w:r>
      <w:r>
        <w:rPr>
          <w:rFonts w:hint="eastAsia" w:ascii="宋体" w:hAnsi="宋体" w:cs="宋体"/>
          <w:iCs/>
          <w:color w:val="000000" w:themeColor="text1"/>
          <w:sz w:val="24"/>
          <w:vertAlign w:val="subscript"/>
          <w14:textFill>
            <w14:solidFill>
              <w14:schemeClr w14:val="tx1"/>
            </w14:solidFill>
          </w14:textFill>
        </w:rPr>
        <w:t>ri</w:t>
      </w:r>
      <w:r>
        <w:rPr>
          <w:rFonts w:hint="eastAsia" w:ascii="宋体" w:hAnsi="宋体" w:cs="宋体"/>
          <w:iCs/>
          <w:color w:val="000000" w:themeColor="text1"/>
          <w:sz w:val="24"/>
          <w14:textFill>
            <w14:solidFill>
              <w14:schemeClr w14:val="tx1"/>
            </w14:solidFill>
          </w14:textFill>
        </w:rPr>
        <w:t>为</w:t>
      </w:r>
      <w:r>
        <w:rPr>
          <w:rFonts w:hint="eastAsia" w:ascii="宋体" w:hAnsi="宋体" w:cs="宋体"/>
          <w:color w:val="000000" w:themeColor="text1"/>
          <w:sz w:val="24"/>
          <w14:textFill>
            <w14:solidFill>
              <w14:schemeClr w14:val="tx1"/>
            </w14:solidFill>
          </w14:textFill>
        </w:rPr>
        <w:t>第</w:t>
      </w:r>
      <w:r>
        <w:rPr>
          <w:rFonts w:hint="eastAsia" w:ascii="宋体" w:hAnsi="宋体" w:cs="宋体"/>
          <w:i/>
          <w:color w:val="000000" w:themeColor="text1"/>
          <w:sz w:val="24"/>
          <w14:textFill>
            <w14:solidFill>
              <w14:schemeClr w14:val="tx1"/>
            </w14:solidFill>
          </w14:textFill>
        </w:rPr>
        <w:t>i</w:t>
      </w:r>
      <w:r>
        <w:rPr>
          <w:rFonts w:hint="eastAsia" w:ascii="宋体" w:hAnsi="宋体" w:cs="宋体"/>
          <w:iCs/>
          <w:color w:val="000000" w:themeColor="text1"/>
          <w:sz w:val="24"/>
          <w14:textFill>
            <w14:solidFill>
              <w14:schemeClr w14:val="tx1"/>
            </w14:solidFill>
          </w14:textFill>
        </w:rPr>
        <w:t>种非传统水源收集和制备的成本</w:t>
      </w:r>
      <w:r>
        <w:rPr>
          <w:rFonts w:hint="eastAsia" w:ascii="宋体" w:hAnsi="宋体" w:cs="宋体"/>
          <w:color w:val="000000" w:themeColor="text1"/>
          <w:sz w:val="24"/>
          <w14:textFill>
            <w14:solidFill>
              <w14:schemeClr w14:val="tx1"/>
            </w14:solidFill>
          </w14:textFill>
        </w:rPr>
        <w:t>。</w:t>
      </w:r>
    </w:p>
    <w:p w14:paraId="57CA387C">
      <w:pPr>
        <w:spacing w:line="360" w:lineRule="auto"/>
        <w:ind w:firstLine="480" w:firstLineChars="200"/>
        <w:rPr>
          <w:rFonts w:hint="eastAsia" w:ascii="宋体" w:hAnsi="宋体" w:cs="宋体" w:eastAsiaTheme="minorEastAsia"/>
          <w:kern w:val="0"/>
          <w:sz w:val="24"/>
          <w:lang w:val="en-US" w:eastAsia="zh-CN"/>
        </w:rPr>
      </w:pPr>
      <w:r>
        <w:rPr>
          <w:rFonts w:hint="eastAsia" w:ascii="宋体" w:hAnsi="宋体" w:cs="宋体"/>
          <w:kern w:val="0"/>
          <w:sz w:val="24"/>
          <w:lang w:bidi="ar"/>
        </w:rPr>
        <w:t>考量内容：</w:t>
      </w:r>
      <w:r>
        <w:rPr>
          <w:rFonts w:hint="eastAsia" w:ascii="宋体" w:hAnsi="宋体" w:cs="宋体"/>
          <w:color w:val="000000" w:themeColor="text1"/>
          <w:sz w:val="24"/>
          <w:lang w:bidi="ar"/>
          <w14:textFill>
            <w14:solidFill>
              <w14:schemeClr w14:val="tx1"/>
            </w14:solidFill>
          </w14:textFill>
        </w:rPr>
        <w:t>节约的水资源价值</w:t>
      </w:r>
      <w:r>
        <w:rPr>
          <w:rFonts w:hint="eastAsia" w:ascii="宋体" w:hAnsi="宋体" w:cs="宋体"/>
          <w:color w:val="000000" w:themeColor="text1"/>
          <w:sz w:val="24"/>
          <w:lang w:eastAsia="zh-CN" w:bidi="ar"/>
          <w14:textFill>
            <w14:solidFill>
              <w14:schemeClr w14:val="tx1"/>
            </w14:solidFill>
          </w14:textFill>
        </w:rPr>
        <w:t>。</w:t>
      </w:r>
    </w:p>
    <w:p w14:paraId="1583E83E">
      <w:pPr>
        <w:pStyle w:val="26"/>
        <w:numPr>
          <w:ilvl w:val="2"/>
          <w:numId w:val="0"/>
        </w:numPr>
        <w:snapToGrid w:val="0"/>
        <w:spacing w:beforeLines="0" w:afterLines="0" w:line="360" w:lineRule="auto"/>
        <w:ind w:firstLine="0" w:firstLineChars="0"/>
        <w:outlineLvl w:val="9"/>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A</w:t>
      </w:r>
      <w:r>
        <w:rPr>
          <w:rFonts w:hint="eastAsia" w:ascii="宋体" w:hAnsi="宋体" w:eastAsia="宋体" w:cs="宋体"/>
          <w:sz w:val="24"/>
        </w:rPr>
        <w:t>.0.</w:t>
      </w:r>
      <w:r>
        <w:rPr>
          <w:rFonts w:hint="eastAsia" w:ascii="宋体" w:hAnsi="宋体" w:eastAsia="宋体" w:cs="宋体"/>
          <w:sz w:val="24"/>
          <w:lang w:val="en-US" w:eastAsia="zh-CN"/>
        </w:rPr>
        <w:t xml:space="preserve">9 </w:t>
      </w:r>
      <w:r>
        <w:rPr>
          <w:rFonts w:hint="eastAsia" w:ascii="宋体" w:hAnsi="宋体" w:eastAsia="宋体" w:cs="宋体"/>
          <w:color w:val="000000" w:themeColor="text1"/>
          <w:sz w:val="24"/>
          <w:szCs w:val="24"/>
          <w14:textFill>
            <w14:solidFill>
              <w14:schemeClr w14:val="tx1"/>
            </w14:solidFill>
          </w14:textFill>
        </w:rPr>
        <w:t>环境污染保护防治节约价值，即项目施工建造过程中通过减少的有害废物而</w:t>
      </w:r>
      <w:r>
        <w:rPr>
          <w:rFonts w:hint="eastAsia" w:ascii="宋体" w:hAnsi="宋体" w:eastAsia="宋体" w:cs="宋体"/>
          <w:color w:val="000000" w:themeColor="text1"/>
          <w:sz w:val="24"/>
          <w:szCs w:val="24"/>
          <w:lang w:val="en-US" w:eastAsia="zh-CN"/>
          <w14:textFill>
            <w14:solidFill>
              <w14:schemeClr w14:val="tx1"/>
            </w14:solidFill>
          </w14:textFill>
        </w:rPr>
        <w:t>避免</w:t>
      </w:r>
      <w:r>
        <w:rPr>
          <w:rFonts w:hint="eastAsia" w:ascii="宋体" w:hAnsi="宋体" w:eastAsia="宋体" w:cs="宋体"/>
          <w:color w:val="000000" w:themeColor="text1"/>
          <w:sz w:val="24"/>
          <w:szCs w:val="24"/>
          <w14:textFill>
            <w14:solidFill>
              <w14:schemeClr w14:val="tx1"/>
            </w14:solidFill>
          </w14:textFill>
        </w:rPr>
        <w:t>产生的环境污染防治</w:t>
      </w:r>
      <w:r>
        <w:rPr>
          <w:rFonts w:hint="eastAsia" w:ascii="宋体" w:hAnsi="宋体" w:eastAsia="宋体" w:cs="宋体"/>
          <w:color w:val="000000" w:themeColor="text1"/>
          <w:sz w:val="24"/>
          <w:szCs w:val="24"/>
          <w:lang w:val="en-US" w:eastAsia="zh-CN"/>
          <w14:textFill>
            <w14:solidFill>
              <w14:schemeClr w14:val="tx1"/>
            </w14:solidFill>
          </w14:textFill>
        </w:rPr>
        <w:t>的</w:t>
      </w:r>
      <w:r>
        <w:rPr>
          <w:rFonts w:hint="eastAsia" w:ascii="宋体" w:hAnsi="宋体" w:eastAsia="宋体" w:cs="宋体"/>
          <w:color w:val="000000" w:themeColor="text1"/>
          <w:sz w:val="24"/>
          <w:szCs w:val="24"/>
          <w14:textFill>
            <w14:solidFill>
              <w14:schemeClr w14:val="tx1"/>
            </w14:solidFill>
          </w14:textFill>
        </w:rPr>
        <w:t>价值。减少的有害废物量作乘以有害废物无害化处理费减去现状有害废物无害化处理成本作为价值量的评价指标。</w:t>
      </w:r>
    </w:p>
    <w:p w14:paraId="081E8884">
      <w:pPr>
        <w:pStyle w:val="26"/>
        <w:numPr>
          <w:ilvl w:val="2"/>
          <w:numId w:val="0"/>
        </w:numPr>
        <w:snapToGrid w:val="0"/>
        <w:spacing w:beforeLines="0" w:afterLines="0" w:line="360" w:lineRule="auto"/>
        <w:outlineLvl w:val="9"/>
        <w:rPr>
          <w:rFonts w:ascii="宋体" w:hAnsi="宋体" w:cs="宋体"/>
          <w:color w:val="000000" w:themeColor="text1"/>
          <w:sz w:val="24"/>
          <w14:textFill>
            <w14:solidFill>
              <w14:schemeClr w14:val="tx1"/>
            </w14:solidFill>
          </w14:textFill>
        </w:rPr>
      </w:pPr>
      <m:oMathPara>
        <m:oMath>
          <m:sSub>
            <m:sSubPr>
              <m:ctrlPr>
                <w:rPr>
                  <w:rFonts w:hint="eastAsia" w:ascii="Cambria Math" w:hAnsi="Cambria Math" w:cs="宋体"/>
                  <w:color w:val="000000" w:themeColor="text1"/>
                  <w:sz w:val="24"/>
                  <w14:textFill>
                    <w14:solidFill>
                      <w14:schemeClr w14:val="tx1"/>
                    </w14:solidFill>
                  </w14:textFill>
                </w:rPr>
              </m:ctrlPr>
            </m:sSubPr>
            <m:e>
              <m:r>
                <m:rPr/>
                <w:rPr>
                  <w:rFonts w:hint="eastAsia" w:ascii="Cambria Math" w:hAnsi="Cambria Math" w:cs="宋体"/>
                  <w:color w:val="000000" w:themeColor="text1"/>
                  <w:sz w:val="24"/>
                  <w14:textFill>
                    <w14:solidFill>
                      <w14:schemeClr w14:val="tx1"/>
                    </w14:solidFill>
                  </w14:textFill>
                </w:rPr>
                <m:t>M</m:t>
              </m:r>
              <m:ctrlPr>
                <w:rPr>
                  <w:rFonts w:hint="eastAsia" w:ascii="Cambria Math" w:hAnsi="Cambria Math" w:cs="宋体"/>
                  <w:color w:val="000000" w:themeColor="text1"/>
                  <w:sz w:val="24"/>
                  <w14:textFill>
                    <w14:solidFill>
                      <w14:schemeClr w14:val="tx1"/>
                    </w14:solidFill>
                  </w14:textFill>
                </w:rPr>
              </m:ctrlPr>
            </m:e>
            <m:sub>
              <m:r>
                <m:rPr/>
                <w:rPr>
                  <w:rFonts w:hint="eastAsia" w:ascii="Cambria Math" w:hAnsi="Cambria Math" w:cs="宋体"/>
                  <w:color w:val="000000" w:themeColor="text1"/>
                  <w:sz w:val="24"/>
                  <w14:textFill>
                    <w14:solidFill>
                      <w14:schemeClr w14:val="tx1"/>
                    </w14:solidFill>
                  </w14:textFill>
                </w:rPr>
                <m:t>nt</m:t>
              </m:r>
              <m:ctrlPr>
                <w:rPr>
                  <w:rFonts w:hint="eastAsia" w:ascii="Cambria Math" w:hAnsi="Cambria Math" w:cs="宋体"/>
                  <w:color w:val="000000" w:themeColor="text1"/>
                  <w:sz w:val="24"/>
                  <w14:textFill>
                    <w14:solidFill>
                      <w14:schemeClr w14:val="tx1"/>
                    </w14:solidFill>
                  </w14:textFill>
                </w:rPr>
              </m:ctrlPr>
            </m:sub>
          </m:sSub>
          <m:r>
            <m:rPr>
              <m:sty m:val="p"/>
            </m:rPr>
            <w:rPr>
              <w:rFonts w:hint="eastAsia" w:ascii="Cambria Math" w:hAnsi="Cambria Math" w:cs="宋体"/>
              <w:color w:val="000000" w:themeColor="text1"/>
              <w:sz w:val="24"/>
              <w14:textFill>
                <w14:solidFill>
                  <w14:schemeClr w14:val="tx1"/>
                </w14:solidFill>
              </w14:textFill>
            </w:rPr>
            <m:t>=</m:t>
          </m:r>
          <m:nary>
            <m:naryPr>
              <m:chr m:val="∑"/>
              <m:limLoc m:val="undOvr"/>
              <m:ctrlPr>
                <w:rPr>
                  <w:rFonts w:hint="eastAsia" w:ascii="Cambria Math" w:hAnsi="Cambria Math" w:cs="宋体"/>
                  <w:color w:val="000000" w:themeColor="text1"/>
                  <w:sz w:val="24"/>
                  <w14:textFill>
                    <w14:solidFill>
                      <w14:schemeClr w14:val="tx1"/>
                    </w14:solidFill>
                  </w14:textFill>
                </w:rPr>
              </m:ctrlPr>
            </m:naryPr>
            <m:sub>
              <m:r>
                <m:rPr/>
                <w:rPr>
                  <w:rFonts w:hint="eastAsia" w:ascii="Cambria Math" w:hAnsi="Cambria Math" w:cs="宋体"/>
                  <w:color w:val="000000" w:themeColor="text1"/>
                  <w:sz w:val="24"/>
                  <w14:textFill>
                    <w14:solidFill>
                      <w14:schemeClr w14:val="tx1"/>
                    </w14:solidFill>
                  </w14:textFill>
                </w:rPr>
                <m:t>i</m:t>
              </m:r>
              <m:ctrlPr>
                <w:rPr>
                  <w:rFonts w:hint="eastAsia" w:ascii="Cambria Math" w:hAnsi="Cambria Math" w:cs="宋体"/>
                  <w:color w:val="000000" w:themeColor="text1"/>
                  <w:sz w:val="24"/>
                  <w14:textFill>
                    <w14:solidFill>
                      <w14:schemeClr w14:val="tx1"/>
                    </w14:solidFill>
                  </w14:textFill>
                </w:rPr>
              </m:ctrlPr>
            </m:sub>
            <m:sup>
              <m:r>
                <m:rPr/>
                <w:rPr>
                  <w:rFonts w:hint="eastAsia" w:ascii="Cambria Math" w:hAnsi="Cambria Math" w:cs="宋体"/>
                  <w:color w:val="000000" w:themeColor="text1"/>
                  <w:sz w:val="24"/>
                  <w14:textFill>
                    <w14:solidFill>
                      <w14:schemeClr w14:val="tx1"/>
                    </w14:solidFill>
                  </w14:textFill>
                </w:rPr>
                <m:t>n</m:t>
              </m:r>
              <m:ctrlPr>
                <w:rPr>
                  <w:rFonts w:hint="eastAsia" w:ascii="Cambria Math" w:hAnsi="Cambria Math" w:cs="宋体"/>
                  <w:color w:val="000000" w:themeColor="text1"/>
                  <w:sz w:val="24"/>
                  <w14:textFill>
                    <w14:solidFill>
                      <w14:schemeClr w14:val="tx1"/>
                    </w14:solidFill>
                  </w14:textFill>
                </w:rPr>
              </m:ctrlPr>
            </m:sup>
            <m:e>
              <m:sSub>
                <m:sSubPr>
                  <m:ctrlPr>
                    <w:rPr>
                      <w:rFonts w:hint="eastAsia" w:ascii="Cambria Math" w:hAnsi="Cambria Math" w:cs="宋体"/>
                      <w:color w:val="000000" w:themeColor="text1"/>
                      <w:sz w:val="24"/>
                      <w14:textFill>
                        <w14:solidFill>
                          <w14:schemeClr w14:val="tx1"/>
                        </w14:solidFill>
                      </w14:textFill>
                    </w:rPr>
                  </m:ctrlPr>
                </m:sSubPr>
                <m:e>
                  <m:r>
                    <m:rPr/>
                    <w:rPr>
                      <w:rFonts w:hint="eastAsia" w:ascii="Cambria Math" w:hAnsi="Cambria Math" w:cs="宋体"/>
                      <w:color w:val="000000" w:themeColor="text1"/>
                      <w:sz w:val="24"/>
                      <w14:textFill>
                        <w14:solidFill>
                          <w14:schemeClr w14:val="tx1"/>
                        </w14:solidFill>
                      </w14:textFill>
                    </w:rPr>
                    <m:t>M</m:t>
                  </m:r>
                  <m:ctrlPr>
                    <w:rPr>
                      <w:rFonts w:hint="eastAsia" w:ascii="Cambria Math" w:hAnsi="Cambria Math" w:cs="宋体"/>
                      <w:color w:val="000000" w:themeColor="text1"/>
                      <w:sz w:val="24"/>
                      <w14:textFill>
                        <w14:solidFill>
                          <w14:schemeClr w14:val="tx1"/>
                        </w14:solidFill>
                      </w14:textFill>
                    </w:rPr>
                  </m:ctrlPr>
                </m:e>
                <m:sub>
                  <m:r>
                    <m:rPr/>
                    <w:rPr>
                      <w:rFonts w:hint="eastAsia" w:ascii="Cambria Math" w:hAnsi="Cambria Math" w:cs="宋体"/>
                      <w:color w:val="000000" w:themeColor="text1"/>
                      <w:sz w:val="24"/>
                      <w14:textFill>
                        <w14:solidFill>
                          <w14:schemeClr w14:val="tx1"/>
                        </w14:solidFill>
                      </w14:textFill>
                    </w:rPr>
                    <m:t>nti</m:t>
                  </m:r>
                  <m:ctrlPr>
                    <w:rPr>
                      <w:rFonts w:hint="eastAsia" w:ascii="Cambria Math" w:hAnsi="Cambria Math" w:cs="宋体"/>
                      <w:color w:val="000000" w:themeColor="text1"/>
                      <w:sz w:val="24"/>
                      <w14:textFill>
                        <w14:solidFill>
                          <w14:schemeClr w14:val="tx1"/>
                        </w14:solidFill>
                      </w14:textFill>
                    </w:rPr>
                  </m:ctrlPr>
                </m:sub>
              </m:sSub>
              <m:ctrlPr>
                <w:rPr>
                  <w:rFonts w:hint="eastAsia" w:ascii="Cambria Math" w:hAnsi="Cambria Math" w:cs="宋体"/>
                  <w:color w:val="000000" w:themeColor="text1"/>
                  <w:sz w:val="24"/>
                  <w14:textFill>
                    <w14:solidFill>
                      <w14:schemeClr w14:val="tx1"/>
                    </w14:solidFill>
                  </w14:textFill>
                </w:rPr>
              </m:ctrlPr>
            </m:e>
          </m:nary>
        </m:oMath>
      </m:oMathPara>
    </w:p>
    <w:p w14:paraId="33B9C9C6">
      <w:pPr>
        <w:snapToGrid w:val="0"/>
        <w:spacing w:line="360" w:lineRule="auto"/>
        <w:rPr>
          <w:rFonts w:ascii="宋体" w:hAnsi="宋体" w:cs="宋体"/>
          <w:color w:val="000000" w:themeColor="text1"/>
          <w:sz w:val="24"/>
          <w14:textFill>
            <w14:solidFill>
              <w14:schemeClr w14:val="tx1"/>
            </w14:solidFill>
          </w14:textFill>
        </w:rPr>
      </w:pPr>
      <m:oMathPara>
        <m:oMath>
          <m:sSub>
            <m:sSubPr>
              <m:ctrlPr>
                <w:rPr>
                  <w:rFonts w:hint="eastAsia" w:ascii="Cambria Math" w:hAnsi="Cambria Math" w:cs="宋体"/>
                  <w:color w:val="000000" w:themeColor="text1"/>
                  <w:sz w:val="24"/>
                  <w14:textFill>
                    <w14:solidFill>
                      <w14:schemeClr w14:val="tx1"/>
                    </w14:solidFill>
                  </w14:textFill>
                </w:rPr>
              </m:ctrlPr>
            </m:sSubPr>
            <m:e>
              <m:r>
                <m:rPr/>
                <w:rPr>
                  <w:rFonts w:hint="eastAsia" w:ascii="Cambria Math" w:hAnsi="Cambria Math" w:cs="宋体"/>
                  <w:color w:val="000000" w:themeColor="text1"/>
                  <w:sz w:val="24"/>
                  <w14:textFill>
                    <w14:solidFill>
                      <w14:schemeClr w14:val="tx1"/>
                    </w14:solidFill>
                  </w14:textFill>
                </w:rPr>
                <m:t>V</m:t>
              </m:r>
              <m:ctrlPr>
                <w:rPr>
                  <w:rFonts w:hint="eastAsia" w:ascii="Cambria Math" w:hAnsi="Cambria Math" w:cs="宋体"/>
                  <w:color w:val="000000" w:themeColor="text1"/>
                  <w:sz w:val="24"/>
                  <w14:textFill>
                    <w14:solidFill>
                      <w14:schemeClr w14:val="tx1"/>
                    </w14:solidFill>
                  </w14:textFill>
                </w:rPr>
              </m:ctrlPr>
            </m:e>
            <m:sub>
              <m:r>
                <m:rPr/>
                <w:rPr>
                  <w:rFonts w:hint="eastAsia" w:ascii="Cambria Math" w:hAnsi="Cambria Math" w:cs="宋体"/>
                  <w:color w:val="000000" w:themeColor="text1"/>
                  <w:sz w:val="24"/>
                  <w14:textFill>
                    <w14:solidFill>
                      <w14:schemeClr w14:val="tx1"/>
                    </w14:solidFill>
                  </w14:textFill>
                </w:rPr>
                <m:t>m</m:t>
              </m:r>
              <m:ctrlPr>
                <w:rPr>
                  <w:rFonts w:hint="eastAsia" w:ascii="Cambria Math" w:hAnsi="Cambria Math" w:cs="宋体"/>
                  <w:color w:val="000000" w:themeColor="text1"/>
                  <w:sz w:val="24"/>
                  <w14:textFill>
                    <w14:solidFill>
                      <w14:schemeClr w14:val="tx1"/>
                    </w14:solidFill>
                  </w14:textFill>
                </w:rPr>
              </m:ctrlPr>
            </m:sub>
          </m:sSub>
          <m:r>
            <m:rPr>
              <m:sty m:val="p"/>
            </m:rPr>
            <w:rPr>
              <w:rFonts w:hint="eastAsia" w:ascii="Cambria Math" w:hAnsi="Cambria Math" w:cs="宋体"/>
              <w:color w:val="000000" w:themeColor="text1"/>
              <w:sz w:val="24"/>
              <w14:textFill>
                <w14:solidFill>
                  <w14:schemeClr w14:val="tx1"/>
                </w14:solidFill>
              </w14:textFill>
            </w:rPr>
            <m:t>=</m:t>
          </m:r>
          <m:nary>
            <m:naryPr>
              <m:chr m:val="∑"/>
              <m:limLoc m:val="undOvr"/>
              <m:ctrlPr>
                <w:rPr>
                  <w:rFonts w:hint="eastAsia" w:ascii="Cambria Math" w:hAnsi="Cambria Math" w:cs="宋体"/>
                  <w:color w:val="000000" w:themeColor="text1"/>
                  <w:sz w:val="24"/>
                  <w14:textFill>
                    <w14:solidFill>
                      <w14:schemeClr w14:val="tx1"/>
                    </w14:solidFill>
                  </w14:textFill>
                </w:rPr>
              </m:ctrlPr>
            </m:naryPr>
            <m:sub>
              <m:r>
                <m:rPr/>
                <w:rPr>
                  <w:rFonts w:hint="eastAsia" w:ascii="Cambria Math" w:hAnsi="Cambria Math" w:cs="宋体"/>
                  <w:color w:val="000000" w:themeColor="text1"/>
                  <w:sz w:val="24"/>
                  <w14:textFill>
                    <w14:solidFill>
                      <w14:schemeClr w14:val="tx1"/>
                    </w14:solidFill>
                  </w14:textFill>
                </w:rPr>
                <m:t>i</m:t>
              </m:r>
              <m:ctrlPr>
                <w:rPr>
                  <w:rFonts w:hint="eastAsia" w:ascii="Cambria Math" w:hAnsi="Cambria Math" w:cs="宋体"/>
                  <w:color w:val="000000" w:themeColor="text1"/>
                  <w:sz w:val="24"/>
                  <w14:textFill>
                    <w14:solidFill>
                      <w14:schemeClr w14:val="tx1"/>
                    </w14:solidFill>
                  </w14:textFill>
                </w:rPr>
              </m:ctrlPr>
            </m:sub>
            <m:sup>
              <m:r>
                <m:rPr/>
                <w:rPr>
                  <w:rFonts w:hint="eastAsia" w:ascii="Cambria Math" w:hAnsi="Cambria Math" w:cs="宋体"/>
                  <w:color w:val="000000" w:themeColor="text1"/>
                  <w:sz w:val="24"/>
                  <w14:textFill>
                    <w14:solidFill>
                      <w14:schemeClr w14:val="tx1"/>
                    </w14:solidFill>
                  </w14:textFill>
                </w:rPr>
                <m:t>n</m:t>
              </m:r>
              <m:ctrlPr>
                <w:rPr>
                  <w:rFonts w:hint="eastAsia" w:ascii="Cambria Math" w:hAnsi="Cambria Math" w:cs="宋体"/>
                  <w:color w:val="000000" w:themeColor="text1"/>
                  <w:sz w:val="24"/>
                  <w14:textFill>
                    <w14:solidFill>
                      <w14:schemeClr w14:val="tx1"/>
                    </w14:solidFill>
                  </w14:textFill>
                </w:rPr>
              </m:ctrlPr>
            </m:sup>
            <m:e>
              <m:sSub>
                <m:sSubPr>
                  <m:ctrlPr>
                    <w:rPr>
                      <w:rFonts w:hint="eastAsia" w:ascii="Cambria Math" w:hAnsi="Cambria Math" w:cs="宋体"/>
                      <w:color w:val="000000" w:themeColor="text1"/>
                      <w:sz w:val="24"/>
                      <w14:textFill>
                        <w14:solidFill>
                          <w14:schemeClr w14:val="tx1"/>
                        </w14:solidFill>
                      </w14:textFill>
                    </w:rPr>
                  </m:ctrlPr>
                </m:sSubPr>
                <m:e>
                  <m:r>
                    <m:rPr/>
                    <w:rPr>
                      <w:rFonts w:hint="eastAsia" w:ascii="Cambria Math" w:hAnsi="Cambria Math" w:cs="宋体"/>
                      <w:color w:val="000000" w:themeColor="text1"/>
                      <w:sz w:val="24"/>
                      <w14:textFill>
                        <w14:solidFill>
                          <w14:schemeClr w14:val="tx1"/>
                        </w14:solidFill>
                      </w14:textFill>
                    </w:rPr>
                    <m:t>P</m:t>
                  </m:r>
                  <m:ctrlPr>
                    <w:rPr>
                      <w:rFonts w:hint="eastAsia" w:ascii="Cambria Math" w:hAnsi="Cambria Math" w:cs="宋体"/>
                      <w:color w:val="000000" w:themeColor="text1"/>
                      <w:sz w:val="24"/>
                      <w14:textFill>
                        <w14:solidFill>
                          <w14:schemeClr w14:val="tx1"/>
                        </w14:solidFill>
                      </w14:textFill>
                    </w:rPr>
                  </m:ctrlPr>
                </m:e>
                <m:sub>
                  <m:r>
                    <m:rPr/>
                    <w:rPr>
                      <w:rFonts w:hint="eastAsia" w:ascii="Cambria Math" w:hAnsi="Cambria Math" w:cs="宋体"/>
                      <w:color w:val="000000" w:themeColor="text1"/>
                      <w:sz w:val="24"/>
                      <w14:textFill>
                        <w14:solidFill>
                          <w14:schemeClr w14:val="tx1"/>
                        </w14:solidFill>
                      </w14:textFill>
                    </w:rPr>
                    <m:t>m</m:t>
                  </m:r>
                  <m:ctrlPr>
                    <w:rPr>
                      <w:rFonts w:hint="eastAsia" w:ascii="Cambria Math" w:hAnsi="Cambria Math" w:cs="宋体"/>
                      <w:color w:val="000000" w:themeColor="text1"/>
                      <w:sz w:val="24"/>
                      <w14:textFill>
                        <w14:solidFill>
                          <w14:schemeClr w14:val="tx1"/>
                        </w14:solidFill>
                      </w14:textFill>
                    </w:rPr>
                  </m:ctrlPr>
                </m:sub>
              </m:sSub>
              <m:ctrlPr>
                <w:rPr>
                  <w:rFonts w:hint="eastAsia" w:ascii="Cambria Math" w:hAnsi="Cambria Math" w:cs="宋体"/>
                  <w:color w:val="000000" w:themeColor="text1"/>
                  <w:sz w:val="24"/>
                  <w14:textFill>
                    <w14:solidFill>
                      <w14:schemeClr w14:val="tx1"/>
                    </w14:solidFill>
                  </w14:textFill>
                </w:rPr>
              </m:ctrlPr>
            </m:e>
          </m:nary>
          <m:r>
            <m:rPr>
              <m:sty m:val="p"/>
            </m:rPr>
            <w:rPr>
              <w:rFonts w:hint="eastAsia" w:ascii="Cambria Math" w:hAnsi="Cambria Math" w:cs="宋体"/>
              <w:color w:val="000000" w:themeColor="text1"/>
              <w:sz w:val="24"/>
              <w14:textFill>
                <w14:solidFill>
                  <w14:schemeClr w14:val="tx1"/>
                </w14:solidFill>
              </w14:textFill>
            </w:rPr>
            <m:t>×</m:t>
          </m:r>
          <m:sSub>
            <m:sSubPr>
              <m:ctrlPr>
                <w:rPr>
                  <w:rFonts w:hint="eastAsia" w:ascii="Cambria Math" w:hAnsi="Cambria Math" w:cs="宋体"/>
                  <w:color w:val="000000" w:themeColor="text1"/>
                  <w:sz w:val="24"/>
                  <w14:textFill>
                    <w14:solidFill>
                      <w14:schemeClr w14:val="tx1"/>
                    </w14:solidFill>
                  </w14:textFill>
                </w:rPr>
              </m:ctrlPr>
            </m:sSubPr>
            <m:e>
              <m:r>
                <m:rPr/>
                <w:rPr>
                  <w:rFonts w:hint="eastAsia" w:ascii="Cambria Math" w:hAnsi="Cambria Math" w:cs="宋体"/>
                  <w:color w:val="000000" w:themeColor="text1"/>
                  <w:sz w:val="24"/>
                  <w14:textFill>
                    <w14:solidFill>
                      <w14:schemeClr w14:val="tx1"/>
                    </w14:solidFill>
                  </w14:textFill>
                </w:rPr>
                <m:t>M</m:t>
              </m:r>
              <m:ctrlPr>
                <w:rPr>
                  <w:rFonts w:hint="eastAsia" w:ascii="Cambria Math" w:hAnsi="Cambria Math" w:cs="宋体"/>
                  <w:color w:val="000000" w:themeColor="text1"/>
                  <w:sz w:val="24"/>
                  <w14:textFill>
                    <w14:solidFill>
                      <w14:schemeClr w14:val="tx1"/>
                    </w14:solidFill>
                  </w14:textFill>
                </w:rPr>
              </m:ctrlPr>
            </m:e>
            <m:sub>
              <m:r>
                <m:rPr/>
                <w:rPr>
                  <w:rFonts w:hint="eastAsia" w:ascii="Cambria Math" w:hAnsi="Cambria Math" w:cs="宋体"/>
                  <w:color w:val="000000" w:themeColor="text1"/>
                  <w:sz w:val="24"/>
                  <w14:textFill>
                    <w14:solidFill>
                      <w14:schemeClr w14:val="tx1"/>
                    </w14:solidFill>
                  </w14:textFill>
                </w:rPr>
                <m:t>nti</m:t>
              </m:r>
              <m:ctrlPr>
                <w:rPr>
                  <w:rFonts w:hint="eastAsia" w:ascii="Cambria Math" w:hAnsi="Cambria Math" w:cs="宋体"/>
                  <w:color w:val="000000" w:themeColor="text1"/>
                  <w:sz w:val="24"/>
                  <w14:textFill>
                    <w14:solidFill>
                      <w14:schemeClr w14:val="tx1"/>
                    </w14:solidFill>
                  </w14:textFill>
                </w:rPr>
              </m:ctrlPr>
            </m:sub>
          </m:sSub>
          <m:r>
            <m:rPr>
              <m:sty m:val="p"/>
            </m:rPr>
            <w:rPr>
              <w:rFonts w:hint="eastAsia" w:ascii="微软雅黑" w:hAnsi="微软雅黑" w:eastAsia="微软雅黑" w:cs="微软雅黑"/>
              <w:color w:val="000000" w:themeColor="text1"/>
              <w:sz w:val="24"/>
              <w14:textFill>
                <w14:solidFill>
                  <w14:schemeClr w14:val="tx1"/>
                </w14:solidFill>
              </w14:textFill>
            </w:rPr>
            <m:t>−</m:t>
          </m:r>
          <m:nary>
            <m:naryPr>
              <m:chr m:val="∑"/>
              <m:limLoc m:val="undOvr"/>
              <m:ctrlPr>
                <w:rPr>
                  <w:rFonts w:hint="eastAsia" w:ascii="Cambria Math" w:hAnsi="Cambria Math" w:cs="宋体"/>
                  <w:color w:val="000000" w:themeColor="text1"/>
                  <w:sz w:val="24"/>
                  <w14:textFill>
                    <w14:solidFill>
                      <w14:schemeClr w14:val="tx1"/>
                    </w14:solidFill>
                  </w14:textFill>
                </w:rPr>
              </m:ctrlPr>
            </m:naryPr>
            <m:sub>
              <m:r>
                <m:rPr/>
                <w:rPr>
                  <w:rFonts w:hint="eastAsia" w:ascii="Cambria Math" w:hAnsi="Cambria Math" w:cs="宋体"/>
                  <w:color w:val="000000" w:themeColor="text1"/>
                  <w:sz w:val="24"/>
                  <w14:textFill>
                    <w14:solidFill>
                      <w14:schemeClr w14:val="tx1"/>
                    </w14:solidFill>
                  </w14:textFill>
                </w:rPr>
                <m:t>i</m:t>
              </m:r>
              <m:ctrlPr>
                <w:rPr>
                  <w:rFonts w:hint="eastAsia" w:ascii="Cambria Math" w:hAnsi="Cambria Math" w:cs="宋体"/>
                  <w:color w:val="000000" w:themeColor="text1"/>
                  <w:sz w:val="24"/>
                  <w14:textFill>
                    <w14:solidFill>
                      <w14:schemeClr w14:val="tx1"/>
                    </w14:solidFill>
                  </w14:textFill>
                </w:rPr>
              </m:ctrlPr>
            </m:sub>
            <m:sup>
              <m:r>
                <m:rPr/>
                <w:rPr>
                  <w:rFonts w:hint="eastAsia" w:ascii="Cambria Math" w:hAnsi="Cambria Math" w:cs="宋体"/>
                  <w:color w:val="000000" w:themeColor="text1"/>
                  <w:sz w:val="24"/>
                  <w14:textFill>
                    <w14:solidFill>
                      <w14:schemeClr w14:val="tx1"/>
                    </w14:solidFill>
                  </w14:textFill>
                </w:rPr>
                <m:t>n</m:t>
              </m:r>
              <m:ctrlPr>
                <w:rPr>
                  <w:rFonts w:hint="eastAsia" w:ascii="Cambria Math" w:hAnsi="Cambria Math" w:cs="宋体"/>
                  <w:color w:val="000000" w:themeColor="text1"/>
                  <w:sz w:val="24"/>
                  <w14:textFill>
                    <w14:solidFill>
                      <w14:schemeClr w14:val="tx1"/>
                    </w14:solidFill>
                  </w14:textFill>
                </w:rPr>
              </m:ctrlPr>
            </m:sup>
            <m:e>
              <m:sSub>
                <m:sSubPr>
                  <m:ctrlPr>
                    <w:rPr>
                      <w:rFonts w:hint="eastAsia" w:ascii="Cambria Math" w:hAnsi="Cambria Math" w:cs="宋体"/>
                      <w:color w:val="000000" w:themeColor="text1"/>
                      <w:sz w:val="24"/>
                      <w14:textFill>
                        <w14:solidFill>
                          <w14:schemeClr w14:val="tx1"/>
                        </w14:solidFill>
                      </w14:textFill>
                    </w:rPr>
                  </m:ctrlPr>
                </m:sSubPr>
                <m:e>
                  <m:r>
                    <m:rPr/>
                    <w:rPr>
                      <w:rFonts w:hint="eastAsia" w:ascii="Cambria Math" w:hAnsi="Cambria Math" w:cs="宋体"/>
                      <w:color w:val="000000" w:themeColor="text1"/>
                      <w:sz w:val="24"/>
                      <w14:textFill>
                        <w14:solidFill>
                          <w14:schemeClr w14:val="tx1"/>
                        </w14:solidFill>
                      </w14:textFill>
                    </w:rPr>
                    <m:t>P</m:t>
                  </m:r>
                  <m:ctrlPr>
                    <w:rPr>
                      <w:rFonts w:hint="eastAsia" w:ascii="Cambria Math" w:hAnsi="Cambria Math" w:cs="宋体"/>
                      <w:color w:val="000000" w:themeColor="text1"/>
                      <w:sz w:val="24"/>
                      <w14:textFill>
                        <w14:solidFill>
                          <w14:schemeClr w14:val="tx1"/>
                        </w14:solidFill>
                      </w14:textFill>
                    </w:rPr>
                  </m:ctrlPr>
                </m:e>
                <m:sub>
                  <m:r>
                    <m:rPr/>
                    <w:rPr>
                      <w:rFonts w:hint="eastAsia" w:ascii="Cambria Math" w:hAnsi="Cambria Math" w:cs="宋体"/>
                      <w:color w:val="000000" w:themeColor="text1"/>
                      <w:sz w:val="24"/>
                      <w14:textFill>
                        <w14:solidFill>
                          <w14:schemeClr w14:val="tx1"/>
                        </w14:solidFill>
                      </w14:textFill>
                    </w:rPr>
                    <m:t>m</m:t>
                  </m:r>
                  <m:ctrlPr>
                    <w:rPr>
                      <w:rFonts w:hint="eastAsia" w:ascii="Cambria Math" w:hAnsi="Cambria Math" w:cs="宋体"/>
                      <w:color w:val="000000" w:themeColor="text1"/>
                      <w:sz w:val="24"/>
                      <w14:textFill>
                        <w14:solidFill>
                          <w14:schemeClr w14:val="tx1"/>
                        </w14:solidFill>
                      </w14:textFill>
                    </w:rPr>
                  </m:ctrlPr>
                </m:sub>
              </m:sSub>
              <m:ctrlPr>
                <w:rPr>
                  <w:rFonts w:hint="eastAsia" w:ascii="Cambria Math" w:hAnsi="Cambria Math" w:cs="宋体"/>
                  <w:color w:val="000000" w:themeColor="text1"/>
                  <w:sz w:val="24"/>
                  <w14:textFill>
                    <w14:solidFill>
                      <w14:schemeClr w14:val="tx1"/>
                    </w14:solidFill>
                  </w14:textFill>
                </w:rPr>
              </m:ctrlPr>
            </m:e>
          </m:nary>
          <m:r>
            <m:rPr>
              <m:sty m:val="p"/>
            </m:rPr>
            <w:rPr>
              <w:rFonts w:hint="eastAsia" w:ascii="Cambria Math" w:hAnsi="Cambria Math" w:cs="宋体"/>
              <w:color w:val="000000" w:themeColor="text1"/>
              <w:sz w:val="24"/>
              <w14:textFill>
                <w14:solidFill>
                  <w14:schemeClr w14:val="tx1"/>
                </w14:solidFill>
              </w14:textFill>
            </w:rPr>
            <m:t>×</m:t>
          </m:r>
          <m:sSub>
            <m:sSubPr>
              <m:ctrlPr>
                <w:rPr>
                  <w:rFonts w:hint="eastAsia" w:ascii="Cambria Math" w:hAnsi="Cambria Math" w:cs="宋体"/>
                  <w:color w:val="000000" w:themeColor="text1"/>
                  <w:sz w:val="24"/>
                  <w14:textFill>
                    <w14:solidFill>
                      <w14:schemeClr w14:val="tx1"/>
                    </w14:solidFill>
                  </w14:textFill>
                </w:rPr>
              </m:ctrlPr>
            </m:sSubPr>
            <m:e>
              <m:r>
                <m:rPr/>
                <w:rPr>
                  <w:rFonts w:hint="eastAsia" w:ascii="Cambria Math" w:hAnsi="Cambria Math" w:cs="宋体"/>
                  <w:color w:val="000000" w:themeColor="text1"/>
                  <w:sz w:val="24"/>
                  <w14:textFill>
                    <w14:solidFill>
                      <w14:schemeClr w14:val="tx1"/>
                    </w14:solidFill>
                  </w14:textFill>
                </w:rPr>
                <m:t>MC</m:t>
              </m:r>
              <m:ctrlPr>
                <w:rPr>
                  <w:rFonts w:hint="eastAsia" w:ascii="Cambria Math" w:hAnsi="Cambria Math" w:cs="宋体"/>
                  <w:color w:val="000000" w:themeColor="text1"/>
                  <w:sz w:val="24"/>
                  <w14:textFill>
                    <w14:solidFill>
                      <w14:schemeClr w14:val="tx1"/>
                    </w14:solidFill>
                  </w14:textFill>
                </w:rPr>
              </m:ctrlPr>
            </m:e>
            <m:sub>
              <m:r>
                <m:rPr/>
                <w:rPr>
                  <w:rFonts w:hint="eastAsia" w:ascii="Cambria Math" w:hAnsi="Cambria Math" w:cs="宋体"/>
                  <w:color w:val="000000" w:themeColor="text1"/>
                  <w:sz w:val="24"/>
                  <w14:textFill>
                    <w14:solidFill>
                      <w14:schemeClr w14:val="tx1"/>
                    </w14:solidFill>
                  </w14:textFill>
                </w:rPr>
                <m:t>nti</m:t>
              </m:r>
              <m:ctrlPr>
                <w:rPr>
                  <w:rFonts w:hint="eastAsia" w:ascii="Cambria Math" w:hAnsi="Cambria Math" w:cs="宋体"/>
                  <w:color w:val="000000" w:themeColor="text1"/>
                  <w:sz w:val="24"/>
                  <w14:textFill>
                    <w14:solidFill>
                      <w14:schemeClr w14:val="tx1"/>
                    </w14:solidFill>
                  </w14:textFill>
                </w:rPr>
              </m:ctrlPr>
            </m:sub>
          </m:sSub>
        </m:oMath>
      </m:oMathPara>
    </w:p>
    <w:p w14:paraId="2A01E70C">
      <w:pPr>
        <w:spacing w:after="156" w:afterLines="50" w:line="360" w:lineRule="auto"/>
        <w:jc w:val="left"/>
        <w:outlineLvl w:val="9"/>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式中</w:t>
      </w:r>
      <w:r>
        <w:rPr>
          <w:rFonts w:hint="eastAsia" w:ascii="宋体" w:hAnsi="宋体" w:cs="宋体"/>
          <w:i/>
          <w:color w:val="000000" w:themeColor="text1"/>
          <w:sz w:val="24"/>
          <w14:textFill>
            <w14:solidFill>
              <w14:schemeClr w14:val="tx1"/>
            </w14:solidFill>
          </w14:textFill>
        </w:rPr>
        <w:t>M</w:t>
      </w:r>
      <w:r>
        <w:rPr>
          <w:rFonts w:hint="eastAsia" w:ascii="宋体" w:hAnsi="宋体" w:cs="宋体"/>
          <w:color w:val="000000" w:themeColor="text1"/>
          <w:sz w:val="24"/>
          <w:vertAlign w:val="subscript"/>
          <w14:textFill>
            <w14:solidFill>
              <w14:schemeClr w14:val="tx1"/>
            </w14:solidFill>
          </w14:textFill>
        </w:rPr>
        <w:t>nt</w:t>
      </w:r>
      <w:r>
        <w:rPr>
          <w:rFonts w:hint="eastAsia" w:ascii="宋体" w:hAnsi="宋体" w:cs="宋体"/>
          <w:color w:val="000000" w:themeColor="text1"/>
          <w:sz w:val="24"/>
          <w14:textFill>
            <w14:solidFill>
              <w14:schemeClr w14:val="tx1"/>
            </w14:solidFill>
          </w14:textFill>
        </w:rPr>
        <w:t>为利用的有害废物减产总量，</w:t>
      </w:r>
      <w:r>
        <w:rPr>
          <w:rFonts w:hint="eastAsia" w:ascii="宋体" w:hAnsi="宋体" w:cs="宋体"/>
          <w:i/>
          <w:color w:val="000000" w:themeColor="text1"/>
          <w:sz w:val="24"/>
          <w14:textFill>
            <w14:solidFill>
              <w14:schemeClr w14:val="tx1"/>
            </w14:solidFill>
          </w14:textFill>
        </w:rPr>
        <w:t>i</w:t>
      </w:r>
      <w:r>
        <w:rPr>
          <w:rFonts w:hint="eastAsia" w:ascii="宋体" w:hAnsi="宋体" w:cs="宋体"/>
          <w:color w:val="000000" w:themeColor="text1"/>
          <w:sz w:val="24"/>
          <w14:textFill>
            <w14:solidFill>
              <w14:schemeClr w14:val="tx1"/>
            </w14:solidFill>
          </w14:textFill>
        </w:rPr>
        <w:t>为利用的有害废物减产种类，</w:t>
      </w:r>
      <w:r>
        <w:rPr>
          <w:rFonts w:hint="eastAsia" w:ascii="宋体" w:hAnsi="宋体" w:cs="宋体"/>
          <w:i/>
          <w:color w:val="000000" w:themeColor="text1"/>
          <w:sz w:val="24"/>
          <w14:textFill>
            <w14:solidFill>
              <w14:schemeClr w14:val="tx1"/>
            </w14:solidFill>
          </w14:textFill>
        </w:rPr>
        <w:t>i</w:t>
      </w:r>
      <w:r>
        <w:rPr>
          <w:rFonts w:hint="eastAsia" w:ascii="宋体" w:hAnsi="宋体" w:cs="宋体"/>
          <w:color w:val="000000" w:themeColor="text1"/>
          <w:sz w:val="24"/>
          <w14:textFill>
            <w14:solidFill>
              <w14:schemeClr w14:val="tx1"/>
            </w14:solidFill>
          </w14:textFill>
        </w:rPr>
        <w:t>=1，2，……，</w:t>
      </w:r>
      <w:r>
        <w:rPr>
          <w:rFonts w:hint="eastAsia" w:ascii="宋体" w:hAnsi="宋体" w:cs="宋体"/>
          <w:i/>
          <w:color w:val="000000" w:themeColor="text1"/>
          <w:sz w:val="24"/>
          <w14:textFill>
            <w14:solidFill>
              <w14:schemeClr w14:val="tx1"/>
            </w14:solidFill>
          </w14:textFill>
        </w:rPr>
        <w:t>n</w:t>
      </w:r>
      <w:r>
        <w:rPr>
          <w:rFonts w:hint="eastAsia" w:ascii="宋体" w:hAnsi="宋体" w:cs="宋体"/>
          <w:color w:val="000000" w:themeColor="text1"/>
          <w:sz w:val="24"/>
          <w14:textFill>
            <w14:solidFill>
              <w14:schemeClr w14:val="tx1"/>
            </w14:solidFill>
          </w14:textFill>
        </w:rPr>
        <w:t>，</w:t>
      </w:r>
      <w:r>
        <w:rPr>
          <w:rFonts w:hint="eastAsia" w:ascii="宋体" w:hAnsi="宋体" w:cs="宋体"/>
          <w:i/>
          <w:color w:val="000000" w:themeColor="text1"/>
          <w:sz w:val="24"/>
          <w14:textFill>
            <w14:solidFill>
              <w14:schemeClr w14:val="tx1"/>
            </w14:solidFill>
          </w14:textFill>
        </w:rPr>
        <w:t>M</w:t>
      </w:r>
      <w:r>
        <w:rPr>
          <w:rFonts w:hint="eastAsia" w:ascii="宋体" w:hAnsi="宋体" w:cs="宋体"/>
          <w:i/>
          <w:color w:val="000000" w:themeColor="text1"/>
          <w:sz w:val="24"/>
          <w:vertAlign w:val="subscript"/>
          <w14:textFill>
            <w14:solidFill>
              <w14:schemeClr w14:val="tx1"/>
            </w14:solidFill>
          </w14:textFill>
        </w:rPr>
        <w:t>nt</w:t>
      </w:r>
      <w:r>
        <w:rPr>
          <w:rFonts w:hint="eastAsia" w:ascii="宋体" w:hAnsi="宋体" w:cs="宋体"/>
          <w:color w:val="000000" w:themeColor="text1"/>
          <w:sz w:val="24"/>
          <w:vertAlign w:val="subscript"/>
          <w14:textFill>
            <w14:solidFill>
              <w14:schemeClr w14:val="tx1"/>
            </w14:solidFill>
          </w14:textFill>
        </w:rPr>
        <w:t>i</w:t>
      </w:r>
      <w:r>
        <w:rPr>
          <w:rFonts w:hint="eastAsia" w:ascii="宋体" w:hAnsi="宋体" w:cs="宋体"/>
          <w:color w:val="000000" w:themeColor="text1"/>
          <w:sz w:val="24"/>
          <w14:textFill>
            <w14:solidFill>
              <w14:schemeClr w14:val="tx1"/>
            </w14:solidFill>
          </w14:textFill>
        </w:rPr>
        <w:t>为第i种有害废物定额产生总量，Pm为当地有害废物处理费，</w:t>
      </w:r>
      <m:oMath>
        <m:sSub>
          <m:sSubPr>
            <m:ctrlPr>
              <w:rPr>
                <w:rFonts w:hint="eastAsia" w:ascii="Cambria Math" w:hAnsi="Cambria Math" w:cs="宋体"/>
                <w:i/>
                <w:color w:val="000000" w:themeColor="text1"/>
                <w:sz w:val="24"/>
                <w14:textFill>
                  <w14:solidFill>
                    <w14:schemeClr w14:val="tx1"/>
                  </w14:solidFill>
                </w14:textFill>
              </w:rPr>
            </m:ctrlPr>
          </m:sSubPr>
          <m:e>
            <m:r>
              <m:rPr/>
              <w:rPr>
                <w:rFonts w:hint="eastAsia" w:ascii="Cambria Math" w:hAnsi="Cambria Math" w:cs="宋体"/>
                <w:color w:val="000000" w:themeColor="text1"/>
                <w:sz w:val="24"/>
                <w14:textFill>
                  <w14:solidFill>
                    <w14:schemeClr w14:val="tx1"/>
                  </w14:solidFill>
                </w14:textFill>
              </w:rPr>
              <m:t>MC</m:t>
            </m:r>
            <m:ctrlPr>
              <w:rPr>
                <w:rFonts w:hint="eastAsia" w:ascii="Cambria Math" w:hAnsi="Cambria Math" w:cs="宋体"/>
                <w:i/>
                <w:color w:val="000000" w:themeColor="text1"/>
                <w:sz w:val="24"/>
                <w14:textFill>
                  <w14:solidFill>
                    <w14:schemeClr w14:val="tx1"/>
                  </w14:solidFill>
                </w14:textFill>
              </w:rPr>
            </m:ctrlPr>
          </m:e>
          <m:sub>
            <m:r>
              <m:rPr/>
              <w:rPr>
                <w:rFonts w:hint="eastAsia" w:ascii="Cambria Math" w:hAnsi="Cambria Math" w:cs="宋体"/>
                <w:color w:val="000000" w:themeColor="text1"/>
                <w:sz w:val="24"/>
                <w14:textFill>
                  <w14:solidFill>
                    <w14:schemeClr w14:val="tx1"/>
                  </w14:solidFill>
                </w14:textFill>
              </w:rPr>
              <m:t>nti</m:t>
            </m:r>
            <m:ctrlPr>
              <w:rPr>
                <w:rFonts w:hint="eastAsia" w:ascii="Cambria Math" w:hAnsi="Cambria Math" w:cs="宋体"/>
                <w:i/>
                <w:color w:val="000000" w:themeColor="text1"/>
                <w:sz w:val="24"/>
                <w14:textFill>
                  <w14:solidFill>
                    <w14:schemeClr w14:val="tx1"/>
                  </w14:solidFill>
                </w14:textFill>
              </w:rPr>
            </m:ctrlPr>
          </m:sub>
        </m:sSub>
      </m:oMath>
      <w:r>
        <w:rPr>
          <w:rFonts w:hint="eastAsia" w:ascii="宋体" w:hAnsi="宋体" w:cs="宋体"/>
          <w:color w:val="000000" w:themeColor="text1"/>
          <w:sz w:val="24"/>
          <w14:textFill>
            <w14:solidFill>
              <w14:schemeClr w14:val="tx1"/>
            </w14:solidFill>
          </w14:textFill>
        </w:rPr>
        <w:t>为第i种有害废物减产产生总量。</w:t>
      </w:r>
      <m:oMath>
        <m:sSub>
          <m:sSubPr>
            <m:ctrlPr>
              <w:rPr>
                <w:rFonts w:hint="eastAsia" w:ascii="Cambria Math" w:hAnsi="Cambria Math" w:cs="宋体"/>
                <w:i/>
                <w:color w:val="000000" w:themeColor="text1"/>
                <w:sz w:val="24"/>
                <w14:textFill>
                  <w14:solidFill>
                    <w14:schemeClr w14:val="tx1"/>
                  </w14:solidFill>
                </w14:textFill>
              </w:rPr>
            </m:ctrlPr>
          </m:sSubPr>
          <m:e>
            <m:r>
              <m:rPr/>
              <w:rPr>
                <w:rFonts w:hint="eastAsia" w:ascii="Cambria Math" w:hAnsi="Cambria Math" w:cs="宋体"/>
                <w:color w:val="000000" w:themeColor="text1"/>
                <w:sz w:val="24"/>
                <w14:textFill>
                  <w14:solidFill>
                    <w14:schemeClr w14:val="tx1"/>
                  </w14:solidFill>
                </w14:textFill>
              </w:rPr>
              <m:t>P</m:t>
            </m:r>
            <m:ctrlPr>
              <w:rPr>
                <w:rFonts w:hint="eastAsia" w:ascii="Cambria Math" w:hAnsi="Cambria Math" w:cs="宋体"/>
                <w:i/>
                <w:color w:val="000000" w:themeColor="text1"/>
                <w:sz w:val="24"/>
                <w14:textFill>
                  <w14:solidFill>
                    <w14:schemeClr w14:val="tx1"/>
                  </w14:solidFill>
                </w14:textFill>
              </w:rPr>
            </m:ctrlPr>
          </m:e>
          <m:sub>
            <m:r>
              <m:rPr/>
              <w:rPr>
                <w:rFonts w:hint="eastAsia" w:ascii="Cambria Math" w:hAnsi="Cambria Math" w:cs="宋体"/>
                <w:color w:val="000000" w:themeColor="text1"/>
                <w:sz w:val="24"/>
                <w14:textFill>
                  <w14:solidFill>
                    <w14:schemeClr w14:val="tx1"/>
                  </w14:solidFill>
                </w14:textFill>
              </w:rPr>
              <m:t>m</m:t>
            </m:r>
            <m:ctrlPr>
              <w:rPr>
                <w:rFonts w:hint="eastAsia" w:ascii="Cambria Math" w:hAnsi="Cambria Math" w:cs="宋体"/>
                <w:i/>
                <w:color w:val="000000" w:themeColor="text1"/>
                <w:sz w:val="24"/>
                <w14:textFill>
                  <w14:solidFill>
                    <w14:schemeClr w14:val="tx1"/>
                  </w14:solidFill>
                </w14:textFill>
              </w:rPr>
            </m:ctrlPr>
          </m:sub>
        </m:sSub>
      </m:oMath>
      <w:r>
        <w:rPr>
          <w:rFonts w:hint="eastAsia" w:ascii="宋体" w:hAnsi="宋体" w:cs="宋体"/>
          <w:color w:val="000000" w:themeColor="text1"/>
          <w:sz w:val="24"/>
          <w14:textFill>
            <w14:solidFill>
              <w14:schemeClr w14:val="tx1"/>
            </w14:solidFill>
          </w14:textFill>
        </w:rPr>
        <w:t>为单位重量有害废物</w:t>
      </w:r>
      <w:r>
        <w:rPr>
          <w:rFonts w:hint="eastAsia" w:ascii="宋体" w:hAnsi="宋体" w:cs="宋体"/>
          <w:iCs/>
          <w:color w:val="000000" w:themeColor="text1"/>
          <w:sz w:val="24"/>
          <w14:textFill>
            <w14:solidFill>
              <w14:schemeClr w14:val="tx1"/>
            </w14:solidFill>
          </w14:textFill>
        </w:rPr>
        <w:t>收集和处理的成本</w:t>
      </w:r>
      <w:r>
        <w:rPr>
          <w:rFonts w:hint="eastAsia" w:ascii="宋体" w:hAnsi="宋体" w:cs="宋体"/>
          <w:color w:val="000000" w:themeColor="text1"/>
          <w:sz w:val="24"/>
          <w14:textFill>
            <w14:solidFill>
              <w14:schemeClr w14:val="tx1"/>
            </w14:solidFill>
          </w14:textFill>
        </w:rPr>
        <w:t>（元/m</w:t>
      </w:r>
      <w:r>
        <w:rPr>
          <w:rFonts w:hint="eastAsia" w:ascii="宋体" w:hAnsi="宋体" w:cs="宋体"/>
          <w:color w:val="000000" w:themeColor="text1"/>
          <w:sz w:val="24"/>
          <w:vertAlign w:val="superscript"/>
          <w14:textFill>
            <w14:solidFill>
              <w14:schemeClr w14:val="tx1"/>
            </w14:solidFill>
          </w14:textFill>
        </w:rPr>
        <w:t>3</w:t>
      </w:r>
      <w:r>
        <w:rPr>
          <w:rFonts w:hint="eastAsia" w:ascii="宋体" w:hAnsi="宋体" w:cs="宋体"/>
          <w:color w:val="000000" w:themeColor="text1"/>
          <w:sz w:val="24"/>
          <w14:textFill>
            <w14:solidFill>
              <w14:schemeClr w14:val="tx1"/>
            </w14:solidFill>
          </w14:textFill>
        </w:rPr>
        <w:t>）。</w:t>
      </w:r>
    </w:p>
    <w:p w14:paraId="42DC4007">
      <w:pPr>
        <w:spacing w:after="156" w:afterLines="50" w:line="360" w:lineRule="auto"/>
        <w:ind w:firstLine="480" w:firstLineChars="200"/>
        <w:jc w:val="left"/>
        <w:outlineLvl w:val="9"/>
        <w:rPr>
          <w:rFonts w:hint="eastAsia" w:ascii="宋体" w:hAnsi="宋体" w:cs="宋体" w:eastAsiaTheme="minorEastAsia"/>
          <w:kern w:val="0"/>
          <w:sz w:val="24"/>
          <w:lang w:val="en-US" w:eastAsia="zh-CN" w:bidi="ar"/>
        </w:rPr>
      </w:pPr>
      <w:r>
        <w:rPr>
          <w:rFonts w:hint="eastAsia" w:ascii="宋体" w:hAnsi="宋体" w:cs="宋体"/>
          <w:kern w:val="0"/>
          <w:sz w:val="24"/>
          <w:lang w:bidi="ar"/>
        </w:rPr>
        <w:t>考量内容：环境污染保护防治节约价值</w:t>
      </w:r>
      <w:r>
        <w:rPr>
          <w:rFonts w:hint="eastAsia" w:ascii="宋体" w:hAnsi="宋体" w:cs="宋体"/>
          <w:kern w:val="0"/>
          <w:sz w:val="24"/>
          <w:lang w:eastAsia="zh-CN" w:bidi="ar"/>
        </w:rPr>
        <w:t>。</w:t>
      </w:r>
    </w:p>
    <w:p w14:paraId="526EB7EA">
      <w:pPr>
        <w:pStyle w:val="26"/>
        <w:numPr>
          <w:ilvl w:val="2"/>
          <w:numId w:val="0"/>
        </w:numPr>
        <w:snapToGrid w:val="0"/>
        <w:spacing w:beforeLines="0" w:afterLines="0" w:line="360" w:lineRule="auto"/>
        <w:ind w:firstLine="0" w:firstLineChars="0"/>
        <w:outlineLvl w:val="9"/>
        <w:rPr>
          <w:rFonts w:hint="eastAsia" w:ascii="宋体" w:hAnsi="宋体" w:eastAsia="宋体" w:cs="宋体"/>
          <w:color w:val="000000" w:themeColor="text1"/>
          <w:kern w:val="21"/>
          <w:sz w:val="24"/>
          <w:szCs w:val="24"/>
          <w:lang w:val="en-US" w:eastAsia="zh-CN" w:bidi="ar"/>
          <w14:textFill>
            <w14:solidFill>
              <w14:schemeClr w14:val="tx1"/>
            </w14:solidFill>
          </w14:textFill>
        </w:rPr>
      </w:pPr>
    </w:p>
    <w:p w14:paraId="67F713FA">
      <w:pPr>
        <w:pStyle w:val="4"/>
      </w:pPr>
    </w:p>
    <w:p w14:paraId="667A2F24">
      <w:pPr>
        <w:spacing w:line="360" w:lineRule="auto"/>
        <w:ind w:firstLine="480" w:firstLineChars="200"/>
        <w:rPr>
          <w:rFonts w:hint="eastAsia" w:ascii="宋体" w:hAnsi="宋体" w:cs="宋体"/>
          <w:kern w:val="0"/>
          <w:sz w:val="24"/>
          <w:lang w:val="en-US" w:eastAsia="zh-CN" w:bidi="ar"/>
        </w:rPr>
      </w:pPr>
    </w:p>
    <w:p w14:paraId="3323CB9F">
      <w:pPr>
        <w:widowControl/>
        <w:snapToGrid w:val="0"/>
        <w:spacing w:line="360" w:lineRule="auto"/>
        <w:jc w:val="left"/>
        <w:rPr>
          <w:rFonts w:ascii="宋体" w:hAnsi="宋体" w:eastAsia="宋体" w:cs="宋体"/>
          <w:color w:val="000000" w:themeColor="text1"/>
          <w:kern w:val="0"/>
          <w:sz w:val="24"/>
          <w:lang w:bidi="ar"/>
          <w14:textFill>
            <w14:solidFill>
              <w14:schemeClr w14:val="tx1"/>
            </w14:solidFill>
          </w14:textFill>
        </w:rPr>
      </w:pPr>
    </w:p>
    <w:p w14:paraId="6B29F624">
      <w:pPr>
        <w:widowControl/>
        <w:snapToGrid w:val="0"/>
        <w:spacing w:line="360" w:lineRule="auto"/>
        <w:jc w:val="left"/>
        <w:rPr>
          <w:rFonts w:ascii="宋体" w:hAnsi="宋体" w:eastAsia="宋体" w:cs="宋体"/>
          <w:color w:val="000000" w:themeColor="text1"/>
          <w:kern w:val="0"/>
          <w:sz w:val="24"/>
          <w:lang w:bidi="ar"/>
          <w14:textFill>
            <w14:solidFill>
              <w14:schemeClr w14:val="tx1"/>
            </w14:solidFill>
          </w14:textFill>
        </w:rPr>
      </w:pPr>
    </w:p>
    <w:p w14:paraId="11114F08">
      <w:pPr>
        <w:widowControl/>
        <w:snapToGrid w:val="0"/>
        <w:spacing w:line="360" w:lineRule="auto"/>
        <w:jc w:val="left"/>
        <w:rPr>
          <w:rFonts w:ascii="宋体" w:hAnsi="宋体" w:eastAsia="宋体" w:cs="宋体"/>
          <w:color w:val="000000" w:themeColor="text1"/>
          <w:kern w:val="0"/>
          <w:sz w:val="24"/>
          <w:lang w:bidi="ar"/>
          <w14:textFill>
            <w14:solidFill>
              <w14:schemeClr w14:val="tx1"/>
            </w14:solidFill>
          </w14:textFill>
        </w:rPr>
      </w:pPr>
    </w:p>
    <w:p w14:paraId="564795BB">
      <w:pPr>
        <w:sectPr>
          <w:pgSz w:w="11906" w:h="16838"/>
          <w:pgMar w:top="1440" w:right="1800" w:bottom="1440" w:left="1800" w:header="851" w:footer="992" w:gutter="0"/>
          <w:pgNumType w:fmt="decimal"/>
          <w:cols w:space="425" w:num="1"/>
          <w:docGrid w:type="lines" w:linePitch="312" w:charSpace="0"/>
        </w:sectPr>
      </w:pPr>
    </w:p>
    <w:p w14:paraId="0BC8B6DD">
      <w:pPr>
        <w:spacing w:line="360" w:lineRule="auto"/>
        <w:jc w:val="left"/>
        <w:outlineLvl w:val="0"/>
        <w:rPr>
          <w:rFonts w:hint="eastAsia" w:ascii="宋体" w:hAnsi="宋体" w:eastAsia="宋体" w:cs="宋体"/>
          <w:b/>
          <w:bCs/>
          <w:color w:val="000000" w:themeColor="text1"/>
          <w:sz w:val="30"/>
          <w:szCs w:val="30"/>
          <w14:textFill>
            <w14:solidFill>
              <w14:schemeClr w14:val="tx1"/>
            </w14:solidFill>
          </w14:textFill>
        </w:rPr>
      </w:pPr>
      <w:bookmarkStart w:id="821" w:name="_Toc21950"/>
      <w:bookmarkStart w:id="822" w:name="_Toc29377"/>
      <w:bookmarkStart w:id="823" w:name="_Toc10492"/>
      <w:bookmarkStart w:id="824" w:name="_Toc24920"/>
      <w:bookmarkStart w:id="825" w:name="_Toc7454"/>
      <w:bookmarkStart w:id="826" w:name="_Toc29277"/>
      <w:r>
        <w:rPr>
          <w:rFonts w:hint="eastAsia" w:ascii="宋体" w:hAnsi="宋体" w:eastAsia="宋体" w:cs="宋体"/>
          <w:b/>
          <w:bCs/>
          <w:color w:val="000000" w:themeColor="text1"/>
          <w:sz w:val="30"/>
          <w:szCs w:val="30"/>
          <w14:textFill>
            <w14:solidFill>
              <w14:schemeClr w14:val="tx1"/>
            </w14:solidFill>
          </w14:textFill>
        </w:rPr>
        <w:t>附录</w:t>
      </w:r>
      <w:r>
        <w:rPr>
          <w:rFonts w:hint="eastAsia" w:ascii="宋体" w:hAnsi="宋体" w:eastAsia="宋体" w:cs="宋体"/>
          <w:b/>
          <w:bCs/>
          <w:color w:val="000000" w:themeColor="text1"/>
          <w:sz w:val="30"/>
          <w:szCs w:val="30"/>
          <w:lang w:val="en-US" w:eastAsia="zh-CN"/>
          <w14:textFill>
            <w14:solidFill>
              <w14:schemeClr w14:val="tx1"/>
            </w14:solidFill>
          </w14:textFill>
        </w:rPr>
        <w:t>B</w:t>
      </w:r>
      <w:r>
        <w:rPr>
          <w:rFonts w:hint="eastAsia" w:ascii="宋体" w:hAnsi="宋体" w:eastAsia="宋体" w:cs="宋体"/>
          <w:b/>
          <w:bCs/>
          <w:color w:val="000000" w:themeColor="text1"/>
          <w:sz w:val="30"/>
          <w:szCs w:val="30"/>
          <w14:textFill>
            <w14:solidFill>
              <w14:schemeClr w14:val="tx1"/>
            </w14:solidFill>
          </w14:textFill>
        </w:rPr>
        <w:t xml:space="preserve"> </w:t>
      </w:r>
      <w:r>
        <w:rPr>
          <w:rFonts w:hint="eastAsia" w:ascii="宋体" w:hAnsi="宋体" w:cs="宋体"/>
          <w:b/>
          <w:bCs/>
          <w:color w:val="000000" w:themeColor="text1"/>
          <w:sz w:val="30"/>
          <w:szCs w:val="30"/>
          <w:lang w:val="en-US" w:eastAsia="zh-CN"/>
          <w14:textFill>
            <w14:solidFill>
              <w14:schemeClr w14:val="tx1"/>
            </w14:solidFill>
          </w14:textFill>
        </w:rPr>
        <w:t>八</w:t>
      </w:r>
      <w:r>
        <w:rPr>
          <w:rFonts w:hint="eastAsia" w:ascii="宋体" w:hAnsi="宋体" w:eastAsia="宋体" w:cs="宋体"/>
          <w:b/>
          <w:bCs/>
          <w:color w:val="000000" w:themeColor="text1"/>
          <w:sz w:val="30"/>
          <w:szCs w:val="30"/>
          <w14:textFill>
            <w14:solidFill>
              <w14:schemeClr w14:val="tx1"/>
            </w14:solidFill>
          </w14:textFill>
        </w:rPr>
        <w:t>类城市基础设施项目专项内容评价指标</w:t>
      </w:r>
      <w:bookmarkEnd w:id="821"/>
      <w:bookmarkEnd w:id="822"/>
      <w:bookmarkEnd w:id="823"/>
      <w:bookmarkEnd w:id="824"/>
      <w:bookmarkEnd w:id="825"/>
      <w:bookmarkEnd w:id="826"/>
      <w:bookmarkStart w:id="827" w:name="_Toc12080"/>
    </w:p>
    <w:bookmarkEnd w:id="827"/>
    <w:p w14:paraId="56873C8D">
      <w:pPr>
        <w:spacing w:line="360" w:lineRule="auto"/>
        <w:jc w:val="center"/>
        <w:outlineLvl w:val="1"/>
        <w:rPr>
          <w:rFonts w:hint="eastAsia" w:ascii="黑体" w:hAnsi="黑体" w:eastAsia="黑体" w:cs="黑体"/>
          <w:b/>
          <w:bCs/>
          <w:color w:val="auto"/>
          <w:sz w:val="28"/>
          <w:szCs w:val="28"/>
        </w:rPr>
      </w:pPr>
      <w:bookmarkStart w:id="828" w:name="_Toc14859"/>
      <w:bookmarkStart w:id="829" w:name="_Toc25452"/>
      <w:bookmarkStart w:id="830" w:name="_Toc24467"/>
      <w:bookmarkStart w:id="831" w:name="_Toc25003"/>
      <w:bookmarkStart w:id="832" w:name="_Toc19106"/>
      <w:bookmarkStart w:id="833" w:name="_Toc15941"/>
      <w:bookmarkStart w:id="834" w:name="_Toc28487"/>
      <w:r>
        <w:rPr>
          <w:rFonts w:hint="eastAsia" w:ascii="黑体" w:hAnsi="黑体" w:eastAsia="黑体" w:cs="黑体"/>
          <w:b/>
          <w:bCs/>
          <w:color w:val="auto"/>
          <w:sz w:val="28"/>
          <w:szCs w:val="28"/>
        </w:rPr>
        <w:t>B</w:t>
      </w:r>
      <w:r>
        <w:rPr>
          <w:rFonts w:hint="eastAsia" w:ascii="黑体" w:hAnsi="黑体" w:eastAsia="黑体" w:cs="黑体"/>
          <w:b/>
          <w:bCs/>
          <w:color w:val="auto"/>
          <w:sz w:val="28"/>
          <w:szCs w:val="28"/>
          <w:lang w:val="en-US" w:eastAsia="zh-CN"/>
        </w:rPr>
        <w:t>.</w:t>
      </w:r>
      <w:r>
        <w:rPr>
          <w:rFonts w:hint="eastAsia" w:ascii="黑体" w:hAnsi="黑体" w:eastAsia="黑体" w:cs="黑体"/>
          <w:b/>
          <w:bCs/>
          <w:color w:val="auto"/>
          <w:sz w:val="28"/>
          <w:szCs w:val="28"/>
        </w:rPr>
        <w:t>1 城市地下空间开发项目</w:t>
      </w:r>
      <w:bookmarkEnd w:id="828"/>
      <w:r>
        <w:rPr>
          <w:rFonts w:hint="eastAsia" w:ascii="黑体" w:hAnsi="黑体" w:eastAsia="黑体" w:cs="黑体"/>
          <w:b/>
          <w:bCs/>
          <w:color w:val="auto"/>
          <w:sz w:val="28"/>
          <w:szCs w:val="28"/>
        </w:rPr>
        <w:t>专项内容评价指标</w:t>
      </w:r>
      <w:bookmarkEnd w:id="829"/>
      <w:bookmarkEnd w:id="830"/>
      <w:bookmarkEnd w:id="831"/>
      <w:bookmarkEnd w:id="832"/>
      <w:bookmarkEnd w:id="833"/>
      <w:bookmarkEnd w:id="834"/>
    </w:p>
    <w:p w14:paraId="09179B69">
      <w:pPr>
        <w:snapToGrid w:val="0"/>
        <w:spacing w:line="360" w:lineRule="auto"/>
        <w:jc w:val="left"/>
        <w:rPr>
          <w:rFonts w:ascii="宋体" w:hAnsi="宋体" w:eastAsia="宋体" w:cs="宋体"/>
          <w:color w:val="000000" w:themeColor="text1"/>
          <w:sz w:val="24"/>
          <w14:textFill>
            <w14:solidFill>
              <w14:schemeClr w14:val="tx1"/>
            </w14:solidFill>
          </w14:textFill>
        </w:rPr>
      </w:pPr>
      <w:r>
        <w:rPr>
          <w:rFonts w:hint="eastAsia" w:ascii="宋体" w:hAnsi="宋体" w:cs="宋体"/>
          <w:color w:val="000000" w:themeColor="text1"/>
          <w:sz w:val="24"/>
          <w:lang w:eastAsia="zh-CN"/>
          <w14:textFill>
            <w14:solidFill>
              <w14:schemeClr w14:val="tx1"/>
            </w14:solidFill>
          </w14:textFill>
        </w:rPr>
        <w:t>B.1</w:t>
      </w:r>
      <w:r>
        <w:rPr>
          <w:rFonts w:hint="eastAsia" w:ascii="宋体" w:hAnsi="宋体" w:eastAsia="宋体" w:cs="宋体"/>
          <w:color w:val="000000" w:themeColor="text1"/>
          <w:sz w:val="24"/>
          <w14:textFill>
            <w14:solidFill>
              <w14:schemeClr w14:val="tx1"/>
            </w14:solidFill>
          </w14:textFill>
        </w:rPr>
        <w:t>.1 本条款适用于对地下空间基础设施项目封闭空间施工建造和运行阶段的评价。</w:t>
      </w:r>
    </w:p>
    <w:p w14:paraId="4C19709B">
      <w:pPr>
        <w:snapToGrid w:val="0"/>
        <w:spacing w:line="360" w:lineRule="auto"/>
        <w:ind w:firstLine="480" w:firstLineChars="200"/>
        <w:jc w:val="left"/>
        <w:rPr>
          <w:rFonts w:hint="default" w:ascii="宋体" w:hAnsi="宋体" w:eastAsia="宋体" w:cs="宋体"/>
          <w:color w:val="000000" w:themeColor="text1"/>
          <w:sz w:val="24"/>
          <w:lang w:val="en-US" w:eastAsia="zh-CN"/>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本标准所指城市地下空间开发项目是指用于生活、生产、交通、防灾、战争防护和环境保护等方面开发和利用的地下工程项目</w:t>
      </w:r>
      <w:r>
        <w:rPr>
          <w:rFonts w:hint="eastAsia" w:ascii="宋体" w:hAnsi="宋体" w:cs="宋体"/>
          <w:color w:val="000000" w:themeColor="text1"/>
          <w:sz w:val="24"/>
          <w:lang w:eastAsia="zh-CN"/>
          <w14:textFill>
            <w14:solidFill>
              <w14:schemeClr w14:val="tx1"/>
            </w14:solidFill>
          </w14:textFill>
        </w:rPr>
        <w:t>。（</w:t>
      </w:r>
      <w:r>
        <w:rPr>
          <w:rFonts w:hint="eastAsia" w:ascii="宋体" w:hAnsi="宋体" w:cs="宋体"/>
          <w:color w:val="000000" w:themeColor="text1"/>
          <w:sz w:val="24"/>
          <w:lang w:val="en-US" w:eastAsia="zh-CN"/>
          <w14:textFill>
            <w14:solidFill>
              <w14:schemeClr w14:val="tx1"/>
            </w14:solidFill>
          </w14:textFill>
        </w:rPr>
        <w:t>下同）</w:t>
      </w:r>
    </w:p>
    <w:p w14:paraId="0249C36F">
      <w:pPr>
        <w:snapToGrid w:val="0"/>
        <w:spacing w:line="360" w:lineRule="auto"/>
        <w:ind w:firstLine="480" w:firstLineChars="200"/>
        <w:jc w:val="left"/>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合理布置室内空气监测点，实施监测并记录，记录方法符合标准要求。室内空气质量指标体系包括：（1）物理性指标：温度、相对湿度、空气流速、照度、新风量；（2）化学性指标：二氧化碳、一氧化碳、氨、甲醛、苯、甲苯、二甲苯、总挥发性有机化合物、氮氧化物、铅、PM10；（3）生物性指标：细菌总数、溶血性链球菌；放射性指标：氡浓度。室内空气环境质量监测每年应不少于1次，监测数据应</w:t>
      </w:r>
      <w:r>
        <w:rPr>
          <w:rFonts w:hint="eastAsia" w:ascii="宋体" w:hAnsi="宋体" w:cs="宋体"/>
          <w:color w:val="000000" w:themeColor="text1"/>
          <w:sz w:val="24"/>
          <w:lang w:val="en-US" w:eastAsia="zh-CN"/>
          <w14:textFill>
            <w14:solidFill>
              <w14:schemeClr w14:val="tx1"/>
            </w14:solidFill>
          </w14:textFill>
        </w:rPr>
        <w:t>符合</w:t>
      </w:r>
      <w:r>
        <w:rPr>
          <w:rFonts w:hint="eastAsia" w:ascii="宋体" w:hAnsi="宋体" w:eastAsia="宋体" w:cs="宋体"/>
          <w:color w:val="000000" w:themeColor="text1"/>
          <w:sz w:val="24"/>
          <w14:textFill>
            <w14:solidFill>
              <w14:schemeClr w14:val="tx1"/>
            </w14:solidFill>
          </w14:textFill>
        </w:rPr>
        <w:t>《室内空气质量标准》GB/T18883</w:t>
      </w:r>
      <w:r>
        <w:rPr>
          <w:rFonts w:hint="eastAsia" w:ascii="宋体" w:hAnsi="宋体" w:cs="宋体"/>
          <w:color w:val="000000" w:themeColor="text1"/>
          <w:sz w:val="24"/>
          <w:lang w:val="en-US" w:eastAsia="zh-CN"/>
          <w14:textFill>
            <w14:solidFill>
              <w14:schemeClr w14:val="tx1"/>
            </w14:solidFill>
          </w14:textFill>
        </w:rPr>
        <w:t>的有关规定</w:t>
      </w:r>
      <w:r>
        <w:rPr>
          <w:rFonts w:hint="eastAsia" w:ascii="宋体" w:hAnsi="宋体" w:eastAsia="宋体" w:cs="宋体"/>
          <w:color w:val="000000" w:themeColor="text1"/>
          <w:sz w:val="24"/>
          <w14:textFill>
            <w14:solidFill>
              <w14:schemeClr w14:val="tx1"/>
            </w14:solidFill>
          </w14:textFill>
        </w:rPr>
        <w:t>。</w:t>
      </w:r>
    </w:p>
    <w:p w14:paraId="7156B05E">
      <w:pPr>
        <w:snapToGrid w:val="0"/>
        <w:spacing w:line="360" w:lineRule="auto"/>
        <w:ind w:firstLine="480" w:firstLineChars="200"/>
        <w:jc w:val="left"/>
        <w:rPr>
          <w:rFonts w:hint="eastAsia" w:ascii="宋体" w:hAnsi="宋体" w:eastAsia="宋体" w:cs="宋体"/>
          <w:color w:val="000000" w:themeColor="text1"/>
          <w:sz w:val="24"/>
          <w:lang w:eastAsia="zh-CN"/>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考量内容：（1）现场测量数据台账；（2）监测点设置情况；（3）监测单位资质有效性；（4）检测方法</w:t>
      </w:r>
      <w:r>
        <w:rPr>
          <w:rFonts w:hint="eastAsia" w:ascii="宋体" w:hAnsi="宋体" w:eastAsia="宋体" w:cs="宋体"/>
          <w:color w:val="000000" w:themeColor="text1"/>
          <w:sz w:val="24"/>
          <w:lang w:eastAsia="zh-CN"/>
          <w14:textFill>
            <w14:solidFill>
              <w14:schemeClr w14:val="tx1"/>
            </w14:solidFill>
          </w14:textFill>
        </w:rPr>
        <w:t>。</w:t>
      </w:r>
    </w:p>
    <w:p w14:paraId="03FBDF49">
      <w:pPr>
        <w:widowControl/>
        <w:snapToGrid w:val="0"/>
        <w:spacing w:line="360" w:lineRule="auto"/>
        <w:jc w:val="left"/>
        <w:rPr>
          <w:rFonts w:ascii="宋体" w:hAnsi="宋体" w:eastAsia="宋体" w:cs="宋体"/>
          <w:sz w:val="24"/>
        </w:rPr>
      </w:pPr>
      <w:r>
        <w:rPr>
          <w:rFonts w:hint="eastAsia" w:ascii="宋体" w:hAnsi="宋体" w:cs="宋体"/>
          <w:sz w:val="24"/>
          <w:lang w:eastAsia="zh-CN"/>
        </w:rPr>
        <w:t>B.1</w:t>
      </w:r>
      <w:r>
        <w:rPr>
          <w:rFonts w:hint="eastAsia" w:ascii="宋体" w:hAnsi="宋体" w:eastAsia="宋体" w:cs="宋体"/>
          <w:sz w:val="24"/>
        </w:rPr>
        <w:t>.2本条款适用于对地下空间基础设施项目封闭空间的规划设计阶段、施工建造阶段、运行阶段的评价。</w:t>
      </w:r>
    </w:p>
    <w:p w14:paraId="602F2286">
      <w:pPr>
        <w:widowControl/>
        <w:snapToGrid w:val="0"/>
        <w:spacing w:line="360" w:lineRule="auto"/>
        <w:ind w:firstLine="480" w:firstLineChars="200"/>
        <w:jc w:val="left"/>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营造动态而非恒定不变的室内环境，有利于维持人体对热环境的应激能力，改善使用者舒适感与身体健康。</w:t>
      </w:r>
    </w:p>
    <w:p w14:paraId="0075DE5E">
      <w:pPr>
        <w:widowControl/>
        <w:snapToGrid w:val="0"/>
        <w:spacing w:line="360" w:lineRule="auto"/>
        <w:ind w:firstLine="480" w:firstLineChars="200"/>
        <w:jc w:val="left"/>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注重建筑适应性热舒适设计，强化自然通风、复合通风，合理拓宽室内热湿环境设计参数，鼓励允许室内人员对外窗、风扇等装置进行自由调节。</w:t>
      </w:r>
    </w:p>
    <w:p w14:paraId="692D67FB">
      <w:pPr>
        <w:widowControl/>
        <w:snapToGrid w:val="0"/>
        <w:spacing w:line="360" w:lineRule="auto"/>
        <w:ind w:firstLine="480" w:firstLineChars="200"/>
        <w:jc w:val="left"/>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地下综合管廊应注意进行通风换气，及时排除管廊内部余热，确保运行人员安全；同时避免因管廊内与地面温差过大，避免管道表面出现锈蚀现象，影响运行安全。</w:t>
      </w:r>
    </w:p>
    <w:p w14:paraId="11B556B9">
      <w:pPr>
        <w:widowControl/>
        <w:snapToGrid w:val="0"/>
        <w:spacing w:line="360" w:lineRule="auto"/>
        <w:ind w:firstLine="480" w:firstLineChars="200"/>
        <w:jc w:val="left"/>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考量内容：（1）检测点设置及检测点周边环境被干扰的因素；（2）规划设计方案及图纸；（3）竣工验收指标；（4）监测单位资质有效性、检测方法</w:t>
      </w:r>
      <w:r>
        <w:rPr>
          <w:rFonts w:hint="eastAsia" w:ascii="宋体" w:hAnsi="宋体" w:eastAsia="宋体" w:cs="宋体"/>
          <w:color w:val="000000" w:themeColor="text1"/>
          <w:kern w:val="0"/>
          <w:sz w:val="24"/>
          <w:lang w:eastAsia="zh-CN"/>
          <w14:textFill>
            <w14:solidFill>
              <w14:schemeClr w14:val="tx1"/>
            </w14:solidFill>
          </w14:textFill>
        </w:rPr>
        <w:t>；</w:t>
      </w:r>
      <w:r>
        <w:rPr>
          <w:rFonts w:hint="eastAsia" w:ascii="宋体" w:hAnsi="宋体" w:eastAsia="宋体" w:cs="宋体"/>
          <w:color w:val="000000" w:themeColor="text1"/>
          <w:kern w:val="0"/>
          <w:sz w:val="24"/>
          <w14:textFill>
            <w14:solidFill>
              <w14:schemeClr w14:val="tx1"/>
            </w14:solidFill>
          </w14:textFill>
        </w:rPr>
        <w:t>（5）现场测量数据台账。</w:t>
      </w:r>
    </w:p>
    <w:p w14:paraId="4AD741DC">
      <w:pPr>
        <w:snapToGrid w:val="0"/>
        <w:spacing w:line="360" w:lineRule="auto"/>
        <w:jc w:val="left"/>
        <w:rPr>
          <w:rFonts w:ascii="宋体" w:hAnsi="宋体" w:eastAsia="宋体" w:cs="宋体"/>
          <w:kern w:val="0"/>
          <w:sz w:val="24"/>
        </w:rPr>
      </w:pPr>
      <w:r>
        <w:rPr>
          <w:rFonts w:hint="eastAsia" w:ascii="宋体" w:hAnsi="宋体" w:cs="宋体"/>
          <w:sz w:val="24"/>
          <w:lang w:eastAsia="zh-CN"/>
        </w:rPr>
        <w:t>B.1</w:t>
      </w:r>
      <w:r>
        <w:rPr>
          <w:rFonts w:hint="eastAsia" w:ascii="宋体" w:hAnsi="宋体" w:eastAsia="宋体" w:cs="宋体"/>
          <w:sz w:val="24"/>
        </w:rPr>
        <w:t>.3</w:t>
      </w:r>
      <w:r>
        <w:rPr>
          <w:rFonts w:hint="eastAsia" w:ascii="宋体" w:hAnsi="宋体" w:eastAsia="宋体" w:cs="宋体"/>
          <w:kern w:val="0"/>
          <w:sz w:val="24"/>
        </w:rPr>
        <w:t>本条款适用于地下空间绿化系统规划设计阶段、运行阶段的评价。</w:t>
      </w:r>
    </w:p>
    <w:p w14:paraId="0F00B8DC">
      <w:pPr>
        <w:widowControl/>
        <w:snapToGrid w:val="0"/>
        <w:spacing w:line="360" w:lineRule="auto"/>
        <w:ind w:firstLine="480" w:firstLineChars="200"/>
        <w:jc w:val="left"/>
        <w:rPr>
          <w:rFonts w:ascii="宋体" w:hAnsi="宋体" w:eastAsia="宋体" w:cs="宋体"/>
          <w:kern w:val="0"/>
          <w:sz w:val="24"/>
        </w:rPr>
      </w:pPr>
      <w:r>
        <w:rPr>
          <w:rFonts w:hint="eastAsia" w:ascii="宋体" w:hAnsi="宋体" w:eastAsia="宋体" w:cs="宋体"/>
          <w:kern w:val="0"/>
          <w:sz w:val="24"/>
        </w:rPr>
        <w:t>1 地下空间系统设计阶段的绿化植物的选择参考《城市绿地规划标准》GB/T 51346的规定，植物种植应适应当地气候和土壤，且应无毒害、易维护，种植区域覆土深度和排水能力应满足植物生长需求。如在一些空间较大的公共区域，如下沉广场、采光井等处可以种植一些高大的植物，或采取高矮相结合的种植方式等；在自然光线不足的</w:t>
      </w:r>
      <w:r>
        <w:rPr>
          <w:rFonts w:hint="eastAsia" w:ascii="宋体" w:hAnsi="宋体" w:eastAsia="宋体" w:cs="宋体"/>
          <w:kern w:val="0"/>
          <w:sz w:val="24"/>
          <w:lang w:eastAsia="zh-CN"/>
        </w:rPr>
        <w:t>当地</w:t>
      </w:r>
      <w:r>
        <w:rPr>
          <w:rFonts w:hint="eastAsia" w:ascii="宋体" w:hAnsi="宋体" w:eastAsia="宋体" w:cs="宋体"/>
          <w:kern w:val="0"/>
          <w:sz w:val="24"/>
        </w:rPr>
        <w:t>种植喜阴植物，或摆放可移动的盆栽等</w:t>
      </w:r>
    </w:p>
    <w:p w14:paraId="36B137E0">
      <w:pPr>
        <w:widowControl/>
        <w:snapToGrid w:val="0"/>
        <w:spacing w:line="360" w:lineRule="auto"/>
        <w:ind w:firstLine="480" w:firstLineChars="200"/>
        <w:jc w:val="left"/>
        <w:rPr>
          <w:rFonts w:ascii="宋体" w:hAnsi="宋体" w:eastAsia="宋体" w:cs="宋体"/>
          <w:kern w:val="0"/>
          <w:sz w:val="24"/>
        </w:rPr>
      </w:pPr>
      <w:r>
        <w:rPr>
          <w:rFonts w:hint="eastAsia" w:ascii="宋体" w:hAnsi="宋体" w:eastAsia="宋体" w:cs="宋体"/>
          <w:kern w:val="0"/>
          <w:sz w:val="24"/>
        </w:rPr>
        <w:t>2 地下空间系统设计阶段的绿化植物的布置应采用水平绿化和垂直绿化相结合布置，其中垂直绿化在构图时应注意到构图比例的问题，应结合地下空间立面的尺度大小来设计绿化的形式手法。</w:t>
      </w:r>
    </w:p>
    <w:p w14:paraId="1EDA66EE">
      <w:pPr>
        <w:widowControl/>
        <w:snapToGrid w:val="0"/>
        <w:spacing w:line="360" w:lineRule="auto"/>
        <w:ind w:firstLine="480" w:firstLineChars="200"/>
        <w:jc w:val="left"/>
        <w:rPr>
          <w:rFonts w:ascii="宋体" w:hAnsi="宋体" w:eastAsia="宋体" w:cs="宋体"/>
          <w:kern w:val="0"/>
          <w:sz w:val="24"/>
        </w:rPr>
      </w:pPr>
      <w:r>
        <w:rPr>
          <w:rFonts w:hint="eastAsia" w:ascii="宋体" w:hAnsi="宋体" w:eastAsia="宋体" w:cs="宋体"/>
          <w:kern w:val="0"/>
          <w:sz w:val="24"/>
        </w:rPr>
        <w:t>3 为实现地下空间与地面环境的无缝融合，应提升地下地上绿化系统一体化程度，如通过立体绿化设计、下沉广场的绿化、地面建筑与地下空间绿化系统融合形成多层次的绿化体系等设计手段实现。</w:t>
      </w:r>
    </w:p>
    <w:p w14:paraId="6E2ECAC2">
      <w:pPr>
        <w:widowControl/>
        <w:snapToGrid w:val="0"/>
        <w:spacing w:line="360" w:lineRule="auto"/>
        <w:ind w:firstLine="480" w:firstLineChars="200"/>
        <w:jc w:val="left"/>
        <w:rPr>
          <w:rFonts w:ascii="宋体" w:hAnsi="宋体" w:eastAsia="宋体" w:cs="宋体"/>
          <w:kern w:val="0"/>
          <w:sz w:val="24"/>
        </w:rPr>
      </w:pPr>
      <w:r>
        <w:rPr>
          <w:rFonts w:hint="eastAsia" w:ascii="宋体" w:hAnsi="宋体" w:eastAsia="宋体" w:cs="宋体"/>
          <w:kern w:val="0"/>
          <w:sz w:val="24"/>
        </w:rPr>
        <w:t>考量内容：（1）绿化植物的选择；（2）绿化植物的布置方案；（3）地下地上绿化系统一体化程度。</w:t>
      </w:r>
    </w:p>
    <w:p w14:paraId="2628D4ED">
      <w:pPr>
        <w:widowControl/>
        <w:snapToGrid w:val="0"/>
        <w:spacing w:line="360" w:lineRule="auto"/>
        <w:jc w:val="left"/>
        <w:rPr>
          <w:rFonts w:ascii="宋体" w:hAnsi="宋体" w:eastAsia="宋体" w:cs="宋体"/>
          <w:kern w:val="0"/>
          <w:sz w:val="24"/>
        </w:rPr>
      </w:pPr>
      <w:bookmarkStart w:id="835" w:name="_Toc16853"/>
      <w:bookmarkStart w:id="836" w:name="_Toc19415"/>
      <w:r>
        <w:rPr>
          <w:rFonts w:hint="eastAsia" w:ascii="宋体" w:hAnsi="宋体" w:cs="宋体"/>
          <w:sz w:val="24"/>
          <w:lang w:eastAsia="zh-CN"/>
        </w:rPr>
        <w:t>B.1</w:t>
      </w:r>
      <w:r>
        <w:rPr>
          <w:rFonts w:hint="eastAsia" w:ascii="宋体" w:hAnsi="宋体" w:eastAsia="宋体" w:cs="宋体"/>
          <w:sz w:val="24"/>
        </w:rPr>
        <w:t>.</w:t>
      </w:r>
      <w:r>
        <w:rPr>
          <w:rFonts w:hint="eastAsia" w:ascii="宋体" w:hAnsi="宋体" w:cs="宋体"/>
          <w:sz w:val="24"/>
          <w:lang w:val="en-US" w:eastAsia="zh-CN"/>
        </w:rPr>
        <w:t>4</w:t>
      </w:r>
      <w:r>
        <w:rPr>
          <w:rFonts w:hint="eastAsia" w:ascii="宋体" w:hAnsi="宋体" w:eastAsia="宋体" w:cs="宋体"/>
          <w:kern w:val="0"/>
          <w:sz w:val="24"/>
        </w:rPr>
        <w:t>本条款适用于地下空间规划设计阶段的评价。</w:t>
      </w:r>
    </w:p>
    <w:p w14:paraId="59205902">
      <w:pPr>
        <w:widowControl/>
        <w:snapToGrid w:val="0"/>
        <w:spacing w:line="360" w:lineRule="auto"/>
        <w:ind w:firstLine="480" w:firstLineChars="200"/>
        <w:jc w:val="left"/>
        <w:rPr>
          <w:rFonts w:ascii="宋体" w:hAnsi="宋体" w:eastAsia="宋体" w:cs="宋体"/>
          <w:kern w:val="0"/>
          <w:sz w:val="24"/>
        </w:rPr>
      </w:pPr>
      <w:r>
        <w:rPr>
          <w:rFonts w:hint="eastAsia" w:ascii="宋体" w:hAnsi="宋体" w:eastAsia="宋体" w:cs="宋体"/>
          <w:kern w:val="0"/>
          <w:sz w:val="24"/>
        </w:rPr>
        <w:t>合理开发利用地下空间。在进行工程规划时应考虑减少土地资源的占用，增加土地功能的多样化，提高土地节约集约利用水平，使城市的有限空间资源得到充分利用，各种设施的功能得到综合协调，并发挥出更大的经济和社会效益。</w:t>
      </w:r>
    </w:p>
    <w:p w14:paraId="1E9112AE">
      <w:pPr>
        <w:snapToGrid w:val="0"/>
        <w:spacing w:line="360" w:lineRule="auto"/>
        <w:ind w:firstLine="480" w:firstLineChars="200"/>
        <w:rPr>
          <w:rFonts w:ascii="宋体" w:hAnsi="宋体" w:eastAsia="宋体" w:cs="宋体"/>
          <w:kern w:val="0"/>
          <w:sz w:val="24"/>
        </w:rPr>
      </w:pPr>
      <w:r>
        <w:rPr>
          <w:rFonts w:hint="eastAsia" w:ascii="宋体" w:hAnsi="宋体" w:eastAsia="宋体" w:cs="宋体"/>
          <w:kern w:val="0"/>
          <w:sz w:val="24"/>
        </w:rPr>
        <w:t>考量内容：（1）地下空间规划设计图纸；（2）地下空间规划设计方案。</w:t>
      </w:r>
    </w:p>
    <w:p w14:paraId="10F911E3">
      <w:pPr>
        <w:snapToGrid w:val="0"/>
        <w:spacing w:line="360" w:lineRule="auto"/>
        <w:jc w:val="left"/>
        <w:rPr>
          <w:rFonts w:ascii="宋体" w:hAnsi="宋体" w:eastAsia="宋体" w:cs="宋体"/>
          <w:kern w:val="0"/>
          <w:sz w:val="24"/>
        </w:rPr>
      </w:pPr>
      <w:r>
        <w:rPr>
          <w:rFonts w:hint="eastAsia" w:ascii="宋体" w:hAnsi="宋体" w:cs="宋体"/>
          <w:sz w:val="24"/>
          <w:lang w:eastAsia="zh-CN"/>
        </w:rPr>
        <w:t>B.1</w:t>
      </w:r>
      <w:r>
        <w:rPr>
          <w:rFonts w:hint="eastAsia" w:ascii="宋体" w:hAnsi="宋体" w:eastAsia="宋体" w:cs="宋体"/>
          <w:sz w:val="24"/>
        </w:rPr>
        <w:t>.</w:t>
      </w:r>
      <w:r>
        <w:rPr>
          <w:rFonts w:hint="eastAsia" w:ascii="宋体" w:hAnsi="宋体" w:cs="宋体"/>
          <w:sz w:val="24"/>
          <w:lang w:val="en-US" w:eastAsia="zh-CN"/>
        </w:rPr>
        <w:t>5</w:t>
      </w:r>
      <w:r>
        <w:rPr>
          <w:rFonts w:hint="eastAsia" w:ascii="宋体" w:hAnsi="宋体" w:eastAsia="宋体" w:cs="宋体"/>
          <w:kern w:val="0"/>
          <w:sz w:val="24"/>
        </w:rPr>
        <w:t>本条款适用于地下轨道交通规划设计阶段的评价。</w:t>
      </w:r>
    </w:p>
    <w:p w14:paraId="721F8347">
      <w:pPr>
        <w:widowControl/>
        <w:snapToGrid w:val="0"/>
        <w:spacing w:line="360" w:lineRule="auto"/>
        <w:ind w:firstLine="480" w:firstLineChars="200"/>
        <w:jc w:val="left"/>
        <w:rPr>
          <w:rFonts w:ascii="宋体" w:hAnsi="宋体" w:eastAsia="宋体" w:cs="宋体"/>
          <w:kern w:val="0"/>
          <w:sz w:val="24"/>
        </w:rPr>
      </w:pPr>
      <w:r>
        <w:rPr>
          <w:rFonts w:hint="eastAsia" w:ascii="宋体" w:hAnsi="宋体" w:eastAsia="宋体" w:cs="宋体"/>
          <w:kern w:val="0"/>
          <w:sz w:val="24"/>
        </w:rPr>
        <w:t>对轨道交通加强统筹规划，加强区域平衡。本条要求在轨道交通站点周边500m范围内采取居住用地(R类)、公共管理与公共服务设施用地(A类)、商业服务业用地(B类)和绿化广场用地(G类)等用地的混合开发和地上地下一体化综合开发模式的站点数量占线路总站点数量的比例不低于50％，实现城市轨道交通导向的混合用地布局模式。</w:t>
      </w:r>
    </w:p>
    <w:p w14:paraId="735CF7E2">
      <w:pPr>
        <w:widowControl/>
        <w:snapToGrid w:val="0"/>
        <w:spacing w:line="360" w:lineRule="auto"/>
        <w:ind w:firstLine="480" w:firstLineChars="200"/>
        <w:jc w:val="left"/>
        <w:rPr>
          <w:rFonts w:ascii="宋体" w:hAnsi="宋体" w:eastAsia="宋体" w:cs="宋体"/>
          <w:kern w:val="0"/>
          <w:sz w:val="24"/>
        </w:rPr>
      </w:pPr>
      <w:r>
        <w:rPr>
          <w:rFonts w:hint="eastAsia" w:ascii="宋体" w:hAnsi="宋体" w:eastAsia="宋体" w:cs="宋体"/>
          <w:kern w:val="0"/>
          <w:sz w:val="24"/>
        </w:rPr>
        <w:t>考量内容：（1）车站用地规划图；（2）站点周边500m范围内采取混合开发的站点数量占总站点数量的比例。</w:t>
      </w:r>
    </w:p>
    <w:p w14:paraId="57E973E3">
      <w:pPr>
        <w:snapToGrid w:val="0"/>
        <w:spacing w:line="360" w:lineRule="auto"/>
        <w:jc w:val="left"/>
        <w:rPr>
          <w:rFonts w:ascii="宋体" w:hAnsi="宋体" w:eastAsia="宋体" w:cs="宋体"/>
          <w:kern w:val="0"/>
          <w:sz w:val="24"/>
        </w:rPr>
      </w:pPr>
      <w:r>
        <w:rPr>
          <w:rFonts w:hint="eastAsia" w:ascii="宋体" w:hAnsi="宋体" w:cs="宋体"/>
          <w:sz w:val="24"/>
          <w:lang w:eastAsia="zh-CN"/>
        </w:rPr>
        <w:t>B.1</w:t>
      </w:r>
      <w:r>
        <w:rPr>
          <w:rFonts w:hint="eastAsia" w:ascii="宋体" w:hAnsi="宋体" w:eastAsia="宋体" w:cs="宋体"/>
          <w:sz w:val="24"/>
        </w:rPr>
        <w:t>.</w:t>
      </w:r>
      <w:r>
        <w:rPr>
          <w:rFonts w:hint="eastAsia" w:ascii="宋体" w:hAnsi="宋体" w:cs="宋体"/>
          <w:sz w:val="24"/>
          <w:lang w:val="en-US" w:eastAsia="zh-CN"/>
        </w:rPr>
        <w:t>6</w:t>
      </w:r>
      <w:r>
        <w:rPr>
          <w:rFonts w:hint="eastAsia" w:ascii="宋体" w:hAnsi="宋体" w:eastAsia="宋体" w:cs="宋体"/>
          <w:sz w:val="24"/>
        </w:rPr>
        <w:t xml:space="preserve"> </w:t>
      </w:r>
      <w:r>
        <w:rPr>
          <w:rFonts w:hint="eastAsia" w:ascii="宋体" w:hAnsi="宋体" w:eastAsia="宋体" w:cs="宋体"/>
          <w:kern w:val="0"/>
          <w:sz w:val="24"/>
        </w:rPr>
        <w:t>本条款适用于地下轨道交通规划设计阶段的评价。</w:t>
      </w:r>
    </w:p>
    <w:p w14:paraId="65057DA2">
      <w:pPr>
        <w:widowControl/>
        <w:snapToGrid w:val="0"/>
        <w:spacing w:line="360" w:lineRule="auto"/>
        <w:ind w:firstLine="480" w:firstLineChars="200"/>
        <w:jc w:val="left"/>
        <w:rPr>
          <w:rFonts w:ascii="宋体" w:hAnsi="宋体" w:eastAsia="宋体" w:cs="宋体"/>
          <w:kern w:val="0"/>
          <w:sz w:val="24"/>
        </w:rPr>
      </w:pPr>
      <w:r>
        <w:rPr>
          <w:rFonts w:hint="eastAsia" w:ascii="宋体" w:hAnsi="宋体" w:eastAsia="宋体" w:cs="宋体"/>
          <w:kern w:val="0"/>
          <w:sz w:val="24"/>
        </w:rPr>
        <w:t>探索“综合用地”规划和土地复合利用方式，体现“功能混合、生态宜居、立体复合”的规划理念，与地区发展整体联动，进一步提高土地节约集约利用水平。</w:t>
      </w:r>
    </w:p>
    <w:p w14:paraId="3F2921FC">
      <w:pPr>
        <w:widowControl/>
        <w:snapToGrid w:val="0"/>
        <w:spacing w:line="360" w:lineRule="auto"/>
        <w:ind w:firstLine="480" w:firstLineChars="200"/>
        <w:jc w:val="left"/>
        <w:rPr>
          <w:rFonts w:ascii="宋体" w:hAnsi="宋体" w:eastAsia="宋体" w:cs="宋体"/>
          <w:kern w:val="0"/>
          <w:sz w:val="24"/>
        </w:rPr>
      </w:pPr>
      <w:r>
        <w:rPr>
          <w:rFonts w:hint="eastAsia" w:ascii="宋体" w:hAnsi="宋体" w:eastAsia="宋体" w:cs="宋体"/>
          <w:kern w:val="0"/>
          <w:sz w:val="24"/>
        </w:rPr>
        <w:t>考量内容：（1）实施规划方案；（2）规划设计文件；（3）位置标识图；（4）工程竣工图。</w:t>
      </w:r>
    </w:p>
    <w:bookmarkEnd w:id="835"/>
    <w:bookmarkEnd w:id="836"/>
    <w:p w14:paraId="127248F0">
      <w:pPr>
        <w:widowControl/>
        <w:snapToGrid w:val="0"/>
        <w:spacing w:line="360" w:lineRule="auto"/>
        <w:jc w:val="left"/>
        <w:rPr>
          <w:rFonts w:ascii="宋体" w:hAnsi="宋体" w:eastAsia="宋体" w:cs="宋体"/>
          <w:color w:val="000000" w:themeColor="text1"/>
          <w:kern w:val="0"/>
          <w:sz w:val="24"/>
          <w14:textFill>
            <w14:solidFill>
              <w14:schemeClr w14:val="tx1"/>
            </w14:solidFill>
          </w14:textFill>
        </w:rPr>
      </w:pPr>
      <w:r>
        <w:rPr>
          <w:rFonts w:hint="eastAsia" w:ascii="宋体" w:hAnsi="宋体" w:cs="宋体"/>
          <w:color w:val="000000" w:themeColor="text1"/>
          <w:sz w:val="24"/>
          <w:lang w:eastAsia="zh-CN"/>
          <w14:textFill>
            <w14:solidFill>
              <w14:schemeClr w14:val="tx1"/>
            </w14:solidFill>
          </w14:textFill>
        </w:rPr>
        <w:t>B.1</w:t>
      </w:r>
      <w:r>
        <w:rPr>
          <w:rFonts w:hint="eastAsia" w:ascii="宋体" w:hAnsi="宋体" w:eastAsia="宋体" w:cs="宋体"/>
          <w:color w:val="000000" w:themeColor="text1"/>
          <w:sz w:val="24"/>
          <w14:textFill>
            <w14:solidFill>
              <w14:schemeClr w14:val="tx1"/>
            </w14:solidFill>
          </w14:textFill>
        </w:rPr>
        <w:t>.</w:t>
      </w:r>
      <w:r>
        <w:rPr>
          <w:rFonts w:hint="eastAsia" w:ascii="宋体" w:hAnsi="宋体" w:cs="宋体"/>
          <w:color w:val="000000" w:themeColor="text1"/>
          <w:sz w:val="24"/>
          <w:lang w:val="en-US" w:eastAsia="zh-CN"/>
          <w14:textFill>
            <w14:solidFill>
              <w14:schemeClr w14:val="tx1"/>
            </w14:solidFill>
          </w14:textFill>
        </w:rPr>
        <w:t>7</w:t>
      </w:r>
      <w:r>
        <w:rPr>
          <w:rFonts w:hint="eastAsia" w:ascii="宋体" w:hAnsi="宋体" w:eastAsia="宋体" w:cs="宋体"/>
          <w:color w:val="000000" w:themeColor="text1"/>
          <w:kern w:val="0"/>
          <w:sz w:val="24"/>
          <w14:textFill>
            <w14:solidFill>
              <w14:schemeClr w14:val="tx1"/>
            </w14:solidFill>
          </w14:textFill>
        </w:rPr>
        <w:t>本条款适用于隧道等地下空间设施运行阶段</w:t>
      </w:r>
      <w:r>
        <w:rPr>
          <w:rFonts w:hint="eastAsia" w:ascii="宋体" w:hAnsi="宋体" w:eastAsia="宋体" w:cs="宋体"/>
          <w:color w:val="000000" w:themeColor="text1"/>
          <w:kern w:val="0"/>
          <w:sz w:val="24"/>
          <w:lang w:val="en-US" w:eastAsia="zh-CN"/>
          <w14:textFill>
            <w14:solidFill>
              <w14:schemeClr w14:val="tx1"/>
            </w14:solidFill>
          </w14:textFill>
        </w:rPr>
        <w:t>的评价</w:t>
      </w:r>
      <w:r>
        <w:rPr>
          <w:rFonts w:hint="eastAsia" w:ascii="宋体" w:hAnsi="宋体" w:eastAsia="宋体" w:cs="宋体"/>
          <w:color w:val="000000" w:themeColor="text1"/>
          <w:kern w:val="0"/>
          <w:sz w:val="24"/>
          <w14:textFill>
            <w14:solidFill>
              <w14:schemeClr w14:val="tx1"/>
            </w14:solidFill>
          </w14:textFill>
        </w:rPr>
        <w:t>。</w:t>
      </w:r>
    </w:p>
    <w:p w14:paraId="54EE66C8">
      <w:pPr>
        <w:widowControl/>
        <w:snapToGrid w:val="0"/>
        <w:spacing w:line="360" w:lineRule="auto"/>
        <w:ind w:firstLine="480" w:firstLineChars="200"/>
        <w:jc w:val="left"/>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地下空间结构健康健康监测系统通过在隧道结构关键位置安装传感器，利用传感技术，可克服传统检测方法无法连续进行、以定性调研为主、受作业空间限制等缺陷，可以对地下空间安全运行管理和维护工作提供重要指导。</w:t>
      </w:r>
    </w:p>
    <w:p w14:paraId="001BBD6E">
      <w:pPr>
        <w:widowControl/>
        <w:snapToGrid w:val="0"/>
        <w:spacing w:line="360" w:lineRule="auto"/>
        <w:ind w:firstLine="480" w:firstLineChars="200"/>
        <w:jc w:val="left"/>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健康监测断面的布置应结合地下空间设施结构周围工程水文地质情况、线路设计方案等情况，选择水（土）压力最大、覆土厚度最小、建筑结构变异、下卧地层变动较大处等易发生安全隐患的部位进行监测。</w:t>
      </w:r>
    </w:p>
    <w:p w14:paraId="5D1D9D16">
      <w:pPr>
        <w:widowControl/>
        <w:snapToGrid w:val="0"/>
        <w:spacing w:line="360" w:lineRule="auto"/>
        <w:ind w:firstLine="480" w:firstLineChars="200"/>
        <w:jc w:val="left"/>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考量内容：（1）信息化管理系统；（2）监测断面的选择、健康监测预埋元器件性能；（3）系统功能模块的运行情况。</w:t>
      </w:r>
    </w:p>
    <w:p w14:paraId="2E49B9BB">
      <w:pPr>
        <w:snapToGrid w:val="0"/>
        <w:spacing w:line="360" w:lineRule="auto"/>
        <w:rPr>
          <w:rFonts w:ascii="宋体" w:hAnsi="宋体" w:eastAsia="宋体" w:cs="宋体"/>
          <w:color w:val="000000" w:themeColor="text1"/>
          <w:kern w:val="0"/>
          <w:sz w:val="24"/>
          <w14:textFill>
            <w14:solidFill>
              <w14:schemeClr w14:val="tx1"/>
            </w14:solidFill>
          </w14:textFill>
        </w:rPr>
      </w:pPr>
      <w:r>
        <w:rPr>
          <w:rFonts w:hint="eastAsia" w:ascii="宋体" w:hAnsi="宋体" w:cs="宋体"/>
          <w:color w:val="000000" w:themeColor="text1"/>
          <w:sz w:val="24"/>
          <w:lang w:eastAsia="zh-CN"/>
          <w14:textFill>
            <w14:solidFill>
              <w14:schemeClr w14:val="tx1"/>
            </w14:solidFill>
          </w14:textFill>
        </w:rPr>
        <w:t>B.1</w:t>
      </w:r>
      <w:r>
        <w:rPr>
          <w:rFonts w:hint="eastAsia" w:ascii="宋体" w:hAnsi="宋体" w:eastAsia="宋体" w:cs="宋体"/>
          <w:color w:val="000000" w:themeColor="text1"/>
          <w:sz w:val="24"/>
          <w14:textFill>
            <w14:solidFill>
              <w14:schemeClr w14:val="tx1"/>
            </w14:solidFill>
          </w14:textFill>
        </w:rPr>
        <w:t>.</w:t>
      </w:r>
      <w:r>
        <w:rPr>
          <w:rFonts w:hint="eastAsia" w:ascii="宋体" w:hAnsi="宋体" w:cs="宋体"/>
          <w:color w:val="000000" w:themeColor="text1"/>
          <w:sz w:val="24"/>
          <w:lang w:val="en-US" w:eastAsia="zh-CN"/>
          <w14:textFill>
            <w14:solidFill>
              <w14:schemeClr w14:val="tx1"/>
            </w14:solidFill>
          </w14:textFill>
        </w:rPr>
        <w:t>8</w:t>
      </w:r>
      <w:r>
        <w:rPr>
          <w:rFonts w:hint="eastAsia" w:ascii="宋体" w:hAnsi="宋体" w:eastAsia="宋体" w:cs="宋体"/>
          <w:color w:val="000000" w:themeColor="text1"/>
          <w:kern w:val="0"/>
          <w:sz w:val="24"/>
          <w14:textFill>
            <w14:solidFill>
              <w14:schemeClr w14:val="tx1"/>
            </w14:solidFill>
          </w14:textFill>
        </w:rPr>
        <w:t>本条款适用于地下空间设施施工建造阶段</w:t>
      </w:r>
      <w:r>
        <w:rPr>
          <w:rFonts w:hint="eastAsia" w:ascii="宋体" w:hAnsi="宋体" w:eastAsia="宋体" w:cs="宋体"/>
          <w:color w:val="000000" w:themeColor="text1"/>
          <w:kern w:val="0"/>
          <w:sz w:val="24"/>
          <w:lang w:val="en-US" w:eastAsia="zh-CN"/>
          <w14:textFill>
            <w14:solidFill>
              <w14:schemeClr w14:val="tx1"/>
            </w14:solidFill>
          </w14:textFill>
        </w:rPr>
        <w:t>的评价</w:t>
      </w:r>
      <w:r>
        <w:rPr>
          <w:rFonts w:hint="eastAsia" w:ascii="宋体" w:hAnsi="宋体" w:eastAsia="宋体" w:cs="宋体"/>
          <w:color w:val="000000" w:themeColor="text1"/>
          <w:kern w:val="0"/>
          <w:sz w:val="24"/>
          <w14:textFill>
            <w14:solidFill>
              <w14:schemeClr w14:val="tx1"/>
            </w14:solidFill>
          </w14:textFill>
        </w:rPr>
        <w:t>。</w:t>
      </w:r>
    </w:p>
    <w:p w14:paraId="6D840A7F">
      <w:pPr>
        <w:widowControl/>
        <w:snapToGrid w:val="0"/>
        <w:spacing w:line="360" w:lineRule="auto"/>
        <w:ind w:firstLine="480" w:firstLineChars="200"/>
        <w:jc w:val="left"/>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地下空间设施进行施工作业时与地上结构建设作业具有较大的区别，盾构、掘进等需要对基坑变形、基坑沉降、位移、地下水位变化等数据保持密切关注，建设施工安全监测系统，可有效对地下空间施工作业安全进行保障和管理。</w:t>
      </w:r>
    </w:p>
    <w:p w14:paraId="7FD30C6C">
      <w:pPr>
        <w:snapToGrid w:val="0"/>
        <w:spacing w:line="360" w:lineRule="auto"/>
        <w:ind w:firstLine="480" w:firstLineChars="20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考量内容：（1）监测实施方案；（2）信息化管理系统及功能范围；（3）监测点位布置图；（4）物联网监测设备、传感器性能参数指标。</w:t>
      </w:r>
    </w:p>
    <w:p w14:paraId="6E78E2E4">
      <w:pPr>
        <w:snapToGrid w:val="0"/>
        <w:spacing w:line="360" w:lineRule="auto"/>
        <w:ind w:firstLine="0" w:firstLineChars="0"/>
        <w:rPr>
          <w:rFonts w:ascii="宋体" w:hAnsi="宋体" w:eastAsia="宋体" w:cs="宋体"/>
          <w:color w:val="000000" w:themeColor="text1"/>
          <w:sz w:val="24"/>
          <w14:textFill>
            <w14:solidFill>
              <w14:schemeClr w14:val="tx1"/>
            </w14:solidFill>
          </w14:textFill>
        </w:rPr>
      </w:pPr>
      <w:r>
        <w:rPr>
          <w:rFonts w:hint="eastAsia" w:ascii="宋体" w:hAnsi="宋体" w:cs="宋体"/>
          <w:color w:val="000000" w:themeColor="text1"/>
          <w:sz w:val="24"/>
          <w:lang w:eastAsia="zh-CN"/>
          <w14:textFill>
            <w14:solidFill>
              <w14:schemeClr w14:val="tx1"/>
            </w14:solidFill>
          </w14:textFill>
        </w:rPr>
        <w:t>B.1</w:t>
      </w:r>
      <w:r>
        <w:rPr>
          <w:rFonts w:hint="eastAsia" w:ascii="宋体" w:hAnsi="宋体" w:eastAsia="宋体" w:cs="宋体"/>
          <w:color w:val="000000" w:themeColor="text1"/>
          <w:sz w:val="24"/>
          <w14:textFill>
            <w14:solidFill>
              <w14:schemeClr w14:val="tx1"/>
            </w14:solidFill>
          </w14:textFill>
        </w:rPr>
        <w:t>.</w:t>
      </w:r>
      <w:r>
        <w:rPr>
          <w:rFonts w:hint="eastAsia" w:ascii="宋体" w:hAnsi="宋体" w:cs="宋体"/>
          <w:color w:val="000000" w:themeColor="text1"/>
          <w:sz w:val="24"/>
          <w:lang w:val="en-US" w:eastAsia="zh-CN"/>
          <w14:textFill>
            <w14:solidFill>
              <w14:schemeClr w14:val="tx1"/>
            </w14:solidFill>
          </w14:textFill>
        </w:rPr>
        <w:t>9</w:t>
      </w:r>
      <w:r>
        <w:rPr>
          <w:rFonts w:hint="eastAsia" w:ascii="宋体" w:hAnsi="宋体" w:eastAsia="宋体" w:cs="宋体"/>
          <w:color w:val="000000" w:themeColor="text1"/>
          <w:sz w:val="24"/>
          <w14:textFill>
            <w14:solidFill>
              <w14:schemeClr w14:val="tx1"/>
            </w14:solidFill>
          </w14:textFill>
        </w:rPr>
        <w:t>本条款适用于地下停车场设施运行阶段</w:t>
      </w:r>
      <w:r>
        <w:rPr>
          <w:rFonts w:hint="eastAsia" w:ascii="宋体" w:hAnsi="宋体" w:eastAsia="宋体" w:cs="宋体"/>
          <w:color w:val="000000" w:themeColor="text1"/>
          <w:kern w:val="0"/>
          <w:sz w:val="24"/>
          <w:lang w:val="en-US" w:eastAsia="zh-CN"/>
          <w14:textFill>
            <w14:solidFill>
              <w14:schemeClr w14:val="tx1"/>
            </w14:solidFill>
          </w14:textFill>
        </w:rPr>
        <w:t>的评价</w:t>
      </w:r>
      <w:r>
        <w:rPr>
          <w:rFonts w:hint="eastAsia" w:ascii="宋体" w:hAnsi="宋体" w:eastAsia="宋体" w:cs="宋体"/>
          <w:color w:val="000000" w:themeColor="text1"/>
          <w:sz w:val="24"/>
          <w14:textFill>
            <w14:solidFill>
              <w14:schemeClr w14:val="tx1"/>
            </w14:solidFill>
          </w14:textFill>
        </w:rPr>
        <w:t>。</w:t>
      </w:r>
    </w:p>
    <w:p w14:paraId="4EA42862">
      <w:pPr>
        <w:snapToGrid w:val="0"/>
        <w:spacing w:line="360" w:lineRule="auto"/>
        <w:ind w:firstLine="480" w:firstLineChars="200"/>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结合智能化管理系统，对地下停车场进行精细化、智能化的管理，有利于提升停车场的长期运行水平。</w:t>
      </w:r>
    </w:p>
    <w:p w14:paraId="6EF984A4">
      <w:pPr>
        <w:snapToGrid w:val="0"/>
        <w:spacing w:line="360" w:lineRule="auto"/>
        <w:ind w:firstLine="480" w:firstLineChars="200"/>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考量内容：（1）</w:t>
      </w:r>
      <w:r>
        <w:rPr>
          <w:rFonts w:hint="eastAsia" w:ascii="宋体" w:hAnsi="宋体" w:eastAsia="宋体" w:cs="宋体"/>
          <w:color w:val="000000" w:themeColor="text1"/>
          <w:sz w:val="24"/>
          <w:lang w:val="en-US" w:eastAsia="zh-CN"/>
          <w14:textFill>
            <w14:solidFill>
              <w14:schemeClr w14:val="tx1"/>
            </w14:solidFill>
          </w14:textFill>
        </w:rPr>
        <w:t>BIM模型文件；（2）</w:t>
      </w:r>
      <w:r>
        <w:rPr>
          <w:rFonts w:hint="eastAsia" w:ascii="宋体" w:hAnsi="宋体" w:eastAsia="宋体" w:cs="宋体"/>
          <w:color w:val="000000" w:themeColor="text1"/>
          <w:sz w:val="24"/>
          <w14:textFill>
            <w14:solidFill>
              <w14:schemeClr w14:val="tx1"/>
            </w14:solidFill>
          </w14:textFill>
        </w:rPr>
        <w:t>监测实施方案；（</w:t>
      </w:r>
      <w:r>
        <w:rPr>
          <w:rFonts w:hint="eastAsia" w:ascii="宋体" w:hAnsi="宋体" w:eastAsia="宋体" w:cs="宋体"/>
          <w:color w:val="000000" w:themeColor="text1"/>
          <w:sz w:val="24"/>
          <w:lang w:val="en-US" w:eastAsia="zh-CN"/>
          <w14:textFill>
            <w14:solidFill>
              <w14:schemeClr w14:val="tx1"/>
            </w14:solidFill>
          </w14:textFill>
        </w:rPr>
        <w:t>3</w:t>
      </w:r>
      <w:r>
        <w:rPr>
          <w:rFonts w:hint="eastAsia" w:ascii="宋体" w:hAnsi="宋体" w:eastAsia="宋体" w:cs="宋体"/>
          <w:color w:val="000000" w:themeColor="text1"/>
          <w:sz w:val="24"/>
          <w14:textFill>
            <w14:solidFill>
              <w14:schemeClr w14:val="tx1"/>
            </w14:solidFill>
          </w14:textFill>
        </w:rPr>
        <w:t>）信息化管理系统及功能范围；（</w:t>
      </w:r>
      <w:r>
        <w:rPr>
          <w:rFonts w:hint="eastAsia" w:ascii="宋体" w:hAnsi="宋体" w:eastAsia="宋体" w:cs="宋体"/>
          <w:color w:val="000000" w:themeColor="text1"/>
          <w:sz w:val="24"/>
          <w:lang w:val="en-US" w:eastAsia="zh-CN"/>
          <w14:textFill>
            <w14:solidFill>
              <w14:schemeClr w14:val="tx1"/>
            </w14:solidFill>
          </w14:textFill>
        </w:rPr>
        <w:t>4</w:t>
      </w:r>
      <w:r>
        <w:rPr>
          <w:rFonts w:hint="eastAsia" w:ascii="宋体" w:hAnsi="宋体" w:eastAsia="宋体" w:cs="宋体"/>
          <w:color w:val="000000" w:themeColor="text1"/>
          <w:sz w:val="24"/>
          <w14:textFill>
            <w14:solidFill>
              <w14:schemeClr w14:val="tx1"/>
            </w14:solidFill>
          </w14:textFill>
        </w:rPr>
        <w:t>）监测点位布置图；（</w:t>
      </w:r>
      <w:r>
        <w:rPr>
          <w:rFonts w:hint="eastAsia" w:ascii="宋体" w:hAnsi="宋体" w:eastAsia="宋体" w:cs="宋体"/>
          <w:color w:val="000000" w:themeColor="text1"/>
          <w:sz w:val="24"/>
          <w:lang w:val="en-US" w:eastAsia="zh-CN"/>
          <w14:textFill>
            <w14:solidFill>
              <w14:schemeClr w14:val="tx1"/>
            </w14:solidFill>
          </w14:textFill>
        </w:rPr>
        <w:t>5</w:t>
      </w:r>
      <w:r>
        <w:rPr>
          <w:rFonts w:hint="eastAsia" w:ascii="宋体" w:hAnsi="宋体" w:eastAsia="宋体" w:cs="宋体"/>
          <w:color w:val="000000" w:themeColor="text1"/>
          <w:sz w:val="24"/>
          <w14:textFill>
            <w14:solidFill>
              <w14:schemeClr w14:val="tx1"/>
            </w14:solidFill>
          </w14:textFill>
        </w:rPr>
        <w:t>）物联网监测设备、传感器性能参数指标；</w:t>
      </w:r>
      <w:r>
        <w:rPr>
          <w:rFonts w:hint="eastAsia" w:ascii="宋体" w:hAnsi="宋体" w:eastAsia="宋体" w:cs="宋体"/>
          <w:color w:val="000000" w:themeColor="text1"/>
          <w:sz w:val="24"/>
          <w:lang w:eastAsia="zh-CN"/>
          <w14:textFill>
            <w14:solidFill>
              <w14:schemeClr w14:val="tx1"/>
            </w14:solidFill>
          </w14:textFill>
        </w:rPr>
        <w:t>（</w:t>
      </w:r>
      <w:r>
        <w:rPr>
          <w:rFonts w:hint="eastAsia" w:ascii="宋体" w:hAnsi="宋体" w:eastAsia="宋体" w:cs="宋体"/>
          <w:color w:val="000000" w:themeColor="text1"/>
          <w:sz w:val="24"/>
          <w:lang w:val="en-US" w:eastAsia="zh-CN"/>
          <w14:textFill>
            <w14:solidFill>
              <w14:schemeClr w14:val="tx1"/>
            </w14:solidFill>
          </w14:textFill>
        </w:rPr>
        <w:t>6</w:t>
      </w:r>
      <w:r>
        <w:rPr>
          <w:rFonts w:hint="eastAsia" w:ascii="宋体" w:hAnsi="宋体" w:eastAsia="宋体" w:cs="宋体"/>
          <w:color w:val="000000" w:themeColor="text1"/>
          <w:sz w:val="24"/>
          <w14:textFill>
            <w14:solidFill>
              <w14:schemeClr w14:val="tx1"/>
            </w14:solidFill>
          </w14:textFill>
        </w:rPr>
        <w:t>）运维、保养作业指导书、操作手册等。</w:t>
      </w:r>
    </w:p>
    <w:p w14:paraId="1A7E4994">
      <w:pPr>
        <w:snapToGrid w:val="0"/>
        <w:spacing w:line="360" w:lineRule="auto"/>
        <w:ind w:firstLine="0" w:firstLineChars="0"/>
        <w:rPr>
          <w:rFonts w:ascii="宋体" w:hAnsi="宋体" w:eastAsia="宋体" w:cs="宋体"/>
          <w:color w:val="000000" w:themeColor="text1"/>
          <w:sz w:val="24"/>
          <w14:textFill>
            <w14:solidFill>
              <w14:schemeClr w14:val="tx1"/>
            </w14:solidFill>
          </w14:textFill>
        </w:rPr>
      </w:pPr>
      <w:r>
        <w:rPr>
          <w:rFonts w:hint="eastAsia" w:ascii="宋体" w:hAnsi="宋体" w:cs="宋体"/>
          <w:color w:val="000000" w:themeColor="text1"/>
          <w:sz w:val="24"/>
          <w:lang w:eastAsia="zh-CN"/>
          <w14:textFill>
            <w14:solidFill>
              <w14:schemeClr w14:val="tx1"/>
            </w14:solidFill>
          </w14:textFill>
        </w:rPr>
        <w:t>B.1</w:t>
      </w:r>
      <w:r>
        <w:rPr>
          <w:rFonts w:hint="eastAsia" w:ascii="宋体" w:hAnsi="宋体" w:eastAsia="宋体" w:cs="宋体"/>
          <w:color w:val="000000" w:themeColor="text1"/>
          <w:sz w:val="24"/>
          <w14:textFill>
            <w14:solidFill>
              <w14:schemeClr w14:val="tx1"/>
            </w14:solidFill>
          </w14:textFill>
        </w:rPr>
        <w:t>.</w:t>
      </w:r>
      <w:r>
        <w:rPr>
          <w:rFonts w:hint="eastAsia" w:ascii="宋体" w:hAnsi="宋体" w:cs="宋体"/>
          <w:color w:val="000000" w:themeColor="text1"/>
          <w:sz w:val="24"/>
          <w:lang w:val="en-US" w:eastAsia="zh-CN"/>
          <w14:textFill>
            <w14:solidFill>
              <w14:schemeClr w14:val="tx1"/>
            </w14:solidFill>
          </w14:textFill>
        </w:rPr>
        <w:t>10</w:t>
      </w:r>
      <w:r>
        <w:rPr>
          <w:rFonts w:hint="eastAsia" w:ascii="宋体" w:hAnsi="宋体" w:eastAsia="宋体" w:cs="宋体"/>
          <w:color w:val="000000" w:themeColor="text1"/>
          <w:sz w:val="24"/>
          <w14:textFill>
            <w14:solidFill>
              <w14:schemeClr w14:val="tx1"/>
            </w14:solidFill>
          </w14:textFill>
        </w:rPr>
        <w:t>条款适用于地下综合管廊设施运行阶段</w:t>
      </w:r>
      <w:r>
        <w:rPr>
          <w:rFonts w:hint="eastAsia" w:ascii="宋体" w:hAnsi="宋体" w:eastAsia="宋体" w:cs="宋体"/>
          <w:color w:val="000000" w:themeColor="text1"/>
          <w:kern w:val="0"/>
          <w:sz w:val="24"/>
          <w:lang w:val="en-US" w:eastAsia="zh-CN"/>
          <w14:textFill>
            <w14:solidFill>
              <w14:schemeClr w14:val="tx1"/>
            </w14:solidFill>
          </w14:textFill>
        </w:rPr>
        <w:t>的评价</w:t>
      </w:r>
      <w:r>
        <w:rPr>
          <w:rFonts w:hint="eastAsia" w:ascii="宋体" w:hAnsi="宋体" w:eastAsia="宋体" w:cs="宋体"/>
          <w:color w:val="000000" w:themeColor="text1"/>
          <w:sz w:val="24"/>
          <w14:textFill>
            <w14:solidFill>
              <w14:schemeClr w14:val="tx1"/>
            </w14:solidFill>
          </w14:textFill>
        </w:rPr>
        <w:t>。</w:t>
      </w:r>
    </w:p>
    <w:p w14:paraId="498769EB">
      <w:pPr>
        <w:snapToGrid w:val="0"/>
        <w:spacing w:line="360" w:lineRule="auto"/>
        <w:ind w:firstLine="480" w:firstLineChars="200"/>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综合管廊具有作业空间狭小、维护保养操作不便等特征，结合运用BIM模型技术、定位技术和智能机器人等设备，可实现无人化管廊养护，提升综合管廊智能化运行水平。</w:t>
      </w:r>
    </w:p>
    <w:p w14:paraId="32210573">
      <w:pPr>
        <w:snapToGrid w:val="0"/>
        <w:spacing w:line="360" w:lineRule="auto"/>
        <w:ind w:firstLine="480" w:firstLineChars="200"/>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考量内容：（1）</w:t>
      </w:r>
      <w:r>
        <w:rPr>
          <w:rFonts w:hint="eastAsia" w:ascii="宋体" w:hAnsi="宋体" w:eastAsia="宋体" w:cs="宋体"/>
          <w:color w:val="000000" w:themeColor="text1"/>
          <w:sz w:val="24"/>
          <w:lang w:val="en-US" w:eastAsia="zh-CN"/>
          <w14:textFill>
            <w14:solidFill>
              <w14:schemeClr w14:val="tx1"/>
            </w14:solidFill>
          </w14:textFill>
        </w:rPr>
        <w:t>BIM模型文件；</w:t>
      </w:r>
      <w:r>
        <w:rPr>
          <w:rFonts w:hint="eastAsia" w:ascii="宋体" w:hAnsi="宋体" w:eastAsia="宋体" w:cs="宋体"/>
          <w:color w:val="000000" w:themeColor="text1"/>
          <w:sz w:val="24"/>
          <w14:textFill>
            <w14:solidFill>
              <w14:schemeClr w14:val="tx1"/>
            </w14:solidFill>
          </w14:textFill>
        </w:rPr>
        <w:t>（</w:t>
      </w:r>
      <w:r>
        <w:rPr>
          <w:rFonts w:hint="eastAsia" w:ascii="宋体" w:hAnsi="宋体" w:eastAsia="宋体" w:cs="宋体"/>
          <w:color w:val="000000" w:themeColor="text1"/>
          <w:sz w:val="24"/>
          <w:lang w:val="en-US" w:eastAsia="zh-CN"/>
          <w14:textFill>
            <w14:solidFill>
              <w14:schemeClr w14:val="tx1"/>
            </w14:solidFill>
          </w14:textFill>
        </w:rPr>
        <w:t>2</w:t>
      </w:r>
      <w:r>
        <w:rPr>
          <w:rFonts w:hint="eastAsia" w:ascii="宋体" w:hAnsi="宋体" w:eastAsia="宋体" w:cs="宋体"/>
          <w:color w:val="000000" w:themeColor="text1"/>
          <w:sz w:val="24"/>
          <w14:textFill>
            <w14:solidFill>
              <w14:schemeClr w14:val="tx1"/>
            </w14:solidFill>
          </w14:textFill>
        </w:rPr>
        <w:t>）监测实施方案；（</w:t>
      </w:r>
      <w:r>
        <w:rPr>
          <w:rFonts w:hint="eastAsia" w:ascii="宋体" w:hAnsi="宋体" w:eastAsia="宋体" w:cs="宋体"/>
          <w:color w:val="000000" w:themeColor="text1"/>
          <w:sz w:val="24"/>
          <w:lang w:val="en-US" w:eastAsia="zh-CN"/>
          <w14:textFill>
            <w14:solidFill>
              <w14:schemeClr w14:val="tx1"/>
            </w14:solidFill>
          </w14:textFill>
        </w:rPr>
        <w:t>3</w:t>
      </w:r>
      <w:r>
        <w:rPr>
          <w:rFonts w:hint="eastAsia" w:ascii="宋体" w:hAnsi="宋体" w:eastAsia="宋体" w:cs="宋体"/>
          <w:color w:val="000000" w:themeColor="text1"/>
          <w:sz w:val="24"/>
          <w14:textFill>
            <w14:solidFill>
              <w14:schemeClr w14:val="tx1"/>
            </w14:solidFill>
          </w14:textFill>
        </w:rPr>
        <w:t>）信息化管理系统及功能范围；（</w:t>
      </w:r>
      <w:r>
        <w:rPr>
          <w:rFonts w:hint="eastAsia" w:ascii="宋体" w:hAnsi="宋体" w:eastAsia="宋体" w:cs="宋体"/>
          <w:color w:val="000000" w:themeColor="text1"/>
          <w:sz w:val="24"/>
          <w:lang w:val="en-US" w:eastAsia="zh-CN"/>
          <w14:textFill>
            <w14:solidFill>
              <w14:schemeClr w14:val="tx1"/>
            </w14:solidFill>
          </w14:textFill>
        </w:rPr>
        <w:t>4</w:t>
      </w:r>
      <w:r>
        <w:rPr>
          <w:rFonts w:hint="eastAsia" w:ascii="宋体" w:hAnsi="宋体" w:eastAsia="宋体" w:cs="宋体"/>
          <w:color w:val="000000" w:themeColor="text1"/>
          <w:sz w:val="24"/>
          <w14:textFill>
            <w14:solidFill>
              <w14:schemeClr w14:val="tx1"/>
            </w14:solidFill>
          </w14:textFill>
        </w:rPr>
        <w:t>）监测点位布置图；（</w:t>
      </w:r>
      <w:r>
        <w:rPr>
          <w:rFonts w:hint="eastAsia" w:ascii="宋体" w:hAnsi="宋体" w:eastAsia="宋体" w:cs="宋体"/>
          <w:color w:val="000000" w:themeColor="text1"/>
          <w:sz w:val="24"/>
          <w:lang w:val="en-US" w:eastAsia="zh-CN"/>
          <w14:textFill>
            <w14:solidFill>
              <w14:schemeClr w14:val="tx1"/>
            </w14:solidFill>
          </w14:textFill>
        </w:rPr>
        <w:t>5</w:t>
      </w:r>
      <w:r>
        <w:rPr>
          <w:rFonts w:hint="eastAsia" w:ascii="宋体" w:hAnsi="宋体" w:eastAsia="宋体" w:cs="宋体"/>
          <w:color w:val="000000" w:themeColor="text1"/>
          <w:sz w:val="24"/>
          <w14:textFill>
            <w14:solidFill>
              <w14:schemeClr w14:val="tx1"/>
            </w14:solidFill>
          </w14:textFill>
        </w:rPr>
        <w:t>）智能机器人、物联网监测设备、传感器性能参数指标；</w:t>
      </w:r>
      <w:r>
        <w:rPr>
          <w:rFonts w:hint="eastAsia" w:ascii="宋体" w:hAnsi="宋体" w:eastAsia="宋体" w:cs="宋体"/>
          <w:color w:val="000000" w:themeColor="text1"/>
          <w:sz w:val="24"/>
          <w:lang w:eastAsia="zh-CN"/>
          <w14:textFill>
            <w14:solidFill>
              <w14:schemeClr w14:val="tx1"/>
            </w14:solidFill>
          </w14:textFill>
        </w:rPr>
        <w:t>（</w:t>
      </w:r>
      <w:r>
        <w:rPr>
          <w:rFonts w:hint="eastAsia" w:ascii="宋体" w:hAnsi="宋体" w:eastAsia="宋体" w:cs="宋体"/>
          <w:color w:val="000000" w:themeColor="text1"/>
          <w:sz w:val="24"/>
          <w:lang w:val="en-US" w:eastAsia="zh-CN"/>
          <w14:textFill>
            <w14:solidFill>
              <w14:schemeClr w14:val="tx1"/>
            </w14:solidFill>
          </w14:textFill>
        </w:rPr>
        <w:t>6</w:t>
      </w:r>
      <w:r>
        <w:rPr>
          <w:rFonts w:hint="eastAsia" w:ascii="宋体" w:hAnsi="宋体" w:eastAsia="宋体" w:cs="宋体"/>
          <w:color w:val="000000" w:themeColor="text1"/>
          <w:sz w:val="24"/>
          <w14:textFill>
            <w14:solidFill>
              <w14:schemeClr w14:val="tx1"/>
            </w14:solidFill>
          </w14:textFill>
        </w:rPr>
        <w:t>）运维、保养作业指导书、操作手册等。</w:t>
      </w:r>
    </w:p>
    <w:p w14:paraId="2256F97E">
      <w:pPr>
        <w:snapToGrid w:val="0"/>
        <w:spacing w:line="360" w:lineRule="auto"/>
        <w:ind w:firstLine="0" w:firstLineChars="0"/>
        <w:rPr>
          <w:rFonts w:ascii="宋体" w:hAnsi="宋体" w:eastAsia="宋体" w:cs="宋体"/>
          <w:color w:val="000000" w:themeColor="text1"/>
          <w:sz w:val="24"/>
          <w14:textFill>
            <w14:solidFill>
              <w14:schemeClr w14:val="tx1"/>
            </w14:solidFill>
          </w14:textFill>
        </w:rPr>
      </w:pPr>
      <w:r>
        <w:rPr>
          <w:rFonts w:hint="eastAsia" w:ascii="宋体" w:hAnsi="宋体" w:cs="宋体"/>
          <w:color w:val="000000" w:themeColor="text1"/>
          <w:sz w:val="24"/>
          <w:lang w:eastAsia="zh-CN"/>
          <w14:textFill>
            <w14:solidFill>
              <w14:schemeClr w14:val="tx1"/>
            </w14:solidFill>
          </w14:textFill>
        </w:rPr>
        <w:t>B.1</w:t>
      </w:r>
      <w:r>
        <w:rPr>
          <w:rFonts w:hint="eastAsia" w:ascii="宋体" w:hAnsi="宋体" w:eastAsia="宋体" w:cs="宋体"/>
          <w:color w:val="000000" w:themeColor="text1"/>
          <w:sz w:val="24"/>
          <w14:textFill>
            <w14:solidFill>
              <w14:schemeClr w14:val="tx1"/>
            </w14:solidFill>
          </w14:textFill>
        </w:rPr>
        <w:t>.</w:t>
      </w:r>
      <w:r>
        <w:rPr>
          <w:rFonts w:hint="eastAsia" w:ascii="宋体" w:hAnsi="宋体" w:cs="宋体"/>
          <w:color w:val="000000" w:themeColor="text1"/>
          <w:sz w:val="24"/>
          <w:lang w:val="en-US" w:eastAsia="zh-CN"/>
          <w14:textFill>
            <w14:solidFill>
              <w14:schemeClr w14:val="tx1"/>
            </w14:solidFill>
          </w14:textFill>
        </w:rPr>
        <w:t>11</w:t>
      </w:r>
      <w:r>
        <w:rPr>
          <w:rFonts w:hint="eastAsia" w:ascii="宋体" w:hAnsi="宋体" w:eastAsia="宋体" w:cs="宋体"/>
          <w:color w:val="000000" w:themeColor="text1"/>
          <w:sz w:val="24"/>
          <w14:textFill>
            <w14:solidFill>
              <w14:schemeClr w14:val="tx1"/>
            </w14:solidFill>
          </w14:textFill>
        </w:rPr>
        <w:t>本条款适用于地下商业设施运行阶段</w:t>
      </w:r>
      <w:r>
        <w:rPr>
          <w:rFonts w:hint="eastAsia" w:ascii="宋体" w:hAnsi="宋体" w:eastAsia="宋体" w:cs="宋体"/>
          <w:color w:val="000000" w:themeColor="text1"/>
          <w:kern w:val="0"/>
          <w:sz w:val="24"/>
          <w:lang w:val="en-US" w:eastAsia="zh-CN"/>
          <w14:textFill>
            <w14:solidFill>
              <w14:schemeClr w14:val="tx1"/>
            </w14:solidFill>
          </w14:textFill>
        </w:rPr>
        <w:t>的评价</w:t>
      </w:r>
      <w:r>
        <w:rPr>
          <w:rFonts w:hint="eastAsia" w:ascii="宋体" w:hAnsi="宋体" w:eastAsia="宋体" w:cs="宋体"/>
          <w:color w:val="000000" w:themeColor="text1"/>
          <w:sz w:val="24"/>
          <w14:textFill>
            <w14:solidFill>
              <w14:schemeClr w14:val="tx1"/>
            </w14:solidFill>
          </w14:textFill>
        </w:rPr>
        <w:t>。</w:t>
      </w:r>
    </w:p>
    <w:p w14:paraId="20DFC8D7">
      <w:pPr>
        <w:snapToGrid w:val="0"/>
        <w:spacing w:line="360" w:lineRule="auto"/>
        <w:ind w:firstLine="480" w:firstLineChars="200"/>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地下商业区通常人流量较大，然而地下商业空间较为狭小，光照、通风条件相对地上较差，在人数较多的情况下很容易出现因通排风不足引起的安全事故，且发生火灾等险情时也较难完成疏散。利用智能化信息技术，对地下商业整体空气质量进行监控，智能化调控通排风系统，有利于在保证能耗和整体环境舒适度的前提下，减少此类安全事故的发生几率。</w:t>
      </w:r>
    </w:p>
    <w:p w14:paraId="3CABA231">
      <w:pPr>
        <w:snapToGrid w:val="0"/>
        <w:spacing w:line="360" w:lineRule="auto"/>
        <w:ind w:firstLine="480" w:firstLineChars="200"/>
        <w:rPr>
          <w:rFonts w:hint="eastAsia" w:ascii="宋体" w:hAnsi="宋体" w:eastAsia="宋体" w:cs="宋体"/>
          <w:color w:val="000000" w:themeColor="text1"/>
          <w:sz w:val="24"/>
          <w:lang w:val="en-US" w:eastAsia="zh-CN"/>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考量内容：（1）</w:t>
      </w:r>
      <w:r>
        <w:rPr>
          <w:rFonts w:hint="eastAsia" w:ascii="宋体" w:hAnsi="宋体" w:eastAsia="宋体" w:cs="宋体"/>
          <w:color w:val="000000" w:themeColor="text1"/>
          <w:sz w:val="24"/>
          <w:lang w:val="en-US" w:eastAsia="zh-CN"/>
          <w14:textFill>
            <w14:solidFill>
              <w14:schemeClr w14:val="tx1"/>
            </w14:solidFill>
          </w14:textFill>
        </w:rPr>
        <w:t>BIM模型文件；</w:t>
      </w:r>
      <w:r>
        <w:rPr>
          <w:rFonts w:hint="eastAsia" w:ascii="宋体" w:hAnsi="宋体" w:eastAsia="宋体" w:cs="宋体"/>
          <w:color w:val="000000" w:themeColor="text1"/>
          <w:sz w:val="24"/>
          <w14:textFill>
            <w14:solidFill>
              <w14:schemeClr w14:val="tx1"/>
            </w14:solidFill>
          </w14:textFill>
        </w:rPr>
        <w:t>（</w:t>
      </w:r>
      <w:r>
        <w:rPr>
          <w:rFonts w:hint="eastAsia" w:ascii="宋体" w:hAnsi="宋体" w:eastAsia="宋体" w:cs="宋体"/>
          <w:color w:val="000000" w:themeColor="text1"/>
          <w:sz w:val="24"/>
          <w:lang w:val="en-US" w:eastAsia="zh-CN"/>
          <w14:textFill>
            <w14:solidFill>
              <w14:schemeClr w14:val="tx1"/>
            </w14:solidFill>
          </w14:textFill>
        </w:rPr>
        <w:t>2</w:t>
      </w:r>
      <w:r>
        <w:rPr>
          <w:rFonts w:hint="eastAsia" w:ascii="宋体" w:hAnsi="宋体" w:eastAsia="宋体" w:cs="宋体"/>
          <w:color w:val="000000" w:themeColor="text1"/>
          <w:sz w:val="24"/>
          <w14:textFill>
            <w14:solidFill>
              <w14:schemeClr w14:val="tx1"/>
            </w14:solidFill>
          </w14:textFill>
        </w:rPr>
        <w:t>）监测实施方案；（</w:t>
      </w:r>
      <w:r>
        <w:rPr>
          <w:rFonts w:hint="eastAsia" w:ascii="宋体" w:hAnsi="宋体" w:eastAsia="宋体" w:cs="宋体"/>
          <w:color w:val="000000" w:themeColor="text1"/>
          <w:sz w:val="24"/>
          <w:lang w:val="en-US" w:eastAsia="zh-CN"/>
          <w14:textFill>
            <w14:solidFill>
              <w14:schemeClr w14:val="tx1"/>
            </w14:solidFill>
          </w14:textFill>
        </w:rPr>
        <w:t>3</w:t>
      </w:r>
      <w:r>
        <w:rPr>
          <w:rFonts w:hint="eastAsia" w:ascii="宋体" w:hAnsi="宋体" w:eastAsia="宋体" w:cs="宋体"/>
          <w:color w:val="000000" w:themeColor="text1"/>
          <w:sz w:val="24"/>
          <w14:textFill>
            <w14:solidFill>
              <w14:schemeClr w14:val="tx1"/>
            </w14:solidFill>
          </w14:textFill>
        </w:rPr>
        <w:t>）信息化管理系统及功能范围；（</w:t>
      </w:r>
      <w:r>
        <w:rPr>
          <w:rFonts w:hint="eastAsia" w:ascii="宋体" w:hAnsi="宋体" w:eastAsia="宋体" w:cs="宋体"/>
          <w:color w:val="000000" w:themeColor="text1"/>
          <w:sz w:val="24"/>
          <w:lang w:val="en-US" w:eastAsia="zh-CN"/>
          <w14:textFill>
            <w14:solidFill>
              <w14:schemeClr w14:val="tx1"/>
            </w14:solidFill>
          </w14:textFill>
        </w:rPr>
        <w:t>4</w:t>
      </w:r>
      <w:r>
        <w:rPr>
          <w:rFonts w:hint="eastAsia" w:ascii="宋体" w:hAnsi="宋体" w:eastAsia="宋体" w:cs="宋体"/>
          <w:color w:val="000000" w:themeColor="text1"/>
          <w:sz w:val="24"/>
          <w14:textFill>
            <w14:solidFill>
              <w14:schemeClr w14:val="tx1"/>
            </w14:solidFill>
          </w14:textFill>
        </w:rPr>
        <w:t>）监测点位布置图；（</w:t>
      </w:r>
      <w:r>
        <w:rPr>
          <w:rFonts w:hint="eastAsia" w:ascii="宋体" w:hAnsi="宋体" w:eastAsia="宋体" w:cs="宋体"/>
          <w:color w:val="000000" w:themeColor="text1"/>
          <w:sz w:val="24"/>
          <w:lang w:val="en-US" w:eastAsia="zh-CN"/>
          <w14:textFill>
            <w14:solidFill>
              <w14:schemeClr w14:val="tx1"/>
            </w14:solidFill>
          </w14:textFill>
        </w:rPr>
        <w:t>5</w:t>
      </w:r>
      <w:r>
        <w:rPr>
          <w:rFonts w:hint="eastAsia" w:ascii="宋体" w:hAnsi="宋体" w:eastAsia="宋体" w:cs="宋体"/>
          <w:color w:val="000000" w:themeColor="text1"/>
          <w:sz w:val="24"/>
          <w14:textFill>
            <w14:solidFill>
              <w14:schemeClr w14:val="tx1"/>
            </w14:solidFill>
          </w14:textFill>
        </w:rPr>
        <w:t>）物联网监测设备、传感器性能参数指标；</w:t>
      </w:r>
      <w:r>
        <w:rPr>
          <w:rFonts w:hint="eastAsia" w:ascii="宋体" w:hAnsi="宋体" w:eastAsia="宋体" w:cs="宋体"/>
          <w:color w:val="000000" w:themeColor="text1"/>
          <w:sz w:val="24"/>
          <w:lang w:eastAsia="zh-CN"/>
          <w14:textFill>
            <w14:solidFill>
              <w14:schemeClr w14:val="tx1"/>
            </w14:solidFill>
          </w14:textFill>
        </w:rPr>
        <w:t>（</w:t>
      </w:r>
      <w:r>
        <w:rPr>
          <w:rFonts w:hint="eastAsia" w:ascii="宋体" w:hAnsi="宋体" w:eastAsia="宋体" w:cs="宋体"/>
          <w:color w:val="000000" w:themeColor="text1"/>
          <w:sz w:val="24"/>
          <w:lang w:val="en-US" w:eastAsia="zh-CN"/>
          <w14:textFill>
            <w14:solidFill>
              <w14:schemeClr w14:val="tx1"/>
            </w14:solidFill>
          </w14:textFill>
        </w:rPr>
        <w:t>6</w:t>
      </w:r>
      <w:r>
        <w:rPr>
          <w:rFonts w:hint="eastAsia" w:ascii="宋体" w:hAnsi="宋体" w:eastAsia="宋体" w:cs="宋体"/>
          <w:color w:val="000000" w:themeColor="text1"/>
          <w:sz w:val="24"/>
          <w14:textFill>
            <w14:solidFill>
              <w14:schemeClr w14:val="tx1"/>
            </w14:solidFill>
          </w14:textFill>
        </w:rPr>
        <w:t>）运维、保养作业指导书、操作手册等。</w:t>
      </w:r>
    </w:p>
    <w:p w14:paraId="5F48FE48">
      <w:pPr>
        <w:wordWrap/>
        <w:spacing w:line="360" w:lineRule="auto"/>
        <w:jc w:val="center"/>
        <w:textAlignment w:val="auto"/>
        <w:outlineLvl w:val="1"/>
        <w:rPr>
          <w:rFonts w:hint="eastAsia" w:ascii="宋体" w:hAnsi="宋体" w:eastAsia="宋体" w:cs="宋体"/>
          <w:b/>
          <w:bCs/>
          <w:color w:val="000000" w:themeColor="text1"/>
          <w:sz w:val="30"/>
          <w:szCs w:val="30"/>
          <w:lang w:eastAsia="zh-CN"/>
          <w14:textFill>
            <w14:solidFill>
              <w14:schemeClr w14:val="tx1"/>
            </w14:solidFill>
          </w14:textFill>
        </w:rPr>
      </w:pPr>
      <w:bookmarkStart w:id="837" w:name="_Toc6307"/>
      <w:bookmarkStart w:id="838" w:name="_Toc20130"/>
      <w:bookmarkStart w:id="839" w:name="_Toc27984"/>
      <w:bookmarkStart w:id="840" w:name="_Toc7700"/>
      <w:bookmarkStart w:id="841" w:name="_Toc10501"/>
      <w:bookmarkStart w:id="842" w:name="_Toc7497"/>
      <w:bookmarkStart w:id="843" w:name="_Toc9215"/>
      <w:bookmarkStart w:id="844" w:name="_Toc7341"/>
      <w:r>
        <w:rPr>
          <w:rFonts w:hint="eastAsia" w:ascii="黑体" w:hAnsi="黑体" w:eastAsia="黑体" w:cs="黑体"/>
          <w:b/>
          <w:bCs/>
          <w:color w:val="auto"/>
          <w:sz w:val="28"/>
          <w:szCs w:val="28"/>
          <w:lang w:eastAsia="zh-CN"/>
        </w:rPr>
        <w:t>B</w:t>
      </w:r>
      <w:r>
        <w:rPr>
          <w:rFonts w:hint="eastAsia" w:ascii="黑体" w:hAnsi="黑体" w:eastAsia="黑体" w:cs="黑体"/>
          <w:b/>
          <w:bCs/>
          <w:color w:val="auto"/>
          <w:sz w:val="28"/>
          <w:szCs w:val="28"/>
          <w:lang w:val="en-US" w:eastAsia="zh-CN"/>
        </w:rPr>
        <w:t>.</w:t>
      </w:r>
      <w:r>
        <w:rPr>
          <w:rFonts w:hint="eastAsia" w:ascii="黑体" w:hAnsi="黑体" w:eastAsia="黑体" w:cs="黑体"/>
          <w:b/>
          <w:bCs/>
          <w:color w:val="auto"/>
          <w:sz w:val="28"/>
          <w:szCs w:val="28"/>
          <w:lang w:eastAsia="zh-CN"/>
        </w:rPr>
        <w:t>2 城市</w:t>
      </w:r>
      <w:r>
        <w:rPr>
          <w:rFonts w:hint="eastAsia" w:ascii="黑体" w:hAnsi="黑体" w:eastAsia="黑体" w:cs="黑体"/>
          <w:b/>
          <w:bCs/>
          <w:color w:val="auto"/>
          <w:sz w:val="28"/>
          <w:szCs w:val="28"/>
          <w:lang w:val="en-US" w:eastAsia="zh-CN"/>
        </w:rPr>
        <w:t>轨道交通</w:t>
      </w:r>
      <w:r>
        <w:rPr>
          <w:rFonts w:hint="eastAsia" w:ascii="黑体" w:hAnsi="黑体" w:eastAsia="黑体" w:cs="黑体"/>
          <w:b/>
          <w:bCs/>
          <w:color w:val="auto"/>
          <w:sz w:val="28"/>
          <w:szCs w:val="28"/>
          <w:lang w:eastAsia="zh-CN"/>
        </w:rPr>
        <w:t>基础设施项目</w:t>
      </w:r>
      <w:r>
        <w:rPr>
          <w:rFonts w:hint="eastAsia" w:ascii="黑体" w:hAnsi="黑体" w:eastAsia="黑体" w:cs="黑体"/>
          <w:b/>
          <w:bCs/>
          <w:color w:val="auto"/>
          <w:sz w:val="28"/>
          <w:szCs w:val="28"/>
        </w:rPr>
        <w:t>专项内容评价指标</w:t>
      </w:r>
      <w:bookmarkEnd w:id="837"/>
      <w:bookmarkEnd w:id="838"/>
      <w:bookmarkEnd w:id="839"/>
      <w:bookmarkEnd w:id="840"/>
      <w:bookmarkEnd w:id="841"/>
    </w:p>
    <w:p w14:paraId="397B8F03">
      <w:pPr>
        <w:numPr>
          <w:ilvl w:val="0"/>
          <w:numId w:val="0"/>
        </w:numPr>
        <w:spacing w:line="360" w:lineRule="auto"/>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B.2</w:t>
      </w:r>
      <w:r>
        <w:rPr>
          <w:rFonts w:hint="eastAsia" w:ascii="宋体" w:hAnsi="宋体" w:eastAsia="宋体" w:cs="宋体"/>
          <w:color w:val="000000" w:themeColor="text1"/>
          <w:sz w:val="24"/>
          <w:szCs w:val="24"/>
          <w:lang w:val="en-US" w:eastAsia="zh-CN"/>
          <w14:textFill>
            <w14:solidFill>
              <w14:schemeClr w14:val="tx1"/>
            </w14:solidFill>
          </w14:textFill>
        </w:rPr>
        <w:t>.1本条款适用于城市轨道交通基础设施项目施工建造阶段的评价。</w:t>
      </w:r>
    </w:p>
    <w:p w14:paraId="28335424">
      <w:pPr>
        <w:numPr>
          <w:ilvl w:val="0"/>
          <w:numId w:val="0"/>
        </w:numPr>
        <w:spacing w:line="360" w:lineRule="auto"/>
        <w:ind w:firstLine="480" w:firstLineChars="200"/>
        <w:rPr>
          <w:rFonts w:hint="default"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本标准所指城市轨道交通基础设施项目是指以规划、设计、建造、运营和维护城市轨道交通系统为目标，围绕其物理设施及配套系统所开展的系统性工程活动。</w:t>
      </w:r>
      <w:r>
        <w:rPr>
          <w:rFonts w:hint="eastAsia" w:ascii="宋体" w:hAnsi="宋体" w:cs="宋体"/>
          <w:color w:val="000000" w:themeColor="text1"/>
          <w:sz w:val="24"/>
          <w:szCs w:val="24"/>
          <w:lang w:val="en-US" w:eastAsia="zh-CN"/>
          <w14:textFill>
            <w14:solidFill>
              <w14:schemeClr w14:val="tx1"/>
            </w14:solidFill>
          </w14:textFill>
        </w:rPr>
        <w:t>（下同）</w:t>
      </w:r>
    </w:p>
    <w:p w14:paraId="6B74FA7F">
      <w:pPr>
        <w:numPr>
          <w:ilvl w:val="0"/>
          <w:numId w:val="0"/>
        </w:numPr>
        <w:spacing w:line="360" w:lineRule="auto"/>
        <w:ind w:firstLine="480" w:firstLineChars="200"/>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依据《中华人民共和国噪声污染防治法》、《城市轨道交通工程项目规范》GB 55033-2022，《建筑施工场界环境噪声排放标准》GB 12523-2011要求城市轨道交通基础设施项目在施工建造阶段，应采取有效措施减少噪音和振动对周围环境的影响，需选用低噪声、低振动的盾构设备，并优化掘进参数以降低施工噪声；必要时，隧道施工通风系统应采取消音措施，当采用外部供风时，风机位置宜在工作井地面附近，地面风机选址要求符合《城市轨道交通地下工程建设风险管理规范》GB 50652-2011，并应采取消音措施。这些措施旨在降低施工活动对周边居民生活和生态环境的影响，符合城市轨道交通工程施工噪声控制的相关标准，确保施工过程的环保性与可持续性。</w:t>
      </w:r>
    </w:p>
    <w:p w14:paraId="3E51DCA7">
      <w:pPr>
        <w:numPr>
          <w:ilvl w:val="0"/>
          <w:numId w:val="0"/>
        </w:numPr>
        <w:spacing w:line="360" w:lineRule="auto"/>
        <w:ind w:firstLine="480" w:firstLineChars="200"/>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考量内容：（1）施工组织设计；（2）现场噪声监测数据；（3）环境影响评价报告；（4）周边街道社区居民投诉事件记录及处理记录等。</w:t>
      </w:r>
    </w:p>
    <w:p w14:paraId="419D95DE">
      <w:pPr>
        <w:numPr>
          <w:ilvl w:val="0"/>
          <w:numId w:val="0"/>
        </w:numPr>
        <w:spacing w:line="360" w:lineRule="auto"/>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B.2</w:t>
      </w:r>
      <w:r>
        <w:rPr>
          <w:rFonts w:hint="eastAsia" w:ascii="宋体" w:hAnsi="宋体" w:eastAsia="宋体" w:cs="宋体"/>
          <w:color w:val="000000" w:themeColor="text1"/>
          <w:sz w:val="24"/>
          <w:szCs w:val="24"/>
          <w:lang w:val="en-US" w:eastAsia="zh-CN"/>
          <w14:textFill>
            <w14:solidFill>
              <w14:schemeClr w14:val="tx1"/>
            </w14:solidFill>
          </w14:textFill>
        </w:rPr>
        <w:t>.2本条款适用于城市轨道交通基础设施项目施工建造阶段的评价。</w:t>
      </w:r>
    </w:p>
    <w:p w14:paraId="67A39D21">
      <w:pPr>
        <w:numPr>
          <w:ilvl w:val="0"/>
          <w:numId w:val="0"/>
        </w:numPr>
        <w:spacing w:line="360" w:lineRule="auto"/>
        <w:rPr>
          <w:rFonts w:hint="eastAsia" w:ascii="宋体" w:hAnsi="宋体" w:eastAsia="宋体" w:cs="宋体"/>
          <w:color w:val="000000" w:themeColor="text1"/>
          <w:sz w:val="24"/>
          <w:szCs w:val="32"/>
          <w:lang w:val="en-US" w:eastAsia="zh-CN"/>
          <w14:textFill>
            <w14:solidFill>
              <w14:schemeClr w14:val="tx1"/>
            </w14:solidFill>
          </w14:textFill>
        </w:rPr>
      </w:pPr>
      <w:r>
        <w:rPr>
          <w:rFonts w:hint="eastAsia" w:ascii="宋体" w:hAnsi="宋体" w:eastAsia="宋体" w:cs="宋体"/>
          <w:color w:val="000000" w:themeColor="text1"/>
          <w:sz w:val="24"/>
          <w:szCs w:val="32"/>
          <w:lang w:val="en-US" w:eastAsia="zh-CN"/>
          <w14:textFill>
            <w14:solidFill>
              <w14:schemeClr w14:val="tx1"/>
            </w14:solidFill>
          </w14:textFill>
        </w:rPr>
        <w:t xml:space="preserve">    落实《中华人民共和国水污染防治法》《固体废物污染环境防治法》相关规定，参考《绿色轨道站场评价标准》（2024年重庆地标）中“资源节约”与“环境适宜”的评分项内容等，要求城市轨道交通基础设施项目在施工建造阶段，必须对污水与废弃物采取有效的处理措施。施工废水，例如盾构冷却水和冲洗水，需经过沉淀、过滤等处理，确保达标后才能排放，严禁直接排入市政管网或水体，以防止水体污染。对于渣土、泥浆、废弃管片等废弃物，应进行分类处理，优先考虑资源化利用，如将废弃物用于制砖或作为回填材料，废弃的钢筋、钢材等应进行回收加工，实现资源的循环利用。对于不可回收的废弃物，应按照相关规定进行妥善处置，严禁随意外排或随意丢弃，以防止造成环境污染。这些措施旨在减少施工活动对周边环境的负面影响，符合城市轨道交通工程施工环境保护的相关标准，确保施工过程的绿色、环保与可持续性。</w:t>
      </w:r>
    </w:p>
    <w:p w14:paraId="680B46F0">
      <w:pPr>
        <w:numPr>
          <w:ilvl w:val="0"/>
          <w:numId w:val="0"/>
        </w:numPr>
        <w:spacing w:line="360" w:lineRule="auto"/>
        <w:ind w:firstLine="480" w:firstLineChars="200"/>
        <w:rPr>
          <w:rFonts w:hint="eastAsia" w:ascii="宋体" w:hAnsi="宋体" w:eastAsia="宋体" w:cs="宋体"/>
          <w:color w:val="000000" w:themeColor="text1"/>
          <w:sz w:val="24"/>
          <w:szCs w:val="32"/>
          <w:lang w:val="en-US" w:eastAsia="zh-CN"/>
          <w14:textFill>
            <w14:solidFill>
              <w14:schemeClr w14:val="tx1"/>
            </w14:solidFill>
          </w14:textFill>
        </w:rPr>
      </w:pPr>
      <w:r>
        <w:rPr>
          <w:rFonts w:hint="eastAsia" w:ascii="宋体" w:hAnsi="宋体" w:eastAsia="宋体" w:cs="宋体"/>
          <w:color w:val="000000" w:themeColor="text1"/>
          <w:sz w:val="24"/>
          <w:szCs w:val="32"/>
          <w:lang w:val="en-US" w:eastAsia="zh-CN"/>
          <w14:textFill>
            <w14:solidFill>
              <w14:schemeClr w14:val="tx1"/>
            </w14:solidFill>
          </w14:textFill>
        </w:rPr>
        <w:t>考量内容：（1）施工组织设计；（2）现场再生水回用计量数据；（3）环境影响评价报告；（4）废弃物回用或处置台账；（5）现场废弃物处置管理规定等。</w:t>
      </w:r>
    </w:p>
    <w:p w14:paraId="75942B49">
      <w:pPr>
        <w:numPr>
          <w:ilvl w:val="0"/>
          <w:numId w:val="0"/>
        </w:numPr>
        <w:spacing w:line="360" w:lineRule="auto"/>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B.2</w:t>
      </w:r>
      <w:r>
        <w:rPr>
          <w:rFonts w:hint="eastAsia" w:ascii="宋体" w:hAnsi="宋体" w:eastAsia="宋体" w:cs="宋体"/>
          <w:color w:val="000000" w:themeColor="text1"/>
          <w:sz w:val="24"/>
          <w:szCs w:val="24"/>
          <w:lang w:val="en-US" w:eastAsia="zh-CN"/>
          <w14:textFill>
            <w14:solidFill>
              <w14:schemeClr w14:val="tx1"/>
            </w14:solidFill>
          </w14:textFill>
        </w:rPr>
        <w:t>.3本条款适用于城市轨道交通基础设施项目施工建造阶段的评价。</w:t>
      </w:r>
    </w:p>
    <w:p w14:paraId="085C1097">
      <w:pPr>
        <w:numPr>
          <w:ilvl w:val="0"/>
          <w:numId w:val="0"/>
        </w:numPr>
        <w:spacing w:line="360" w:lineRule="auto"/>
        <w:rPr>
          <w:rFonts w:hint="eastAsia" w:ascii="宋体" w:hAnsi="宋体" w:eastAsia="宋体" w:cs="宋体"/>
          <w:color w:val="000000" w:themeColor="text1"/>
          <w:sz w:val="24"/>
          <w:szCs w:val="32"/>
          <w:lang w:val="en-US" w:eastAsia="zh-CN"/>
          <w14:textFill>
            <w14:solidFill>
              <w14:schemeClr w14:val="tx1"/>
            </w14:solidFill>
          </w14:textFill>
        </w:rPr>
      </w:pPr>
      <w:r>
        <w:rPr>
          <w:rFonts w:hint="eastAsia" w:ascii="宋体" w:hAnsi="宋体" w:eastAsia="宋体" w:cs="宋体"/>
          <w:color w:val="000000" w:themeColor="text1"/>
          <w:sz w:val="24"/>
          <w:szCs w:val="32"/>
          <w:lang w:val="en-US" w:eastAsia="zh-CN"/>
          <w14:textFill>
            <w14:solidFill>
              <w14:schemeClr w14:val="tx1"/>
            </w14:solidFill>
          </w14:textFill>
        </w:rPr>
        <w:t xml:space="preserve">    针对盾构施工中地下水保护与地层稳定性控制提出系统性要求，落实《地下水管理条例》关于防止地下水污染的禁令，并严格遵循《盾构法隧道施工与验收规范》GB 50446-2017的环保施工原则。工程地质与水文地质勘察需符合《岩土工程勘察规范》GB 50021-2001强制性条文，查明含水层分布、渗透系数及地下水位；专项施工方案需包含《城市轨道交通工程监测技术规范》GB 50911-2013规定的三级监测要求。具体要求包括：详细查明盾构设备穿过地段的工程地质及水文地质条件，以及施工沿线的环境、建（构）筑物、地下管线和障碍物情况，并针对保护要求制定专项施工方案和监测方案；对地质条件复杂及穿越河湖地段，需监测地下水水位及水质，采用封闭式注浆工艺，防止盾构注浆材料渗漏污染地下水；盾构开挖面压力应经计算和试验段施工情况设定，并在施工中调整优化盾构掘进参数，控制地层变形，防止地层坍塌；采用环保型盾尾密封油脂和润滑剂，减少对土壤的化学污染风险。通过措施降低施工对地下水和地层的不利影响，符合城市轨道交通工程施工环境保护和地层保护的相关标准，确保施工过程的环保性与安全性。</w:t>
      </w:r>
    </w:p>
    <w:p w14:paraId="210D84D2">
      <w:pPr>
        <w:numPr>
          <w:ilvl w:val="0"/>
          <w:numId w:val="0"/>
        </w:numPr>
        <w:spacing w:line="360" w:lineRule="auto"/>
        <w:ind w:firstLine="480" w:firstLineChars="200"/>
        <w:rPr>
          <w:rFonts w:hint="eastAsia" w:ascii="宋体" w:hAnsi="宋体" w:eastAsia="宋体" w:cs="宋体"/>
          <w:color w:val="000000" w:themeColor="text1"/>
          <w:sz w:val="24"/>
          <w:szCs w:val="32"/>
          <w:lang w:val="en-US" w:eastAsia="zh-CN"/>
          <w14:textFill>
            <w14:solidFill>
              <w14:schemeClr w14:val="tx1"/>
            </w14:solidFill>
          </w14:textFill>
        </w:rPr>
      </w:pPr>
      <w:r>
        <w:rPr>
          <w:rFonts w:hint="eastAsia" w:ascii="宋体" w:hAnsi="宋体" w:eastAsia="宋体" w:cs="宋体"/>
          <w:color w:val="000000" w:themeColor="text1"/>
          <w:sz w:val="24"/>
          <w:szCs w:val="32"/>
          <w:lang w:val="en-US" w:eastAsia="zh-CN"/>
          <w14:textFill>
            <w14:solidFill>
              <w14:schemeClr w14:val="tx1"/>
            </w14:solidFill>
          </w14:textFill>
        </w:rPr>
        <w:t>考量内容：（1）施工组织设计；（2）工程地质和水文条件勘查报告；（3）现场地下管线和设施现状资料；（4）专项施工方案；（5）专项监测方案；（6）注浆材料及密封油脂和润滑剂等材料检测报告等。</w:t>
      </w:r>
    </w:p>
    <w:p w14:paraId="31A1FF57">
      <w:pPr>
        <w:numPr>
          <w:ilvl w:val="0"/>
          <w:numId w:val="0"/>
        </w:numPr>
        <w:spacing w:line="360" w:lineRule="auto"/>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B.2</w:t>
      </w:r>
      <w:r>
        <w:rPr>
          <w:rFonts w:hint="eastAsia" w:ascii="宋体" w:hAnsi="宋体" w:eastAsia="宋体" w:cs="宋体"/>
          <w:color w:val="000000" w:themeColor="text1"/>
          <w:sz w:val="24"/>
          <w:szCs w:val="24"/>
          <w:lang w:val="en-US" w:eastAsia="zh-CN"/>
          <w14:textFill>
            <w14:solidFill>
              <w14:schemeClr w14:val="tx1"/>
            </w14:solidFill>
          </w14:textFill>
        </w:rPr>
        <w:t>.</w:t>
      </w:r>
      <w:r>
        <w:rPr>
          <w:rFonts w:hint="eastAsia" w:ascii="宋体" w:hAnsi="宋体" w:cs="宋体"/>
          <w:color w:val="000000" w:themeColor="text1"/>
          <w:sz w:val="24"/>
          <w:szCs w:val="24"/>
          <w:lang w:val="en-US" w:eastAsia="zh-CN"/>
          <w14:textFill>
            <w14:solidFill>
              <w14:schemeClr w14:val="tx1"/>
            </w14:solidFill>
          </w14:textFill>
        </w:rPr>
        <w:t>4</w:t>
      </w:r>
      <w:r>
        <w:rPr>
          <w:rFonts w:hint="eastAsia" w:ascii="宋体" w:hAnsi="宋体" w:eastAsia="宋体" w:cs="宋体"/>
          <w:color w:val="000000" w:themeColor="text1"/>
          <w:sz w:val="24"/>
          <w:szCs w:val="24"/>
          <w:lang w:val="en-US" w:eastAsia="zh-CN"/>
          <w14:textFill>
            <w14:solidFill>
              <w14:schemeClr w14:val="tx1"/>
            </w14:solidFill>
          </w14:textFill>
        </w:rPr>
        <w:t>本条款适用于城市轨道交通基础设施项目施工建造阶段的评价。</w:t>
      </w:r>
    </w:p>
    <w:p w14:paraId="1FD1AF12">
      <w:pPr>
        <w:numPr>
          <w:ilvl w:val="0"/>
          <w:numId w:val="0"/>
        </w:numPr>
        <w:spacing w:line="360" w:lineRule="auto"/>
        <w:rPr>
          <w:rFonts w:hint="eastAsia" w:ascii="宋体" w:hAnsi="宋体" w:eastAsia="宋体" w:cs="宋体"/>
          <w:color w:val="000000" w:themeColor="text1"/>
          <w:sz w:val="24"/>
          <w:szCs w:val="32"/>
          <w:lang w:val="en-US" w:eastAsia="zh-CN"/>
          <w14:textFill>
            <w14:solidFill>
              <w14:schemeClr w14:val="tx1"/>
            </w14:solidFill>
          </w14:textFill>
        </w:rPr>
      </w:pPr>
      <w:r>
        <w:rPr>
          <w:rFonts w:hint="eastAsia" w:ascii="宋体" w:hAnsi="宋体" w:eastAsia="宋体" w:cs="宋体"/>
          <w:color w:val="000000" w:themeColor="text1"/>
          <w:sz w:val="24"/>
          <w:szCs w:val="32"/>
          <w:lang w:val="en-US" w:eastAsia="zh-CN"/>
          <w14:textFill>
            <w14:solidFill>
              <w14:schemeClr w14:val="tx1"/>
            </w14:solidFill>
          </w14:textFill>
        </w:rPr>
        <w:t xml:space="preserve">    城市轨道交通基础设施项目在施工过程中应积极采取措施降低能源消耗并提高能源利用效率。应遵循《盾构法隧道施工与验收规范》GB 50446-2017节能条款及《用能单位能源计量器具配备和管理通则》GB 17167-2006监测原则，具体措施包括：选用高能效的盾构机及配套设备，设备能效优化，选用盾构机需满足《全断面隧道掘进机能效限定值》GB 37483-2019，并优化掘进参数以降低单位能耗；设定明确的节能目标，建立完善的能源消耗监测体系，实时记录盾构机、通风、照明等系统的能耗数据，以便及时发现问题并采取措施；减少设备空载运行时间，定期对机械设备进行维护保养，确保设备始终处于高效运行状态。这些措施符合城市轨道交通工程施工节能与绿色施工的相关标准，旨在通过技术与管理手段的结合，实现施工过程的节能减排，推动项目的可持续发展，同时降低施工成本，提高经济效益。</w:t>
      </w:r>
    </w:p>
    <w:p w14:paraId="670FF74B">
      <w:pPr>
        <w:numPr>
          <w:ilvl w:val="0"/>
          <w:numId w:val="0"/>
        </w:numPr>
        <w:spacing w:line="360" w:lineRule="auto"/>
        <w:ind w:firstLine="480" w:firstLineChars="200"/>
        <w:rPr>
          <w:rFonts w:hint="eastAsia" w:ascii="宋体" w:hAnsi="宋体" w:eastAsia="宋体" w:cs="宋体"/>
          <w:color w:val="000000" w:themeColor="text1"/>
          <w:sz w:val="24"/>
          <w:szCs w:val="32"/>
          <w:lang w:val="en-US" w:eastAsia="zh-CN"/>
          <w14:textFill>
            <w14:solidFill>
              <w14:schemeClr w14:val="tx1"/>
            </w14:solidFill>
          </w14:textFill>
        </w:rPr>
      </w:pPr>
      <w:r>
        <w:rPr>
          <w:rFonts w:hint="eastAsia" w:ascii="宋体" w:hAnsi="宋体" w:eastAsia="宋体" w:cs="宋体"/>
          <w:color w:val="000000" w:themeColor="text1"/>
          <w:sz w:val="24"/>
          <w:szCs w:val="32"/>
          <w:lang w:val="en-US" w:eastAsia="zh-CN"/>
          <w14:textFill>
            <w14:solidFill>
              <w14:schemeClr w14:val="tx1"/>
            </w14:solidFill>
          </w14:textFill>
        </w:rPr>
        <w:t>考量内容：（1）施工组织设计；（2）现场能碳计量、监测数据或台账；（3）现场设备运维保养台账；（4）现场设备使用运行记录等。</w:t>
      </w:r>
    </w:p>
    <w:p w14:paraId="73D067DB">
      <w:pPr>
        <w:numPr>
          <w:ilvl w:val="0"/>
          <w:numId w:val="0"/>
        </w:numPr>
        <w:spacing w:line="360" w:lineRule="auto"/>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cs="宋体"/>
          <w:color w:val="000000" w:themeColor="text1"/>
          <w:sz w:val="24"/>
          <w:szCs w:val="32"/>
          <w:lang w:val="en-US" w:eastAsia="zh-CN"/>
          <w14:textFill>
            <w14:solidFill>
              <w14:schemeClr w14:val="tx1"/>
            </w14:solidFill>
          </w14:textFill>
        </w:rPr>
        <w:t>B.2</w:t>
      </w:r>
      <w:r>
        <w:rPr>
          <w:rFonts w:hint="eastAsia" w:ascii="宋体" w:hAnsi="宋体" w:eastAsia="宋体" w:cs="宋体"/>
          <w:color w:val="000000" w:themeColor="text1"/>
          <w:sz w:val="24"/>
          <w:szCs w:val="32"/>
          <w:lang w:val="en-US" w:eastAsia="zh-CN"/>
          <w14:textFill>
            <w14:solidFill>
              <w14:schemeClr w14:val="tx1"/>
            </w14:solidFill>
          </w14:textFill>
        </w:rPr>
        <w:t>.</w:t>
      </w:r>
      <w:r>
        <w:rPr>
          <w:rFonts w:hint="eastAsia" w:ascii="宋体" w:hAnsi="宋体" w:cs="宋体"/>
          <w:color w:val="000000" w:themeColor="text1"/>
          <w:sz w:val="24"/>
          <w:szCs w:val="32"/>
          <w:lang w:val="en-US" w:eastAsia="zh-CN"/>
          <w14:textFill>
            <w14:solidFill>
              <w14:schemeClr w14:val="tx1"/>
            </w14:solidFill>
          </w14:textFill>
        </w:rPr>
        <w:t>5</w:t>
      </w:r>
      <w:r>
        <w:rPr>
          <w:rFonts w:hint="eastAsia" w:ascii="宋体" w:hAnsi="宋体" w:eastAsia="宋体" w:cs="宋体"/>
          <w:color w:val="000000" w:themeColor="text1"/>
          <w:sz w:val="24"/>
          <w:szCs w:val="24"/>
          <w:lang w:val="en-US" w:eastAsia="zh-CN"/>
          <w14:textFill>
            <w14:solidFill>
              <w14:schemeClr w14:val="tx1"/>
            </w14:solidFill>
          </w14:textFill>
        </w:rPr>
        <w:t>本条款适用于城市轨道交通基础设施项目施工建造阶段的评价。</w:t>
      </w:r>
    </w:p>
    <w:p w14:paraId="2293C4B3">
      <w:pPr>
        <w:numPr>
          <w:ilvl w:val="0"/>
          <w:numId w:val="0"/>
        </w:numPr>
        <w:spacing w:line="360" w:lineRule="auto"/>
        <w:ind w:firstLine="480" w:firstLineChars="200"/>
        <w:rPr>
          <w:rFonts w:hint="eastAsia" w:ascii="宋体" w:hAnsi="宋体" w:eastAsia="宋体" w:cs="宋体"/>
          <w:color w:val="000000" w:themeColor="text1"/>
          <w:sz w:val="24"/>
          <w:szCs w:val="32"/>
          <w:lang w:val="en-US" w:eastAsia="zh-CN"/>
          <w14:textFill>
            <w14:solidFill>
              <w14:schemeClr w14:val="tx1"/>
            </w14:solidFill>
          </w14:textFill>
        </w:rPr>
      </w:pPr>
      <w:r>
        <w:rPr>
          <w:rFonts w:hint="eastAsia" w:ascii="宋体" w:hAnsi="宋体" w:eastAsia="宋体" w:cs="宋体"/>
          <w:color w:val="000000" w:themeColor="text1"/>
          <w:sz w:val="24"/>
          <w:szCs w:val="32"/>
          <w:lang w:val="en-US" w:eastAsia="zh-CN"/>
          <w14:textFill>
            <w14:solidFill>
              <w14:schemeClr w14:val="tx1"/>
            </w14:solidFill>
          </w14:textFill>
        </w:rPr>
        <w:t>旨在推动施工过程的水资源高效利用，引导施工单位采取实质性节水措施。建立循环水系统（如盾构冷却水、洗车废水等经处理后回用），直接减少新鲜水取用量；采用节水器具从源头控水，要求冲洗设备（如车辆冲洗、降尘喷雾等）必须符合《节水型生活用水器具》CJ/T 164 或同类标准，通过低流量喷头、自动启停装置、高压微雾等技术严控耗水量，并配合用水计量与定额管理。两项措施均需提供设备配置证明、用水记录及节水计算书作为评分依据，体现施工全过程对“节水优先”原则的落实。</w:t>
      </w:r>
    </w:p>
    <w:p w14:paraId="123E8FBA">
      <w:pPr>
        <w:numPr>
          <w:ilvl w:val="0"/>
          <w:numId w:val="0"/>
        </w:numPr>
        <w:spacing w:line="360" w:lineRule="auto"/>
        <w:ind w:firstLine="480" w:firstLineChars="200"/>
        <w:rPr>
          <w:rFonts w:hint="eastAsia" w:ascii="宋体" w:hAnsi="宋体" w:eastAsia="宋体" w:cs="宋体"/>
          <w:color w:val="000000" w:themeColor="text1"/>
          <w:sz w:val="24"/>
          <w:szCs w:val="32"/>
          <w:lang w:val="en-US" w:eastAsia="zh-CN"/>
          <w14:textFill>
            <w14:solidFill>
              <w14:schemeClr w14:val="tx1"/>
            </w14:solidFill>
          </w14:textFill>
        </w:rPr>
      </w:pPr>
      <w:r>
        <w:rPr>
          <w:rFonts w:hint="eastAsia" w:ascii="宋体" w:hAnsi="宋体" w:eastAsia="宋体" w:cs="宋体"/>
          <w:color w:val="000000" w:themeColor="text1"/>
          <w:sz w:val="24"/>
          <w:szCs w:val="32"/>
          <w:lang w:val="en-US" w:eastAsia="zh-CN"/>
          <w14:textFill>
            <w14:solidFill>
              <w14:schemeClr w14:val="tx1"/>
            </w14:solidFill>
          </w14:textFill>
        </w:rPr>
        <w:t>考量内容：（1）施工组织设计；（2）现场绿色施工方案；（3）现场水资源消耗计量数据；（4）再生回用水消耗计量数据或台账等。</w:t>
      </w:r>
    </w:p>
    <w:p w14:paraId="135B6D33">
      <w:pPr>
        <w:numPr>
          <w:ilvl w:val="0"/>
          <w:numId w:val="0"/>
        </w:numPr>
        <w:spacing w:line="360" w:lineRule="auto"/>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cs="宋体"/>
          <w:color w:val="000000" w:themeColor="text1"/>
          <w:sz w:val="24"/>
          <w:szCs w:val="32"/>
          <w:lang w:val="en-US" w:eastAsia="zh-CN"/>
          <w14:textFill>
            <w14:solidFill>
              <w14:schemeClr w14:val="tx1"/>
            </w14:solidFill>
          </w14:textFill>
        </w:rPr>
        <w:t>B.2</w:t>
      </w:r>
      <w:r>
        <w:rPr>
          <w:rFonts w:hint="eastAsia" w:ascii="宋体" w:hAnsi="宋体" w:eastAsia="宋体" w:cs="宋体"/>
          <w:color w:val="000000" w:themeColor="text1"/>
          <w:sz w:val="24"/>
          <w:szCs w:val="32"/>
          <w:lang w:val="en-US" w:eastAsia="zh-CN"/>
          <w14:textFill>
            <w14:solidFill>
              <w14:schemeClr w14:val="tx1"/>
            </w14:solidFill>
          </w14:textFill>
        </w:rPr>
        <w:t>.</w:t>
      </w:r>
      <w:r>
        <w:rPr>
          <w:rFonts w:hint="eastAsia" w:ascii="宋体" w:hAnsi="宋体" w:cs="宋体"/>
          <w:color w:val="000000" w:themeColor="text1"/>
          <w:sz w:val="24"/>
          <w:szCs w:val="32"/>
          <w:lang w:val="en-US" w:eastAsia="zh-CN"/>
          <w14:textFill>
            <w14:solidFill>
              <w14:schemeClr w14:val="tx1"/>
            </w14:solidFill>
          </w14:textFill>
        </w:rPr>
        <w:t>6</w:t>
      </w:r>
      <w:r>
        <w:rPr>
          <w:rFonts w:hint="eastAsia" w:ascii="宋体" w:hAnsi="宋体" w:eastAsia="宋体" w:cs="宋体"/>
          <w:color w:val="000000" w:themeColor="text1"/>
          <w:sz w:val="24"/>
          <w:szCs w:val="24"/>
          <w:lang w:val="en-US" w:eastAsia="zh-CN"/>
          <w14:textFill>
            <w14:solidFill>
              <w14:schemeClr w14:val="tx1"/>
            </w14:solidFill>
          </w14:textFill>
        </w:rPr>
        <w:t>本条款适用于城市轨道交通基础设施项目施工建造阶段的评价。</w:t>
      </w:r>
    </w:p>
    <w:p w14:paraId="67BD14C3">
      <w:pPr>
        <w:numPr>
          <w:ilvl w:val="0"/>
          <w:numId w:val="0"/>
        </w:numPr>
        <w:spacing w:line="360" w:lineRule="auto"/>
        <w:ind w:firstLine="480" w:firstLineChars="200"/>
        <w:rPr>
          <w:rFonts w:hint="eastAsia" w:ascii="宋体" w:hAnsi="宋体" w:eastAsia="宋体" w:cs="宋体"/>
          <w:color w:val="000000" w:themeColor="text1"/>
          <w:sz w:val="24"/>
          <w:szCs w:val="32"/>
          <w:lang w:val="en-US" w:eastAsia="zh-CN"/>
          <w14:textFill>
            <w14:solidFill>
              <w14:schemeClr w14:val="tx1"/>
            </w14:solidFill>
          </w14:textFill>
        </w:rPr>
      </w:pPr>
      <w:r>
        <w:rPr>
          <w:rFonts w:hint="eastAsia" w:ascii="宋体" w:hAnsi="宋体" w:eastAsia="宋体" w:cs="宋体"/>
          <w:color w:val="000000" w:themeColor="text1"/>
          <w:sz w:val="24"/>
          <w:szCs w:val="32"/>
          <w:lang w:val="en-US" w:eastAsia="zh-CN"/>
          <w14:textFill>
            <w14:solidFill>
              <w14:schemeClr w14:val="tx1"/>
            </w14:solidFill>
          </w14:textFill>
        </w:rPr>
        <w:t>针对城市轨道交通工程材料资源节约，通过再生材料应用降低资源消耗。要求同步注浆优先采用环保型材料，在满足《盾构法隧道施工与验收规范》GB 50446 性能要求的前提下，掺入工业废渣、再生骨料等再生材料，响应《绿色施工规范》GB/T 50905 第3.4.1条资源化利用要求；明确再生骨料混凝土在隧道注浆液、衬砌填充及竖井围护桩等非结构部位的适用性，依据《城市轨道交通工程再生骨料混凝土应用技术规程》CJJ/T 258 控制使用范围；强制再生骨料符合</w:t>
      </w:r>
      <w:r>
        <w:rPr>
          <w:rFonts w:hint="eastAsia" w:ascii="宋体" w:hAnsi="宋体" w:cs="宋体"/>
          <w:color w:val="000000" w:themeColor="text1"/>
          <w:sz w:val="24"/>
          <w:szCs w:val="32"/>
          <w:lang w:val="en-US" w:eastAsia="zh-CN"/>
          <w14:textFill>
            <w14:solidFill>
              <w14:schemeClr w14:val="tx1"/>
            </w14:solidFill>
          </w14:textFill>
        </w:rPr>
        <w:t>现行国家标准</w:t>
      </w:r>
      <w:r>
        <w:rPr>
          <w:rFonts w:hint="eastAsia" w:ascii="宋体" w:hAnsi="宋体" w:eastAsia="宋体" w:cs="宋体"/>
          <w:color w:val="000000" w:themeColor="text1"/>
          <w:sz w:val="24"/>
          <w:szCs w:val="32"/>
          <w:lang w:val="en-US" w:eastAsia="zh-CN"/>
          <w14:textFill>
            <w14:solidFill>
              <w14:schemeClr w14:val="tx1"/>
            </w14:solidFill>
          </w14:textFill>
        </w:rPr>
        <w:t>《混凝土用再生粗骨料》GB/T 25177 或《混凝土和砂浆用再生细骨料》GB/T 25176 的技术指标，重点控制压碎值、吸水率及抗渗等级等，确保工程耐久性；要求提供法定机构出具的有害物质检测报告，重金属含量需满足《建筑材料放射性核素限量》GB 6564 及《城市轨道交通地下工程用混凝土》JG/T 568 的环保要求。评价时需核查再生材料掺量比例、质量证明文件及施工部位记录。</w:t>
      </w:r>
    </w:p>
    <w:p w14:paraId="0F8A5B16">
      <w:pPr>
        <w:numPr>
          <w:ilvl w:val="0"/>
          <w:numId w:val="0"/>
        </w:numPr>
        <w:spacing w:line="360" w:lineRule="auto"/>
        <w:ind w:firstLine="480" w:firstLineChars="200"/>
        <w:rPr>
          <w:rFonts w:hint="eastAsia" w:ascii="宋体" w:hAnsi="宋体" w:eastAsia="宋体" w:cs="宋体"/>
          <w:color w:val="000000" w:themeColor="text1"/>
          <w:sz w:val="24"/>
          <w:szCs w:val="32"/>
          <w:lang w:val="en-US" w:eastAsia="zh-CN"/>
          <w14:textFill>
            <w14:solidFill>
              <w14:schemeClr w14:val="tx1"/>
            </w14:solidFill>
          </w14:textFill>
        </w:rPr>
      </w:pPr>
      <w:r>
        <w:rPr>
          <w:rFonts w:hint="eastAsia" w:ascii="宋体" w:hAnsi="宋体" w:eastAsia="宋体" w:cs="宋体"/>
          <w:color w:val="000000" w:themeColor="text1"/>
          <w:sz w:val="24"/>
          <w:szCs w:val="32"/>
          <w:lang w:val="en-US" w:eastAsia="zh-CN"/>
          <w14:textFill>
            <w14:solidFill>
              <w14:schemeClr w14:val="tx1"/>
            </w14:solidFill>
          </w14:textFill>
        </w:rPr>
        <w:t>考量内容：（1）施工组织设计；（2）可再生料检测报告；（3）可再生料加工、生产台账；（4）可再生料施工部分记录、掺入量记录等。</w:t>
      </w:r>
    </w:p>
    <w:p w14:paraId="1150DE38">
      <w:pPr>
        <w:numPr>
          <w:ilvl w:val="0"/>
          <w:numId w:val="0"/>
        </w:numPr>
        <w:spacing w:line="360" w:lineRule="auto"/>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cs="宋体"/>
          <w:color w:val="000000" w:themeColor="text1"/>
          <w:sz w:val="24"/>
          <w:szCs w:val="32"/>
          <w:lang w:val="en-US" w:eastAsia="zh-CN"/>
          <w14:textFill>
            <w14:solidFill>
              <w14:schemeClr w14:val="tx1"/>
            </w14:solidFill>
          </w14:textFill>
        </w:rPr>
        <w:t>B.2</w:t>
      </w:r>
      <w:r>
        <w:rPr>
          <w:rFonts w:hint="eastAsia" w:ascii="宋体" w:hAnsi="宋体" w:eastAsia="宋体" w:cs="宋体"/>
          <w:color w:val="000000" w:themeColor="text1"/>
          <w:sz w:val="24"/>
          <w:szCs w:val="32"/>
          <w:lang w:val="en-US" w:eastAsia="zh-CN"/>
          <w14:textFill>
            <w14:solidFill>
              <w14:schemeClr w14:val="tx1"/>
            </w14:solidFill>
          </w14:textFill>
        </w:rPr>
        <w:t>.</w:t>
      </w:r>
      <w:r>
        <w:rPr>
          <w:rFonts w:hint="eastAsia" w:ascii="宋体" w:hAnsi="宋体" w:cs="宋体"/>
          <w:color w:val="000000" w:themeColor="text1"/>
          <w:sz w:val="24"/>
          <w:szCs w:val="32"/>
          <w:lang w:val="en-US" w:eastAsia="zh-CN"/>
          <w14:textFill>
            <w14:solidFill>
              <w14:schemeClr w14:val="tx1"/>
            </w14:solidFill>
          </w14:textFill>
        </w:rPr>
        <w:t>7</w:t>
      </w:r>
      <w:r>
        <w:rPr>
          <w:rFonts w:hint="eastAsia" w:ascii="宋体" w:hAnsi="宋体" w:eastAsia="宋体" w:cs="宋体"/>
          <w:color w:val="000000" w:themeColor="text1"/>
          <w:sz w:val="24"/>
          <w:szCs w:val="24"/>
          <w:lang w:val="en-US" w:eastAsia="zh-CN"/>
          <w14:textFill>
            <w14:solidFill>
              <w14:schemeClr w14:val="tx1"/>
            </w14:solidFill>
          </w14:textFill>
        </w:rPr>
        <w:t>本条款适用于城市轨道交通基础设施项目施工建造阶段的评价。</w:t>
      </w:r>
    </w:p>
    <w:p w14:paraId="7EC177B6">
      <w:pPr>
        <w:numPr>
          <w:ilvl w:val="0"/>
          <w:numId w:val="0"/>
        </w:numPr>
        <w:spacing w:line="360" w:lineRule="auto"/>
        <w:ind w:firstLine="480" w:firstLineChars="200"/>
        <w:rPr>
          <w:rFonts w:hint="eastAsia" w:ascii="宋体" w:hAnsi="宋体" w:eastAsia="宋体" w:cs="宋体"/>
          <w:color w:val="000000" w:themeColor="text1"/>
          <w:sz w:val="24"/>
          <w:szCs w:val="32"/>
          <w:lang w:val="en-US" w:eastAsia="zh-CN"/>
          <w14:textFill>
            <w14:solidFill>
              <w14:schemeClr w14:val="tx1"/>
            </w14:solidFill>
          </w14:textFill>
        </w:rPr>
      </w:pPr>
      <w:r>
        <w:rPr>
          <w:rFonts w:hint="eastAsia" w:ascii="宋体" w:hAnsi="宋体" w:eastAsia="宋体" w:cs="宋体"/>
          <w:color w:val="000000" w:themeColor="text1"/>
          <w:sz w:val="24"/>
          <w:szCs w:val="32"/>
          <w:lang w:val="en-US" w:eastAsia="zh-CN"/>
          <w14:textFill>
            <w14:solidFill>
              <w14:schemeClr w14:val="tx1"/>
            </w14:solidFill>
          </w14:textFill>
        </w:rPr>
        <w:t>旨在规范城市轨道交通施工中固体废弃物的全过程资源化利用与合规处置，引导参建单位落实减量化、资源化、无害化原则。要求盾构渣土和泥浆须经脱水、筛分预处理。如重庆轨道交通18号线采用的“多级筛分+泥浆干化”工艺，实现渣土减量70%以上，并优先用于工程回填、路基填筑，严禁直接外弃；禁止随意堆放或填埋，强调与具备资质的资源化企业协同处置，规避潜在地质与环境污染风险；要求废混凝土、废金属、废木材等分类存放并提高回收率，其中废混凝土经破碎后可生成再生骨料，用于隧道衬砌填充、临时结构等非承重部位，如，临沂案例显示再生骨料替代天然石材可节约耕地90亩/50万吨；强制废机油、废电池等危险废物单独收集，交由持有《危险废物经营许可证》的单位处理，严禁混入一般垃圾，处置过程需严格执行《危险废物贮存污染控制标准》GB 18597及转移联单制度，避免非法转卖导致刑事风险。</w:t>
      </w:r>
    </w:p>
    <w:p w14:paraId="01A2582C">
      <w:pPr>
        <w:numPr>
          <w:ilvl w:val="0"/>
          <w:numId w:val="0"/>
        </w:numPr>
        <w:spacing w:line="360" w:lineRule="auto"/>
        <w:ind w:firstLine="480" w:firstLineChars="200"/>
        <w:rPr>
          <w:rFonts w:hint="eastAsia" w:ascii="宋体" w:hAnsi="宋体" w:eastAsia="宋体" w:cs="宋体"/>
          <w:color w:val="000000" w:themeColor="text1"/>
          <w:sz w:val="24"/>
          <w:szCs w:val="32"/>
          <w:lang w:val="en-US" w:eastAsia="zh-CN"/>
          <w14:textFill>
            <w14:solidFill>
              <w14:schemeClr w14:val="tx1"/>
            </w14:solidFill>
          </w14:textFill>
        </w:rPr>
      </w:pPr>
      <w:r>
        <w:rPr>
          <w:rFonts w:hint="eastAsia" w:ascii="宋体" w:hAnsi="宋体" w:eastAsia="宋体" w:cs="宋体"/>
          <w:color w:val="000000" w:themeColor="text1"/>
          <w:sz w:val="24"/>
          <w:szCs w:val="32"/>
          <w:lang w:val="en-US" w:eastAsia="zh-CN"/>
          <w14:textFill>
            <w14:solidFill>
              <w14:schemeClr w14:val="tx1"/>
            </w14:solidFill>
          </w14:textFill>
        </w:rPr>
        <w:t>考量内容：（1）施工组织设计；（2）渣土、泥浆处置记录；（3）环境影响评价报告；（4）固体废弃物资环化利用台账；（5）废弃物回收率；（6）危险废弃物处理台账等。</w:t>
      </w:r>
    </w:p>
    <w:p w14:paraId="18EFCD97">
      <w:pPr>
        <w:numPr>
          <w:ilvl w:val="0"/>
          <w:numId w:val="0"/>
        </w:numPr>
        <w:spacing w:line="360" w:lineRule="auto"/>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cs="宋体"/>
          <w:color w:val="000000" w:themeColor="text1"/>
          <w:sz w:val="24"/>
          <w:szCs w:val="32"/>
          <w:lang w:val="en-US" w:eastAsia="zh-CN"/>
          <w14:textFill>
            <w14:solidFill>
              <w14:schemeClr w14:val="tx1"/>
            </w14:solidFill>
          </w14:textFill>
        </w:rPr>
        <w:t>B.2</w:t>
      </w:r>
      <w:r>
        <w:rPr>
          <w:rFonts w:hint="eastAsia" w:ascii="宋体" w:hAnsi="宋体" w:eastAsia="宋体" w:cs="宋体"/>
          <w:color w:val="000000" w:themeColor="text1"/>
          <w:sz w:val="24"/>
          <w:szCs w:val="32"/>
          <w:lang w:val="en-US" w:eastAsia="zh-CN"/>
          <w14:textFill>
            <w14:solidFill>
              <w14:schemeClr w14:val="tx1"/>
            </w14:solidFill>
          </w14:textFill>
        </w:rPr>
        <w:t>.</w:t>
      </w:r>
      <w:r>
        <w:rPr>
          <w:rFonts w:hint="eastAsia" w:ascii="宋体" w:hAnsi="宋体" w:cs="宋体"/>
          <w:color w:val="000000" w:themeColor="text1"/>
          <w:sz w:val="24"/>
          <w:szCs w:val="32"/>
          <w:lang w:val="en-US" w:eastAsia="zh-CN"/>
          <w14:textFill>
            <w14:solidFill>
              <w14:schemeClr w14:val="tx1"/>
            </w14:solidFill>
          </w14:textFill>
        </w:rPr>
        <w:t>8</w:t>
      </w:r>
      <w:r>
        <w:rPr>
          <w:rFonts w:hint="eastAsia" w:ascii="宋体" w:hAnsi="宋体" w:eastAsia="宋体" w:cs="宋体"/>
          <w:color w:val="000000" w:themeColor="text1"/>
          <w:sz w:val="24"/>
          <w:szCs w:val="24"/>
          <w:lang w:val="en-US" w:eastAsia="zh-CN"/>
          <w14:textFill>
            <w14:solidFill>
              <w14:schemeClr w14:val="tx1"/>
            </w14:solidFill>
          </w14:textFill>
        </w:rPr>
        <w:t>本条款适用于城市轨道交通基础设施项目施工建造阶段的评价。</w:t>
      </w:r>
    </w:p>
    <w:p w14:paraId="2A96BBEF">
      <w:pPr>
        <w:numPr>
          <w:ilvl w:val="0"/>
          <w:numId w:val="0"/>
        </w:numPr>
        <w:spacing w:line="360" w:lineRule="auto"/>
        <w:ind w:firstLine="480" w:firstLineChars="200"/>
        <w:rPr>
          <w:rFonts w:hint="eastAsia" w:ascii="宋体" w:hAnsi="宋体" w:eastAsia="宋体" w:cs="宋体"/>
          <w:color w:val="000000" w:themeColor="text1"/>
          <w:sz w:val="24"/>
          <w:szCs w:val="32"/>
          <w:lang w:val="en-US" w:eastAsia="zh-CN"/>
          <w14:textFill>
            <w14:solidFill>
              <w14:schemeClr w14:val="tx1"/>
            </w14:solidFill>
          </w14:textFill>
        </w:rPr>
      </w:pPr>
      <w:r>
        <w:rPr>
          <w:rFonts w:hint="eastAsia" w:ascii="宋体" w:hAnsi="宋体" w:eastAsia="宋体" w:cs="宋体"/>
          <w:color w:val="000000" w:themeColor="text1"/>
          <w:sz w:val="24"/>
          <w:szCs w:val="32"/>
          <w:lang w:val="en-US" w:eastAsia="zh-CN"/>
          <w14:textFill>
            <w14:solidFill>
              <w14:schemeClr w14:val="tx1"/>
            </w14:solidFill>
          </w14:textFill>
        </w:rPr>
        <w:t>强化城市轨道交通盾构施工中的人员权益保障体系，通过规范化管理降低作业风险。依据《建设工程安全生产管理条例》要求盾构始发前所有作业人员必须全员到岗并完成三级安全教育，确保人员资质合规、安全意识前置，杜绝无证上岗行为。针对关键岗位如主控室操作、管片拼装、机电维保等，严格执行《建筑施工企业安全生产管理规范》GB 50656及《盾构法开仓及气压作业技术规范》CJJ/T 217，实施差异化技术培训与风险防控专项交底，重点覆盖设备操作规程、应急处理流程及重大风险源，如地层突变、设备故障等的应对措施。对气压作业这一高危环节，强制遵循双重标准：一是人员准入方面，依据《空气潜水减压技术要求》（GB/T 12521）要求进仓人员经高压氧舱医院体检并取得合格证明；二是作业管控方面，按《盾构法开仓及气压作业技术规范》CJJ/T 217严格监控开挖仓通风质量、压力等级及减压程序，同步落实健康监护与应急救援预案，切实防范减压病等职业伤害。</w:t>
      </w:r>
    </w:p>
    <w:p w14:paraId="19E6D3ED">
      <w:pPr>
        <w:numPr>
          <w:ilvl w:val="0"/>
          <w:numId w:val="0"/>
        </w:numPr>
        <w:spacing w:line="360" w:lineRule="auto"/>
        <w:ind w:firstLine="480" w:firstLineChars="200"/>
        <w:rPr>
          <w:rFonts w:hint="eastAsia" w:ascii="宋体" w:hAnsi="宋体" w:eastAsia="宋体" w:cs="宋体"/>
          <w:color w:val="000000" w:themeColor="text1"/>
          <w:sz w:val="24"/>
          <w:szCs w:val="32"/>
          <w:lang w:val="en-US" w:eastAsia="zh-CN"/>
          <w14:textFill>
            <w14:solidFill>
              <w14:schemeClr w14:val="tx1"/>
            </w14:solidFill>
          </w14:textFill>
        </w:rPr>
      </w:pPr>
      <w:r>
        <w:rPr>
          <w:rFonts w:hint="eastAsia" w:ascii="宋体" w:hAnsi="宋体" w:eastAsia="宋体" w:cs="宋体"/>
          <w:color w:val="000000" w:themeColor="text1"/>
          <w:sz w:val="24"/>
          <w:szCs w:val="32"/>
          <w:lang w:val="en-US" w:eastAsia="zh-CN"/>
          <w14:textFill>
            <w14:solidFill>
              <w14:schemeClr w14:val="tx1"/>
            </w14:solidFill>
          </w14:textFill>
        </w:rPr>
        <w:t>考量内容：（1）施工组织设计；（2）作业人员台账；（3）技术培训记录；（4）专项交底、安全交底记录；（5）体检记录；（6）设备操作规程；（7）应急处理流程、应急救援预案等。</w:t>
      </w:r>
    </w:p>
    <w:p w14:paraId="621FB72B">
      <w:pPr>
        <w:numPr>
          <w:ilvl w:val="0"/>
          <w:numId w:val="0"/>
        </w:numPr>
        <w:spacing w:line="360" w:lineRule="auto"/>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cs="宋体"/>
          <w:color w:val="000000" w:themeColor="text1"/>
          <w:sz w:val="24"/>
          <w:szCs w:val="32"/>
          <w:lang w:val="en-US" w:eastAsia="zh-CN"/>
          <w14:textFill>
            <w14:solidFill>
              <w14:schemeClr w14:val="tx1"/>
            </w14:solidFill>
          </w14:textFill>
        </w:rPr>
        <w:t>B.2</w:t>
      </w:r>
      <w:r>
        <w:rPr>
          <w:rFonts w:hint="eastAsia" w:ascii="宋体" w:hAnsi="宋体" w:eastAsia="宋体" w:cs="宋体"/>
          <w:color w:val="000000" w:themeColor="text1"/>
          <w:sz w:val="24"/>
          <w:szCs w:val="32"/>
          <w:lang w:val="en-US" w:eastAsia="zh-CN"/>
          <w14:textFill>
            <w14:solidFill>
              <w14:schemeClr w14:val="tx1"/>
            </w14:solidFill>
          </w14:textFill>
        </w:rPr>
        <w:t>.</w:t>
      </w:r>
      <w:r>
        <w:rPr>
          <w:rFonts w:hint="eastAsia" w:ascii="宋体" w:hAnsi="宋体" w:cs="宋体"/>
          <w:color w:val="000000" w:themeColor="text1"/>
          <w:sz w:val="24"/>
          <w:szCs w:val="32"/>
          <w:lang w:val="en-US" w:eastAsia="zh-CN"/>
          <w14:textFill>
            <w14:solidFill>
              <w14:schemeClr w14:val="tx1"/>
            </w14:solidFill>
          </w14:textFill>
        </w:rPr>
        <w:t>9</w:t>
      </w:r>
      <w:r>
        <w:rPr>
          <w:rFonts w:hint="eastAsia" w:ascii="宋体" w:hAnsi="宋体" w:eastAsia="宋体" w:cs="宋体"/>
          <w:color w:val="000000" w:themeColor="text1"/>
          <w:sz w:val="24"/>
          <w:szCs w:val="24"/>
          <w:lang w:val="en-US" w:eastAsia="zh-CN"/>
          <w14:textFill>
            <w14:solidFill>
              <w14:schemeClr w14:val="tx1"/>
            </w14:solidFill>
          </w14:textFill>
        </w:rPr>
        <w:t>本条款适用于城市轨道交通基础设施项目施工建造阶段的评价。</w:t>
      </w:r>
    </w:p>
    <w:p w14:paraId="2CD37E76">
      <w:pPr>
        <w:numPr>
          <w:ilvl w:val="0"/>
          <w:numId w:val="0"/>
        </w:numPr>
        <w:spacing w:line="360" w:lineRule="auto"/>
        <w:ind w:firstLine="480" w:firstLineChars="200"/>
        <w:rPr>
          <w:rFonts w:hint="eastAsia" w:ascii="宋体" w:hAnsi="宋体" w:eastAsia="宋体" w:cs="宋体"/>
          <w:color w:val="000000" w:themeColor="text1"/>
          <w:sz w:val="24"/>
          <w:szCs w:val="32"/>
          <w:lang w:val="en-US" w:eastAsia="zh-CN"/>
          <w14:textFill>
            <w14:solidFill>
              <w14:schemeClr w14:val="tx1"/>
            </w14:solidFill>
          </w14:textFill>
        </w:rPr>
      </w:pPr>
      <w:r>
        <w:rPr>
          <w:rFonts w:hint="eastAsia" w:ascii="宋体" w:hAnsi="宋体" w:eastAsia="宋体" w:cs="宋体"/>
          <w:color w:val="000000" w:themeColor="text1"/>
          <w:sz w:val="24"/>
          <w:szCs w:val="32"/>
          <w:lang w:val="en-US" w:eastAsia="zh-CN"/>
          <w14:textFill>
            <w14:solidFill>
              <w14:schemeClr w14:val="tx1"/>
            </w14:solidFill>
          </w14:textFill>
        </w:rPr>
        <w:t>聚焦城市轨道交通隧道施工中的职业健康保障，依据国家及行业标准，从作业环境控制、健康监测与智能防护三个维度设定要求。作业环境控制，隧道内需采取系统性工程措施。通风严格执行《盾构法隧道施工及验收规范》GB 50446-2017；降尘实施湿式作业，并配置洒水降尘设备及封闭施工措施；降噪选用低噪声设备，设置隔声屏障，超标区域配备降噪耳塞。针对长期接触粉尘、噪声的作业人员健康监测机制，按《中华人民共和国职业病防治法》建立体检制度；参照《工作场所职业卫生监督管理规定》实施振动暴露控制；在复杂作业环境中推广技术防控、智能防护应用，如智能监测、可穿戴设备应用等。</w:t>
      </w:r>
    </w:p>
    <w:p w14:paraId="53F97342">
      <w:pPr>
        <w:numPr>
          <w:ilvl w:val="0"/>
          <w:numId w:val="0"/>
        </w:numPr>
        <w:spacing w:line="360" w:lineRule="auto"/>
        <w:ind w:firstLine="480" w:firstLineChars="200"/>
        <w:rPr>
          <w:rFonts w:hint="eastAsia" w:ascii="宋体" w:hAnsi="宋体" w:eastAsia="宋体" w:cs="宋体"/>
          <w:color w:val="000000" w:themeColor="text1"/>
          <w:sz w:val="24"/>
          <w:szCs w:val="32"/>
          <w:lang w:val="en-US" w:eastAsia="zh-CN"/>
          <w14:textFill>
            <w14:solidFill>
              <w14:schemeClr w14:val="tx1"/>
            </w14:solidFill>
          </w14:textFill>
        </w:rPr>
      </w:pPr>
      <w:r>
        <w:rPr>
          <w:rFonts w:hint="eastAsia" w:ascii="宋体" w:hAnsi="宋体" w:eastAsia="宋体" w:cs="宋体"/>
          <w:color w:val="000000" w:themeColor="text1"/>
          <w:sz w:val="24"/>
          <w:szCs w:val="32"/>
          <w:lang w:val="en-US" w:eastAsia="zh-CN"/>
          <w14:textFill>
            <w14:solidFill>
              <w14:schemeClr w14:val="tx1"/>
            </w14:solidFill>
          </w14:textFill>
        </w:rPr>
        <w:t>考量内容：（1）施工组织设计；（2）作业人员台账；（3）技术培训记录；（4）专项交底、安全交底记录；（5）体检记录；（6）设备操作规程；（7）应急处理流程、应急救援预案；（8）现场环境监测数据或台账等。</w:t>
      </w:r>
    </w:p>
    <w:p w14:paraId="56022A2A">
      <w:pPr>
        <w:numPr>
          <w:ilvl w:val="0"/>
          <w:numId w:val="0"/>
        </w:numPr>
        <w:spacing w:line="360" w:lineRule="auto"/>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cs="宋体"/>
          <w:color w:val="000000" w:themeColor="text1"/>
          <w:sz w:val="24"/>
          <w:szCs w:val="32"/>
          <w:lang w:val="en-US" w:eastAsia="zh-CN"/>
          <w14:textFill>
            <w14:solidFill>
              <w14:schemeClr w14:val="tx1"/>
            </w14:solidFill>
          </w14:textFill>
        </w:rPr>
        <w:t>B.2</w:t>
      </w:r>
      <w:r>
        <w:rPr>
          <w:rFonts w:hint="eastAsia" w:ascii="宋体" w:hAnsi="宋体" w:eastAsia="宋体" w:cs="宋体"/>
          <w:color w:val="000000" w:themeColor="text1"/>
          <w:sz w:val="24"/>
          <w:szCs w:val="32"/>
          <w:lang w:val="en-US" w:eastAsia="zh-CN"/>
          <w14:textFill>
            <w14:solidFill>
              <w14:schemeClr w14:val="tx1"/>
            </w14:solidFill>
          </w14:textFill>
        </w:rPr>
        <w:t>.</w:t>
      </w:r>
      <w:r>
        <w:rPr>
          <w:rFonts w:hint="eastAsia" w:ascii="宋体" w:hAnsi="宋体" w:cs="宋体"/>
          <w:color w:val="000000" w:themeColor="text1"/>
          <w:sz w:val="24"/>
          <w:szCs w:val="32"/>
          <w:lang w:val="en-US" w:eastAsia="zh-CN"/>
          <w14:textFill>
            <w14:solidFill>
              <w14:schemeClr w14:val="tx1"/>
            </w14:solidFill>
          </w14:textFill>
        </w:rPr>
        <w:t>10</w:t>
      </w:r>
      <w:r>
        <w:rPr>
          <w:rFonts w:hint="eastAsia" w:ascii="宋体" w:hAnsi="宋体" w:eastAsia="宋体" w:cs="宋体"/>
          <w:color w:val="000000" w:themeColor="text1"/>
          <w:sz w:val="24"/>
          <w:szCs w:val="24"/>
          <w:lang w:val="en-US" w:eastAsia="zh-CN"/>
          <w14:textFill>
            <w14:solidFill>
              <w14:schemeClr w14:val="tx1"/>
            </w14:solidFill>
          </w14:textFill>
        </w:rPr>
        <w:t>本条款适用于城市轨道交通基础设施项目施工建造阶段的评价。</w:t>
      </w:r>
    </w:p>
    <w:p w14:paraId="52013E49">
      <w:pPr>
        <w:numPr>
          <w:ilvl w:val="0"/>
          <w:numId w:val="0"/>
        </w:numPr>
        <w:spacing w:line="360" w:lineRule="auto"/>
        <w:ind w:firstLine="480" w:firstLineChars="200"/>
        <w:rPr>
          <w:rFonts w:hint="eastAsia" w:ascii="宋体" w:hAnsi="宋体" w:eastAsia="宋体" w:cs="宋体"/>
          <w:color w:val="000000" w:themeColor="text1"/>
          <w:sz w:val="24"/>
          <w:szCs w:val="32"/>
          <w:lang w:val="en-US" w:eastAsia="zh-CN"/>
          <w14:textFill>
            <w14:solidFill>
              <w14:schemeClr w14:val="tx1"/>
            </w14:solidFill>
          </w14:textFill>
        </w:rPr>
      </w:pPr>
      <w:r>
        <w:rPr>
          <w:rFonts w:hint="eastAsia" w:ascii="宋体" w:hAnsi="宋体" w:eastAsia="宋体" w:cs="宋体"/>
          <w:color w:val="000000" w:themeColor="text1"/>
          <w:sz w:val="24"/>
          <w:szCs w:val="32"/>
          <w:lang w:val="en-US" w:eastAsia="zh-CN"/>
          <w14:textFill>
            <w14:solidFill>
              <w14:schemeClr w14:val="tx1"/>
            </w14:solidFill>
          </w14:textFill>
        </w:rPr>
        <w:t>针对城市轨道交通施工建造阶段的安全管理体系，依据国家强制性标准及行业规范，从危险源防控、设备操作、环境保障、应急逃生及季节性防护五个维度提出要求。危险源管控与应急响应，严格遵循《城市轨道交通工程安全风险管理规范》GB 50870，对塌方、涌水等重大风险源实施动态辨识，编制专项应急预案，每半年组织实战演练并评估改进，确保突发险情时同步控制对周边建构筑物、管线的次生影响；盾构掘进安全操作，执行《盾构法隧道施工及验收规范》GB 50446，包括：设备检查、紧急停机、气体监测，按《隧道施工安全九条规定》实现24小时实时预警；依据《施工现场临时用电安全技术规范》JGJ 46，照明安全标准化；按《建筑施工高处作业安全技术规范》JGJ 80及《盾构法开仓作业技术规范》CJJ 217设置逃生防护系统；落实《城市轨道交通工程监测技术规范》GB 50911，落实汛期专项防控安排。</w:t>
      </w:r>
    </w:p>
    <w:p w14:paraId="3ADC2425">
      <w:pPr>
        <w:numPr>
          <w:ilvl w:val="0"/>
          <w:numId w:val="0"/>
        </w:numPr>
        <w:spacing w:line="360" w:lineRule="auto"/>
        <w:ind w:firstLine="480" w:firstLineChars="200"/>
        <w:rPr>
          <w:rFonts w:hint="eastAsia" w:ascii="宋体" w:hAnsi="宋体" w:eastAsia="宋体" w:cs="宋体"/>
          <w:color w:val="000000" w:themeColor="text1"/>
          <w:sz w:val="24"/>
          <w:szCs w:val="32"/>
          <w:lang w:val="en-US" w:eastAsia="zh-CN"/>
          <w14:textFill>
            <w14:solidFill>
              <w14:schemeClr w14:val="tx1"/>
            </w14:solidFill>
          </w14:textFill>
        </w:rPr>
      </w:pPr>
      <w:r>
        <w:rPr>
          <w:rFonts w:hint="eastAsia" w:ascii="宋体" w:hAnsi="宋体" w:eastAsia="宋体" w:cs="宋体"/>
          <w:color w:val="000000" w:themeColor="text1"/>
          <w:sz w:val="24"/>
          <w:szCs w:val="32"/>
          <w:lang w:val="en-US" w:eastAsia="zh-CN"/>
          <w14:textFill>
            <w14:solidFill>
              <w14:schemeClr w14:val="tx1"/>
            </w14:solidFill>
          </w14:textFill>
        </w:rPr>
        <w:t>考量内容：（1）施工组织设计；（2）安全管理体系文件；（3）现场演练记录；（4）专项交底、安全交底记录；（5）培训记录；（6）设备操作规程；（7）专项应急预案；（8）现场环境监测数据与预警；（9）事故处理机率；（10）现场指示标识系统等。</w:t>
      </w:r>
    </w:p>
    <w:p w14:paraId="09250B1F">
      <w:pPr>
        <w:numPr>
          <w:ilvl w:val="0"/>
          <w:numId w:val="0"/>
        </w:numPr>
        <w:spacing w:line="360" w:lineRule="auto"/>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cs="宋体"/>
          <w:color w:val="000000" w:themeColor="text1"/>
          <w:sz w:val="24"/>
          <w:szCs w:val="32"/>
          <w:lang w:val="en-US" w:eastAsia="zh-CN"/>
          <w14:textFill>
            <w14:solidFill>
              <w14:schemeClr w14:val="tx1"/>
            </w14:solidFill>
          </w14:textFill>
        </w:rPr>
        <w:t>B.2</w:t>
      </w:r>
      <w:r>
        <w:rPr>
          <w:rFonts w:hint="eastAsia" w:ascii="宋体" w:hAnsi="宋体" w:eastAsia="宋体" w:cs="宋体"/>
          <w:color w:val="000000" w:themeColor="text1"/>
          <w:sz w:val="24"/>
          <w:szCs w:val="32"/>
          <w:lang w:val="en-US" w:eastAsia="zh-CN"/>
          <w14:textFill>
            <w14:solidFill>
              <w14:schemeClr w14:val="tx1"/>
            </w14:solidFill>
          </w14:textFill>
        </w:rPr>
        <w:t>.</w:t>
      </w:r>
      <w:r>
        <w:rPr>
          <w:rFonts w:hint="eastAsia" w:ascii="宋体" w:hAnsi="宋体" w:cs="宋体"/>
          <w:color w:val="000000" w:themeColor="text1"/>
          <w:sz w:val="24"/>
          <w:szCs w:val="32"/>
          <w:lang w:val="en-US" w:eastAsia="zh-CN"/>
          <w14:textFill>
            <w14:solidFill>
              <w14:schemeClr w14:val="tx1"/>
            </w14:solidFill>
          </w14:textFill>
        </w:rPr>
        <w:t>11</w:t>
      </w:r>
      <w:r>
        <w:rPr>
          <w:rFonts w:hint="eastAsia" w:ascii="宋体" w:hAnsi="宋体" w:eastAsia="宋体" w:cs="宋体"/>
          <w:color w:val="000000" w:themeColor="text1"/>
          <w:sz w:val="24"/>
          <w:szCs w:val="24"/>
          <w:lang w:val="en-US" w:eastAsia="zh-CN"/>
          <w14:textFill>
            <w14:solidFill>
              <w14:schemeClr w14:val="tx1"/>
            </w14:solidFill>
          </w14:textFill>
        </w:rPr>
        <w:t>本条款适用于城市轨道交通基础设施项目施工建造阶段的评价。</w:t>
      </w:r>
    </w:p>
    <w:p w14:paraId="5955C4DF">
      <w:pPr>
        <w:numPr>
          <w:ilvl w:val="0"/>
          <w:numId w:val="0"/>
        </w:numPr>
        <w:spacing w:line="360" w:lineRule="auto"/>
        <w:ind w:firstLine="480" w:firstLineChars="200"/>
        <w:rPr>
          <w:rFonts w:hint="eastAsia" w:ascii="宋体" w:hAnsi="宋体" w:eastAsia="宋体" w:cs="宋体"/>
          <w:color w:val="000000" w:themeColor="text1"/>
          <w:sz w:val="24"/>
          <w:szCs w:val="32"/>
          <w:lang w:val="en-US" w:eastAsia="zh-CN"/>
          <w14:textFill>
            <w14:solidFill>
              <w14:schemeClr w14:val="tx1"/>
            </w14:solidFill>
          </w14:textFill>
        </w:rPr>
      </w:pPr>
      <w:r>
        <w:rPr>
          <w:rFonts w:hint="eastAsia" w:ascii="宋体" w:hAnsi="宋体" w:eastAsia="宋体" w:cs="宋体"/>
          <w:color w:val="000000" w:themeColor="text1"/>
          <w:sz w:val="24"/>
          <w:szCs w:val="32"/>
          <w:lang w:val="en-US" w:eastAsia="zh-CN"/>
          <w14:textFill>
            <w14:solidFill>
              <w14:schemeClr w14:val="tx1"/>
            </w14:solidFill>
          </w14:textFill>
        </w:rPr>
        <w:t>针对城市轨道交通工程注浆质量与长期可靠性管控，依据国家及行业标准，从关键材料工艺控制和分阶段验收体系两个维度提出要求：关键材料工艺控制执行《盾构法隧道施工及验收规范》GB 50446-2017、《盾构法隧道同步注浆材料应用技术规程》T/CECS 563-2018，明确管片质量标准，控制注浆材料性能以及工艺参数动态调整和实时校正，浆液严禁污染地下水，把握环保与可操作性关系。分阶段验收与全周期保障，包括材料进场验收、单位工程验收、项目工程验收、竣工验收等，结合3个月试运行数据，评估长期沉降稳定性。通过材料性能量化控制、工艺参数地质适应性调整及三级验收责任追溯，目标实现注浆工程“零缺陷”交付，降低后期维保成本，保障结构设计寿命期内安全运营。</w:t>
      </w:r>
    </w:p>
    <w:p w14:paraId="25E7F646">
      <w:pPr>
        <w:numPr>
          <w:ilvl w:val="0"/>
          <w:numId w:val="0"/>
        </w:numPr>
        <w:spacing w:line="360" w:lineRule="auto"/>
        <w:ind w:firstLine="480" w:firstLineChars="200"/>
        <w:rPr>
          <w:rFonts w:hint="eastAsia" w:ascii="宋体" w:hAnsi="宋体" w:eastAsia="宋体" w:cs="宋体"/>
          <w:color w:val="000000" w:themeColor="text1"/>
          <w:sz w:val="24"/>
          <w:szCs w:val="32"/>
          <w:lang w:val="en-US" w:eastAsia="zh-CN"/>
          <w14:textFill>
            <w14:solidFill>
              <w14:schemeClr w14:val="tx1"/>
            </w14:solidFill>
          </w14:textFill>
        </w:rPr>
      </w:pPr>
      <w:r>
        <w:rPr>
          <w:rFonts w:hint="eastAsia" w:ascii="宋体" w:hAnsi="宋体" w:eastAsia="宋体" w:cs="宋体"/>
          <w:color w:val="000000" w:themeColor="text1"/>
          <w:sz w:val="24"/>
          <w:szCs w:val="32"/>
          <w:lang w:val="en-US" w:eastAsia="zh-CN"/>
          <w14:textFill>
            <w14:solidFill>
              <w14:schemeClr w14:val="tx1"/>
            </w14:solidFill>
          </w14:textFill>
        </w:rPr>
        <w:t>考量内容：（1）施工组织设计；（2）材料检测报告；（3）现场材料使用台账；（4）材料验收记录；（5）现场材料管理规定；（6）质量标准与管理体系文件等。</w:t>
      </w:r>
    </w:p>
    <w:p w14:paraId="07209661">
      <w:pPr>
        <w:numPr>
          <w:ilvl w:val="0"/>
          <w:numId w:val="0"/>
        </w:numPr>
        <w:spacing w:line="360" w:lineRule="auto"/>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cs="宋体"/>
          <w:color w:val="000000" w:themeColor="text1"/>
          <w:sz w:val="24"/>
          <w:szCs w:val="32"/>
          <w:lang w:val="en-US" w:eastAsia="zh-CN"/>
          <w14:textFill>
            <w14:solidFill>
              <w14:schemeClr w14:val="tx1"/>
            </w14:solidFill>
          </w14:textFill>
        </w:rPr>
        <w:t>B.2</w:t>
      </w:r>
      <w:r>
        <w:rPr>
          <w:rFonts w:hint="eastAsia" w:ascii="宋体" w:hAnsi="宋体" w:eastAsia="宋体" w:cs="宋体"/>
          <w:color w:val="000000" w:themeColor="text1"/>
          <w:sz w:val="24"/>
          <w:szCs w:val="32"/>
          <w:lang w:val="en-US" w:eastAsia="zh-CN"/>
          <w14:textFill>
            <w14:solidFill>
              <w14:schemeClr w14:val="tx1"/>
            </w14:solidFill>
          </w14:textFill>
        </w:rPr>
        <w:t>.</w:t>
      </w:r>
      <w:r>
        <w:rPr>
          <w:rFonts w:hint="eastAsia" w:ascii="宋体" w:hAnsi="宋体" w:cs="宋体"/>
          <w:color w:val="000000" w:themeColor="text1"/>
          <w:sz w:val="24"/>
          <w:szCs w:val="32"/>
          <w:lang w:val="en-US" w:eastAsia="zh-CN"/>
          <w14:textFill>
            <w14:solidFill>
              <w14:schemeClr w14:val="tx1"/>
            </w14:solidFill>
          </w14:textFill>
        </w:rPr>
        <w:t>12</w:t>
      </w:r>
      <w:r>
        <w:rPr>
          <w:rFonts w:hint="eastAsia" w:ascii="宋体" w:hAnsi="宋体" w:eastAsia="宋体" w:cs="宋体"/>
          <w:color w:val="000000" w:themeColor="text1"/>
          <w:sz w:val="24"/>
          <w:szCs w:val="24"/>
          <w:lang w:val="en-US" w:eastAsia="zh-CN"/>
          <w14:textFill>
            <w14:solidFill>
              <w14:schemeClr w14:val="tx1"/>
            </w14:solidFill>
          </w14:textFill>
        </w:rPr>
        <w:t>本条款适用于城市轨道交通基础设施项目施工建造阶段的评价。</w:t>
      </w:r>
    </w:p>
    <w:p w14:paraId="32194CE2">
      <w:pPr>
        <w:numPr>
          <w:ilvl w:val="0"/>
          <w:numId w:val="0"/>
        </w:numPr>
        <w:spacing w:line="360" w:lineRule="auto"/>
        <w:ind w:firstLine="480" w:firstLineChars="200"/>
        <w:rPr>
          <w:rFonts w:hint="eastAsia" w:ascii="宋体" w:hAnsi="宋体" w:eastAsia="宋体" w:cs="宋体"/>
          <w:color w:val="000000" w:themeColor="text1"/>
          <w:sz w:val="24"/>
          <w:szCs w:val="32"/>
          <w:lang w:val="en-US" w:eastAsia="zh-CN"/>
          <w14:textFill>
            <w14:solidFill>
              <w14:schemeClr w14:val="tx1"/>
            </w14:solidFill>
          </w14:textFill>
        </w:rPr>
      </w:pPr>
      <w:r>
        <w:rPr>
          <w:rFonts w:hint="eastAsia" w:ascii="宋体" w:hAnsi="宋体" w:eastAsia="宋体" w:cs="宋体"/>
          <w:color w:val="000000" w:themeColor="text1"/>
          <w:sz w:val="24"/>
          <w:szCs w:val="32"/>
          <w:lang w:val="en-US" w:eastAsia="zh-CN"/>
          <w14:textFill>
            <w14:solidFill>
              <w14:schemeClr w14:val="tx1"/>
            </w14:solidFill>
          </w14:textFill>
        </w:rPr>
        <w:t>系统性控制城市轨道交通施工对周边社区的干扰，依据国家环保、市政及安全标准，从环境影响防控、社区功能恢复及邻近构筑物保护三个维度设定强制性要求：施工污染防控重点关注减振、降噪、防尘等方面的干扰，遵循《城市轨道交通振动与噪声控制技术规范》GB/T 39587-2020、《建筑施工场界环境噪声排放标准》GB 12523-2011、《施工场地扬尘排放标准》DB11/T 1324-2025；社区功能恢复包括：道路修复、绿化还原、管线复原等方面，主要参照《城市道路养护技术规范》CJJ 36-2016、《建设项目使用林地审核审批管理办法》、《城市工程管线综合规划规范》GB 50289-2016等标准和规定要求；邻近构筑物安全保障应参照《城市道路养护技术规范》（CJJ 36-2016）等标准和规定，从动态监测、主动防护、临时支护、隔离措施等方面落实加强防范。</w:t>
      </w:r>
    </w:p>
    <w:p w14:paraId="55D15B18">
      <w:pPr>
        <w:numPr>
          <w:ilvl w:val="0"/>
          <w:numId w:val="0"/>
        </w:numPr>
        <w:spacing w:line="360" w:lineRule="auto"/>
        <w:ind w:firstLine="480" w:firstLineChars="200"/>
        <w:rPr>
          <w:rFonts w:hint="eastAsia" w:ascii="宋体" w:hAnsi="宋体" w:eastAsia="宋体" w:cs="宋体"/>
          <w:color w:val="000000" w:themeColor="text1"/>
          <w:sz w:val="24"/>
          <w:szCs w:val="32"/>
          <w:lang w:val="en-US" w:eastAsia="zh-CN"/>
          <w14:textFill>
            <w14:solidFill>
              <w14:schemeClr w14:val="tx1"/>
            </w14:solidFill>
          </w14:textFill>
        </w:rPr>
      </w:pPr>
      <w:r>
        <w:rPr>
          <w:rFonts w:hint="eastAsia" w:ascii="宋体" w:hAnsi="宋体" w:eastAsia="宋体" w:cs="宋体"/>
          <w:color w:val="000000" w:themeColor="text1"/>
          <w:sz w:val="24"/>
          <w:szCs w:val="32"/>
          <w:lang w:val="en-US" w:eastAsia="zh-CN"/>
          <w14:textFill>
            <w14:solidFill>
              <w14:schemeClr w14:val="tx1"/>
            </w14:solidFill>
          </w14:textFill>
        </w:rPr>
        <w:t>考量内容：（1）现场环境监测数据与信息发布；（2）热线与投诉值班制度；（3）与街道和社区居民沟通机制；（4）投诉和热点事件及处理记录；（5）专项技术方案或措施；（6）受到影响的功能和环境恢复记录、图片或视频等。</w:t>
      </w:r>
    </w:p>
    <w:p w14:paraId="3792D263">
      <w:pPr>
        <w:numPr>
          <w:ilvl w:val="0"/>
          <w:numId w:val="0"/>
        </w:numPr>
        <w:spacing w:line="360" w:lineRule="auto"/>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cs="宋体"/>
          <w:color w:val="000000" w:themeColor="text1"/>
          <w:sz w:val="24"/>
          <w:szCs w:val="32"/>
          <w:lang w:val="en-US" w:eastAsia="zh-CN"/>
          <w14:textFill>
            <w14:solidFill>
              <w14:schemeClr w14:val="tx1"/>
            </w14:solidFill>
          </w14:textFill>
        </w:rPr>
        <w:t>B.2</w:t>
      </w:r>
      <w:r>
        <w:rPr>
          <w:rFonts w:hint="eastAsia" w:ascii="宋体" w:hAnsi="宋体" w:eastAsia="宋体" w:cs="宋体"/>
          <w:color w:val="000000" w:themeColor="text1"/>
          <w:sz w:val="24"/>
          <w:szCs w:val="32"/>
          <w:lang w:val="en-US" w:eastAsia="zh-CN"/>
          <w14:textFill>
            <w14:solidFill>
              <w14:schemeClr w14:val="tx1"/>
            </w14:solidFill>
          </w14:textFill>
        </w:rPr>
        <w:t>.</w:t>
      </w:r>
      <w:r>
        <w:rPr>
          <w:rFonts w:hint="eastAsia" w:ascii="宋体" w:hAnsi="宋体" w:cs="宋体"/>
          <w:color w:val="000000" w:themeColor="text1"/>
          <w:sz w:val="24"/>
          <w:szCs w:val="32"/>
          <w:lang w:val="en-US" w:eastAsia="zh-CN"/>
          <w14:textFill>
            <w14:solidFill>
              <w14:schemeClr w14:val="tx1"/>
            </w14:solidFill>
          </w14:textFill>
        </w:rPr>
        <w:t>13</w:t>
      </w:r>
      <w:r>
        <w:rPr>
          <w:rFonts w:hint="eastAsia" w:ascii="宋体" w:hAnsi="宋体" w:eastAsia="宋体" w:cs="宋体"/>
          <w:color w:val="000000" w:themeColor="text1"/>
          <w:sz w:val="24"/>
          <w:szCs w:val="24"/>
          <w:lang w:val="en-US" w:eastAsia="zh-CN"/>
          <w14:textFill>
            <w14:solidFill>
              <w14:schemeClr w14:val="tx1"/>
            </w14:solidFill>
          </w14:textFill>
        </w:rPr>
        <w:t>本条款适用于城市轨道交通基础设施项目施工建造阶段的评价。</w:t>
      </w:r>
    </w:p>
    <w:p w14:paraId="1A75C507">
      <w:pPr>
        <w:numPr>
          <w:ilvl w:val="0"/>
          <w:numId w:val="0"/>
        </w:numPr>
        <w:spacing w:line="360" w:lineRule="auto"/>
        <w:ind w:firstLine="480" w:firstLineChars="200"/>
        <w:rPr>
          <w:rFonts w:hint="eastAsia" w:ascii="宋体" w:hAnsi="宋体" w:eastAsia="宋体" w:cs="宋体"/>
          <w:color w:val="000000" w:themeColor="text1"/>
          <w:sz w:val="24"/>
          <w:szCs w:val="32"/>
          <w:lang w:val="en-US" w:eastAsia="zh-CN"/>
          <w14:textFill>
            <w14:solidFill>
              <w14:schemeClr w14:val="tx1"/>
            </w14:solidFill>
          </w14:textFill>
        </w:rPr>
      </w:pPr>
      <w:r>
        <w:rPr>
          <w:rFonts w:hint="eastAsia" w:ascii="宋体" w:hAnsi="宋体" w:eastAsia="宋体" w:cs="宋体"/>
          <w:color w:val="000000" w:themeColor="text1"/>
          <w:sz w:val="24"/>
          <w:szCs w:val="32"/>
          <w:lang w:val="en-US" w:eastAsia="zh-CN"/>
          <w14:textFill>
            <w14:solidFill>
              <w14:schemeClr w14:val="tx1"/>
            </w14:solidFill>
          </w14:textFill>
        </w:rPr>
        <w:t>聚焦城市轨道交通项目的经济可持续性提升，依据国家节能、成本控制及设备管理标准，通过技术优化、周期管控、成本平衡及装备适配四个维度构建全周期经济性保障体系。充分发挥城市轨道交通工程节能设计规范》GB/T 51357-2019、《建设工程项目管理规范》GB/T 50326-2017、《建筑工程项目全寿命周期成本控制标准》T/CECS 1074-2022、《盾构机选型评估技术规程》T/CMEA 23-2021等标准作用和过往项目经验数据积累。通过掘进参数智能调控、工期零偏差管控、LCC（全寿命周期成本）模型应用及盾构机地质适配性预判，可实现综合造价降低8%–12%，设备利用率提升25%，为项目运营期经济效益奠定技术基础。</w:t>
      </w:r>
    </w:p>
    <w:p w14:paraId="7D293D74">
      <w:pPr>
        <w:numPr>
          <w:ilvl w:val="0"/>
          <w:numId w:val="0"/>
        </w:numPr>
        <w:spacing w:line="360" w:lineRule="auto"/>
        <w:ind w:firstLine="480" w:firstLineChars="200"/>
        <w:rPr>
          <w:rFonts w:hint="eastAsia" w:ascii="宋体" w:hAnsi="宋体" w:eastAsia="宋体" w:cs="宋体"/>
          <w:color w:val="000000" w:themeColor="text1"/>
          <w:sz w:val="24"/>
          <w:szCs w:val="32"/>
          <w:lang w:val="en-US" w:eastAsia="zh-CN"/>
          <w14:textFill>
            <w14:solidFill>
              <w14:schemeClr w14:val="tx1"/>
            </w14:solidFill>
          </w14:textFill>
        </w:rPr>
      </w:pPr>
      <w:r>
        <w:rPr>
          <w:rFonts w:hint="eastAsia" w:ascii="宋体" w:hAnsi="宋体" w:eastAsia="宋体" w:cs="宋体"/>
          <w:color w:val="000000" w:themeColor="text1"/>
          <w:sz w:val="24"/>
          <w:szCs w:val="32"/>
          <w:lang w:val="en-US" w:eastAsia="zh-CN"/>
          <w14:textFill>
            <w14:solidFill>
              <w14:schemeClr w14:val="tx1"/>
            </w14:solidFill>
          </w14:textFill>
        </w:rPr>
        <w:t>考量内容：（1）项目管理节约成本记录；（2）设备选型优化方案；（3）项目额外成本增量记录；（4）设备易耗品使用记录；（5）设备运维养护台账；（6）设备能源、水资源消耗计量监测数据等。</w:t>
      </w:r>
    </w:p>
    <w:p w14:paraId="390E8750">
      <w:pPr>
        <w:numPr>
          <w:ilvl w:val="0"/>
          <w:numId w:val="0"/>
        </w:numPr>
        <w:spacing w:line="360" w:lineRule="auto"/>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B.2</w:t>
      </w:r>
      <w:r>
        <w:rPr>
          <w:rFonts w:hint="eastAsia" w:ascii="宋体" w:hAnsi="宋体" w:eastAsia="宋体" w:cs="宋体"/>
          <w:color w:val="000000" w:themeColor="text1"/>
          <w:sz w:val="24"/>
          <w:szCs w:val="24"/>
          <w:lang w:val="en-US" w:eastAsia="zh-CN"/>
          <w14:textFill>
            <w14:solidFill>
              <w14:schemeClr w14:val="tx1"/>
            </w14:solidFill>
          </w14:textFill>
        </w:rPr>
        <w:t>.</w:t>
      </w:r>
      <w:r>
        <w:rPr>
          <w:rFonts w:hint="eastAsia" w:ascii="宋体" w:hAnsi="宋体" w:cs="宋体"/>
          <w:color w:val="000000" w:themeColor="text1"/>
          <w:sz w:val="24"/>
          <w:szCs w:val="24"/>
          <w:lang w:val="en-US" w:eastAsia="zh-CN"/>
          <w14:textFill>
            <w14:solidFill>
              <w14:schemeClr w14:val="tx1"/>
            </w14:solidFill>
          </w14:textFill>
        </w:rPr>
        <w:t>14</w:t>
      </w:r>
      <w:r>
        <w:rPr>
          <w:rFonts w:hint="eastAsia" w:ascii="宋体" w:hAnsi="宋体" w:eastAsia="宋体" w:cs="宋体"/>
          <w:color w:val="000000" w:themeColor="text1"/>
          <w:sz w:val="24"/>
          <w:szCs w:val="24"/>
          <w:lang w:val="en-US" w:eastAsia="zh-CN"/>
          <w14:textFill>
            <w14:solidFill>
              <w14:schemeClr w14:val="tx1"/>
            </w14:solidFill>
          </w14:textFill>
        </w:rPr>
        <w:t>本条款适用于城市轨道交通基础设施项目施工建造阶段的评价。</w:t>
      </w:r>
    </w:p>
    <w:p w14:paraId="5CDEF4D5">
      <w:pPr>
        <w:numPr>
          <w:ilvl w:val="0"/>
          <w:numId w:val="0"/>
        </w:numPr>
        <w:spacing w:line="360" w:lineRule="auto"/>
        <w:ind w:firstLine="480" w:firstLineChars="200"/>
        <w:rPr>
          <w:rFonts w:hint="eastAsia" w:ascii="宋体" w:hAnsi="宋体" w:eastAsia="宋体" w:cs="宋体"/>
          <w:color w:val="000000" w:themeColor="text1"/>
          <w:sz w:val="24"/>
          <w:szCs w:val="32"/>
          <w:lang w:val="en-US" w:eastAsia="zh-CN"/>
          <w14:textFill>
            <w14:solidFill>
              <w14:schemeClr w14:val="tx1"/>
            </w14:solidFill>
          </w14:textFill>
        </w:rPr>
      </w:pPr>
      <w:r>
        <w:rPr>
          <w:rFonts w:hint="eastAsia" w:ascii="宋体" w:hAnsi="宋体" w:eastAsia="宋体" w:cs="宋体"/>
          <w:color w:val="000000" w:themeColor="text1"/>
          <w:sz w:val="24"/>
          <w:szCs w:val="32"/>
          <w:lang w:val="en-US" w:eastAsia="zh-CN"/>
          <w14:textFill>
            <w14:solidFill>
              <w14:schemeClr w14:val="tx1"/>
            </w14:solidFill>
          </w14:textFill>
        </w:rPr>
        <w:t>施工项目建立全周期技术管控机制，施工组织设计方案和施工技术方案应依据城市轨道交通工程相关设计、施工、竣工验收等标准和规范编制，需涵盖工程重难点如穿越富水砂层等，包括资源配置计划及应急预案，并确保其在施工中有效运行；方案中应明确涉及隧道结构安全、人身安全及环境保护的内容及措施；量化方案中的强制性技术参数，形成排除问题的专项措施，如盾构穿越风险源、沉降敏感区制定注浆加固、有毒有害气体双通道监测定位及逃生通道技术、泥浆零排放工艺等专项措施；同时，建立关键工序标准化作业流程与动态优化审批机制，如盾构始发/接收、管片拼装等，过流程标准化、参数精细化、动态调控及分级审批等保障施工安全、质量和效率，符合相关标准规范。</w:t>
      </w:r>
    </w:p>
    <w:p w14:paraId="09E733D3">
      <w:pPr>
        <w:numPr>
          <w:ilvl w:val="0"/>
          <w:numId w:val="0"/>
        </w:numPr>
        <w:spacing w:line="360" w:lineRule="auto"/>
        <w:ind w:firstLine="480" w:firstLineChars="200"/>
        <w:rPr>
          <w:rFonts w:hint="eastAsia" w:ascii="宋体" w:hAnsi="宋体" w:eastAsia="宋体" w:cs="宋体"/>
          <w:color w:val="000000" w:themeColor="text1"/>
          <w:sz w:val="24"/>
          <w:szCs w:val="32"/>
          <w:lang w:val="en-US" w:eastAsia="zh-CN"/>
          <w14:textFill>
            <w14:solidFill>
              <w14:schemeClr w14:val="tx1"/>
            </w14:solidFill>
          </w14:textFill>
        </w:rPr>
      </w:pPr>
      <w:r>
        <w:rPr>
          <w:rFonts w:hint="eastAsia" w:ascii="宋体" w:hAnsi="宋体" w:eastAsia="宋体" w:cs="宋体"/>
          <w:color w:val="000000" w:themeColor="text1"/>
          <w:sz w:val="24"/>
          <w:szCs w:val="32"/>
          <w:lang w:val="en-US" w:eastAsia="zh-CN"/>
          <w14:textFill>
            <w14:solidFill>
              <w14:schemeClr w14:val="tx1"/>
            </w14:solidFill>
          </w14:textFill>
        </w:rPr>
        <w:t>考量内容：（1）现场施工组织设计方案；（2）现场施工技术方案、安全生产等文件；（3）现场施工质量管理记录；（4）现场安全生产管理记录；（5）现场作业流程；（6）专项技术方案或专项措施；（6）管理信息平台及使用等。</w:t>
      </w:r>
    </w:p>
    <w:p w14:paraId="4E823D25">
      <w:pPr>
        <w:numPr>
          <w:ilvl w:val="0"/>
          <w:numId w:val="0"/>
        </w:numPr>
        <w:spacing w:line="360" w:lineRule="auto"/>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cs="宋体"/>
          <w:color w:val="000000" w:themeColor="text1"/>
          <w:sz w:val="24"/>
          <w:szCs w:val="32"/>
          <w:lang w:val="en-US" w:eastAsia="zh-CN"/>
          <w14:textFill>
            <w14:solidFill>
              <w14:schemeClr w14:val="tx1"/>
            </w14:solidFill>
          </w14:textFill>
        </w:rPr>
        <w:t>B.2</w:t>
      </w:r>
      <w:r>
        <w:rPr>
          <w:rFonts w:hint="eastAsia" w:ascii="宋体" w:hAnsi="宋体" w:eastAsia="宋体" w:cs="宋体"/>
          <w:color w:val="000000" w:themeColor="text1"/>
          <w:sz w:val="24"/>
          <w:szCs w:val="32"/>
          <w:lang w:val="en-US" w:eastAsia="zh-CN"/>
          <w14:textFill>
            <w14:solidFill>
              <w14:schemeClr w14:val="tx1"/>
            </w14:solidFill>
          </w14:textFill>
        </w:rPr>
        <w:t>.</w:t>
      </w:r>
      <w:r>
        <w:rPr>
          <w:rFonts w:hint="eastAsia" w:ascii="宋体" w:hAnsi="宋体" w:cs="宋体"/>
          <w:color w:val="000000" w:themeColor="text1"/>
          <w:sz w:val="24"/>
          <w:szCs w:val="32"/>
          <w:lang w:val="en-US" w:eastAsia="zh-CN"/>
          <w14:textFill>
            <w14:solidFill>
              <w14:schemeClr w14:val="tx1"/>
            </w14:solidFill>
          </w14:textFill>
        </w:rPr>
        <w:t>15</w:t>
      </w:r>
      <w:r>
        <w:rPr>
          <w:rFonts w:hint="eastAsia" w:ascii="宋体" w:hAnsi="宋体" w:eastAsia="宋体" w:cs="宋体"/>
          <w:color w:val="000000" w:themeColor="text1"/>
          <w:sz w:val="24"/>
          <w:szCs w:val="24"/>
          <w:lang w:val="en-US" w:eastAsia="zh-CN"/>
          <w14:textFill>
            <w14:solidFill>
              <w14:schemeClr w14:val="tx1"/>
            </w14:solidFill>
          </w14:textFill>
        </w:rPr>
        <w:t>本条款适用于城市轨道交通基础设施项目施工建造阶段的评价。</w:t>
      </w:r>
    </w:p>
    <w:p w14:paraId="3D1DEB3A">
      <w:pPr>
        <w:numPr>
          <w:ilvl w:val="0"/>
          <w:numId w:val="0"/>
        </w:numPr>
        <w:spacing w:line="360" w:lineRule="auto"/>
        <w:ind w:firstLine="480" w:firstLineChars="200"/>
        <w:rPr>
          <w:rFonts w:hint="eastAsia" w:ascii="宋体" w:hAnsi="宋体" w:eastAsia="宋体" w:cs="宋体"/>
          <w:color w:val="000000" w:themeColor="text1"/>
          <w:sz w:val="24"/>
          <w:szCs w:val="32"/>
          <w:lang w:val="en-US" w:eastAsia="zh-CN"/>
          <w14:textFill>
            <w14:solidFill>
              <w14:schemeClr w14:val="tx1"/>
            </w14:solidFill>
          </w14:textFill>
        </w:rPr>
      </w:pPr>
      <w:r>
        <w:rPr>
          <w:rFonts w:hint="eastAsia" w:ascii="宋体" w:hAnsi="宋体" w:eastAsia="宋体" w:cs="宋体"/>
          <w:color w:val="000000" w:themeColor="text1"/>
          <w:sz w:val="24"/>
          <w:szCs w:val="32"/>
          <w:lang w:val="en-US" w:eastAsia="zh-CN"/>
          <w14:textFill>
            <w14:solidFill>
              <w14:schemeClr w14:val="tx1"/>
            </w14:solidFill>
          </w14:textFill>
        </w:rPr>
        <w:t>要求城市轨道交通施工采用信息化技术实现全过程精细化管理，依据《城市轨道交通工程BIM应用技术标准》CJJ/T 307-2023、《建筑信息模型施工应用标准》GB/T 51269-2017及行业规程，实施BIM管片拼装模拟、BIM施工流程优化、工艺可行性验证、资源动态调配等；参照JGJ/T 434-2023《智慧工地技术标准》建立基于物联网的工程监管平台，实时全数据在线监控、风险智能预警、能耗碳排放监控；通过信息化手段，提示提升管理效率，降低返工率，节约成本，实现绿色建造与数字交付。</w:t>
      </w:r>
    </w:p>
    <w:p w14:paraId="0298EC28">
      <w:pPr>
        <w:numPr>
          <w:ilvl w:val="0"/>
          <w:numId w:val="0"/>
        </w:numPr>
        <w:spacing w:line="360" w:lineRule="auto"/>
        <w:ind w:firstLine="480" w:firstLineChars="200"/>
        <w:rPr>
          <w:rFonts w:hint="eastAsia" w:ascii="宋体" w:hAnsi="宋体" w:eastAsia="宋体" w:cs="宋体"/>
          <w:color w:val="000000" w:themeColor="text1"/>
          <w:sz w:val="24"/>
          <w:szCs w:val="32"/>
          <w:lang w:val="en-US" w:eastAsia="zh-CN"/>
          <w14:textFill>
            <w14:solidFill>
              <w14:schemeClr w14:val="tx1"/>
            </w14:solidFill>
          </w14:textFill>
        </w:rPr>
      </w:pPr>
      <w:r>
        <w:rPr>
          <w:rFonts w:hint="eastAsia" w:ascii="宋体" w:hAnsi="宋体" w:eastAsia="宋体" w:cs="宋体"/>
          <w:color w:val="000000" w:themeColor="text1"/>
          <w:sz w:val="24"/>
          <w:szCs w:val="32"/>
          <w:lang w:val="en-US" w:eastAsia="zh-CN"/>
          <w14:textFill>
            <w14:solidFill>
              <w14:schemeClr w14:val="tx1"/>
            </w14:solidFill>
          </w14:textFill>
        </w:rPr>
        <w:t>考量内容：（1）现场施工组织设计方案文件；（2）现场施工技术方案文件；（3）现场BIM建模标准；（4）专项技术方案或专项措施；（5）管理信息平台及使用等。</w:t>
      </w:r>
    </w:p>
    <w:p w14:paraId="7ABAC452">
      <w:pPr>
        <w:numPr>
          <w:ilvl w:val="0"/>
          <w:numId w:val="0"/>
        </w:numPr>
        <w:spacing w:line="360" w:lineRule="auto"/>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cs="宋体"/>
          <w:color w:val="000000" w:themeColor="text1"/>
          <w:sz w:val="24"/>
          <w:szCs w:val="32"/>
          <w:lang w:val="en-US" w:eastAsia="zh-CN"/>
          <w14:textFill>
            <w14:solidFill>
              <w14:schemeClr w14:val="tx1"/>
            </w14:solidFill>
          </w14:textFill>
        </w:rPr>
        <w:t>B.2</w:t>
      </w:r>
      <w:r>
        <w:rPr>
          <w:rFonts w:hint="eastAsia" w:ascii="宋体" w:hAnsi="宋体" w:eastAsia="宋体" w:cs="宋体"/>
          <w:color w:val="000000" w:themeColor="text1"/>
          <w:sz w:val="24"/>
          <w:szCs w:val="32"/>
          <w:lang w:val="en-US" w:eastAsia="zh-CN"/>
          <w14:textFill>
            <w14:solidFill>
              <w14:schemeClr w14:val="tx1"/>
            </w14:solidFill>
          </w14:textFill>
        </w:rPr>
        <w:t>.</w:t>
      </w:r>
      <w:r>
        <w:rPr>
          <w:rFonts w:hint="eastAsia" w:ascii="宋体" w:hAnsi="宋体" w:cs="宋体"/>
          <w:color w:val="000000" w:themeColor="text1"/>
          <w:sz w:val="24"/>
          <w:szCs w:val="32"/>
          <w:lang w:val="en-US" w:eastAsia="zh-CN"/>
          <w14:textFill>
            <w14:solidFill>
              <w14:schemeClr w14:val="tx1"/>
            </w14:solidFill>
          </w14:textFill>
        </w:rPr>
        <w:t>16</w:t>
      </w:r>
      <w:r>
        <w:rPr>
          <w:rFonts w:hint="eastAsia" w:ascii="宋体" w:hAnsi="宋体" w:eastAsia="宋体" w:cs="宋体"/>
          <w:color w:val="000000" w:themeColor="text1"/>
          <w:sz w:val="24"/>
          <w:szCs w:val="24"/>
          <w:lang w:val="en-US" w:eastAsia="zh-CN"/>
          <w14:textFill>
            <w14:solidFill>
              <w14:schemeClr w14:val="tx1"/>
            </w14:solidFill>
          </w14:textFill>
        </w:rPr>
        <w:t>本条款适用于城市轨道交通基础设施项目施工建造、运行阶段的评价。</w:t>
      </w:r>
    </w:p>
    <w:p w14:paraId="41B91430">
      <w:pPr>
        <w:numPr>
          <w:ilvl w:val="0"/>
          <w:numId w:val="0"/>
        </w:numPr>
        <w:spacing w:line="360" w:lineRule="auto"/>
        <w:ind w:firstLine="480" w:firstLineChars="200"/>
        <w:rPr>
          <w:rFonts w:hint="eastAsia" w:ascii="宋体" w:hAnsi="宋体" w:eastAsia="宋体" w:cs="宋体"/>
          <w:color w:val="000000" w:themeColor="text1"/>
          <w:sz w:val="24"/>
          <w:szCs w:val="32"/>
          <w:lang w:val="en-US" w:eastAsia="zh-CN"/>
          <w14:textFill>
            <w14:solidFill>
              <w14:schemeClr w14:val="tx1"/>
            </w14:solidFill>
          </w14:textFill>
        </w:rPr>
      </w:pPr>
      <w:r>
        <w:rPr>
          <w:rFonts w:hint="eastAsia" w:ascii="宋体" w:hAnsi="宋体" w:eastAsia="宋体" w:cs="宋体"/>
          <w:color w:val="000000" w:themeColor="text1"/>
          <w:sz w:val="24"/>
          <w:szCs w:val="32"/>
          <w:lang w:val="en-US" w:eastAsia="zh-CN"/>
          <w14:textFill>
            <w14:solidFill>
              <w14:schemeClr w14:val="tx1"/>
            </w14:solidFill>
          </w14:textFill>
        </w:rPr>
        <w:t>根据城市轨道交通相关核心标准，如《城市轨道交通结构安全保护技术规范》GB/T 51308、《城市轨道交通工程监测技术规范》GB 50911，明确盾构隧道工程在施工建造及运行全生命周期内，对结构本体及周边环境进行系统性安全状态评估与监测的强制性要求，并将其作为项目安全管控的关键要素。首先要求施工前必须针对工程穿越或邻近的复杂地质、敏感建（构）筑物、重要管线设施等特殊地段开展专项安全评估，识别潜在风险并制定预控措施；其次强调施工期需依据工程影响分区理论及监测等级标准，对地层变形、支护结构响应、邻近设施状态实施全过程、多维度（地表与隧道内）的自动化与人工监测，通过实时数据采集与动态变形分析，实现对施工扰动效应的精准控制，确保施工安全可控；在规定运营期须建立涵盖隧道结构本体（收敛、渗漏等）及外部环境（水压、土压等）的常规监测体系，并针对火灾、地震、脱轨等极端工况设置特殊监测与应急评估机制，依据监测与检查数据定期评估隧道结构及周边环境的安全状态，为维护决策及应急处置提供科学支撑，保障工程安全、环境安全及运营可靠性。</w:t>
      </w:r>
    </w:p>
    <w:p w14:paraId="0D452AEA">
      <w:pPr>
        <w:numPr>
          <w:ilvl w:val="0"/>
          <w:numId w:val="0"/>
        </w:numPr>
        <w:spacing w:line="360" w:lineRule="auto"/>
        <w:ind w:firstLine="480" w:firstLineChars="200"/>
        <w:rPr>
          <w:rFonts w:hint="eastAsia" w:ascii="宋体" w:hAnsi="宋体" w:eastAsia="宋体" w:cs="宋体"/>
          <w:color w:val="000000" w:themeColor="text1"/>
          <w:sz w:val="24"/>
          <w:szCs w:val="32"/>
          <w:lang w:val="en-US" w:eastAsia="zh-CN"/>
          <w14:textFill>
            <w14:solidFill>
              <w14:schemeClr w14:val="tx1"/>
            </w14:solidFill>
          </w14:textFill>
        </w:rPr>
      </w:pPr>
      <w:r>
        <w:rPr>
          <w:rFonts w:hint="eastAsia" w:ascii="宋体" w:hAnsi="宋体" w:eastAsia="宋体" w:cs="宋体"/>
          <w:color w:val="000000" w:themeColor="text1"/>
          <w:sz w:val="24"/>
          <w:szCs w:val="32"/>
          <w:lang w:val="en-US" w:eastAsia="zh-CN"/>
          <w14:textFill>
            <w14:solidFill>
              <w14:schemeClr w14:val="tx1"/>
            </w14:solidFill>
          </w14:textFill>
        </w:rPr>
        <w:t>考量内容：（1）现场施工组织设计方案；（2）现场施工技术方案、安全生产等文件；（3）现场施工质量管理记录；（4）现场安全生产管理记录；（5）专项安全评估报告；（6）专项技术方案或专项措施；（7）管理信息平台及使用；（8）应急处理预案等。</w:t>
      </w:r>
    </w:p>
    <w:p w14:paraId="47ECF8F9">
      <w:pPr>
        <w:numPr>
          <w:ilvl w:val="0"/>
          <w:numId w:val="0"/>
        </w:numPr>
        <w:spacing w:line="360" w:lineRule="auto"/>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cs="宋体"/>
          <w:color w:val="000000" w:themeColor="text1"/>
          <w:sz w:val="24"/>
          <w:szCs w:val="32"/>
          <w:lang w:val="en-US" w:eastAsia="zh-CN"/>
          <w14:textFill>
            <w14:solidFill>
              <w14:schemeClr w14:val="tx1"/>
            </w14:solidFill>
          </w14:textFill>
        </w:rPr>
        <w:t>B.2</w:t>
      </w:r>
      <w:r>
        <w:rPr>
          <w:rFonts w:hint="eastAsia" w:ascii="宋体" w:hAnsi="宋体" w:eastAsia="宋体" w:cs="宋体"/>
          <w:color w:val="000000" w:themeColor="text1"/>
          <w:sz w:val="24"/>
          <w:szCs w:val="32"/>
          <w:lang w:val="en-US" w:eastAsia="zh-CN"/>
          <w14:textFill>
            <w14:solidFill>
              <w14:schemeClr w14:val="tx1"/>
            </w14:solidFill>
          </w14:textFill>
        </w:rPr>
        <w:t>.</w:t>
      </w:r>
      <w:r>
        <w:rPr>
          <w:rFonts w:hint="eastAsia" w:ascii="宋体" w:hAnsi="宋体" w:cs="宋体"/>
          <w:color w:val="000000" w:themeColor="text1"/>
          <w:sz w:val="24"/>
          <w:szCs w:val="32"/>
          <w:lang w:val="en-US" w:eastAsia="zh-CN"/>
          <w14:textFill>
            <w14:solidFill>
              <w14:schemeClr w14:val="tx1"/>
            </w14:solidFill>
          </w14:textFill>
        </w:rPr>
        <w:t>17</w:t>
      </w:r>
      <w:r>
        <w:rPr>
          <w:rFonts w:hint="eastAsia" w:ascii="宋体" w:hAnsi="宋体" w:eastAsia="宋体" w:cs="宋体"/>
          <w:color w:val="000000" w:themeColor="text1"/>
          <w:sz w:val="24"/>
          <w:szCs w:val="24"/>
          <w:lang w:val="en-US" w:eastAsia="zh-CN"/>
          <w14:textFill>
            <w14:solidFill>
              <w14:schemeClr w14:val="tx1"/>
            </w14:solidFill>
          </w14:textFill>
        </w:rPr>
        <w:t>本条款适用于城市轨道交通基础设施项目规划设计、施工建造、运行阶段的评价。</w:t>
      </w:r>
    </w:p>
    <w:p w14:paraId="5D4C89C6">
      <w:pPr>
        <w:numPr>
          <w:ilvl w:val="0"/>
          <w:numId w:val="0"/>
        </w:numPr>
        <w:spacing w:line="360" w:lineRule="auto"/>
        <w:ind w:firstLine="480" w:firstLineChars="200"/>
        <w:rPr>
          <w:rFonts w:hint="eastAsia" w:ascii="宋体" w:hAnsi="宋体" w:eastAsia="宋体" w:cs="宋体"/>
          <w:color w:val="000000" w:themeColor="text1"/>
          <w:sz w:val="24"/>
          <w:szCs w:val="32"/>
          <w:lang w:val="en-US" w:eastAsia="zh-CN"/>
          <w14:textFill>
            <w14:solidFill>
              <w14:schemeClr w14:val="tx1"/>
            </w14:solidFill>
          </w14:textFill>
        </w:rPr>
      </w:pPr>
      <w:r>
        <w:rPr>
          <w:rFonts w:hint="eastAsia" w:ascii="宋体" w:hAnsi="宋体" w:eastAsia="宋体" w:cs="宋体"/>
          <w:color w:val="000000" w:themeColor="text1"/>
          <w:sz w:val="24"/>
          <w:szCs w:val="32"/>
          <w:lang w:val="en-US" w:eastAsia="zh-CN"/>
          <w14:textFill>
            <w14:solidFill>
              <w14:schemeClr w14:val="tx1"/>
            </w14:solidFill>
          </w14:textFill>
        </w:rPr>
        <w:t xml:space="preserve">根据《城市轨道交通结构安全保护技术规范》GB/T 51308、《城市轨道交通工程监测技术规范》GB 50911及《岩溶地区建筑地基基础技术标准》GB/T 51238等标准，针对盾构隧道穿越特殊地段的安全控制提出强制性要求：规定遇特殊地质如断层破碎带、富水砂层、水文地质突变或施工中新揭露地质隐患时，必须启动专项勘察，采用加密钻探、孔内摄像等手段查明风险源，形成含风险量化评价的专项报告，指导设计施工；要求岩溶发育区采用 三维地质雷达扫描，结合跨孔CT技术构建溶洞空间分布模型，建立动态风险数据库，包含溶洞位置、规模、充填状态及稳定性预测，为注浆加固范围和盾构参数优化提供依据；强调穿越既有线路时 沉降控制需提级管理，同步实施自动化实时监测，差异沉降联锁预警机制，确保既有结构变形可控。 </w:t>
      </w:r>
    </w:p>
    <w:p w14:paraId="725107B9">
      <w:pPr>
        <w:numPr>
          <w:ilvl w:val="0"/>
          <w:numId w:val="0"/>
        </w:numPr>
        <w:spacing w:line="360" w:lineRule="auto"/>
        <w:ind w:firstLine="480" w:firstLineChars="200"/>
        <w:rPr>
          <w:rFonts w:hint="eastAsia" w:ascii="宋体" w:hAnsi="宋体" w:eastAsia="宋体" w:cs="宋体"/>
          <w:color w:val="000000" w:themeColor="text1"/>
          <w:sz w:val="24"/>
          <w:szCs w:val="32"/>
          <w:lang w:val="en-US" w:eastAsia="zh-CN"/>
          <w14:textFill>
            <w14:solidFill>
              <w14:schemeClr w14:val="tx1"/>
            </w14:solidFill>
          </w14:textFill>
        </w:rPr>
      </w:pPr>
      <w:r>
        <w:rPr>
          <w:rFonts w:hint="eastAsia" w:ascii="宋体" w:hAnsi="宋体" w:eastAsia="宋体" w:cs="宋体"/>
          <w:color w:val="000000" w:themeColor="text1"/>
          <w:sz w:val="24"/>
          <w:szCs w:val="32"/>
          <w:lang w:val="en-US" w:eastAsia="zh-CN"/>
          <w14:textFill>
            <w14:solidFill>
              <w14:schemeClr w14:val="tx1"/>
            </w14:solidFill>
          </w14:textFill>
        </w:rPr>
        <w:t>考量内容：（1）现场施工组织设计方案；（2）专项技术方案或专项措施；（3）现场安全状态评估报告；（4）现场施工质量管理记录；（5）现场安全生产管理记录；（6）专项监测方案；（7）管理信息平台及使用；（8）专家评审记录。</w:t>
      </w:r>
    </w:p>
    <w:p w14:paraId="6AEE3C90">
      <w:pPr>
        <w:numPr>
          <w:ilvl w:val="0"/>
          <w:numId w:val="0"/>
        </w:numPr>
        <w:spacing w:line="360" w:lineRule="auto"/>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cs="宋体"/>
          <w:color w:val="000000" w:themeColor="text1"/>
          <w:sz w:val="24"/>
          <w:szCs w:val="32"/>
          <w:lang w:val="en-US" w:eastAsia="zh-CN"/>
          <w14:textFill>
            <w14:solidFill>
              <w14:schemeClr w14:val="tx1"/>
            </w14:solidFill>
          </w14:textFill>
        </w:rPr>
        <w:t>B.2</w:t>
      </w:r>
      <w:r>
        <w:rPr>
          <w:rFonts w:hint="eastAsia" w:ascii="宋体" w:hAnsi="宋体" w:eastAsia="宋体" w:cs="宋体"/>
          <w:color w:val="000000" w:themeColor="text1"/>
          <w:sz w:val="24"/>
          <w:szCs w:val="32"/>
          <w:lang w:val="en-US" w:eastAsia="zh-CN"/>
          <w14:textFill>
            <w14:solidFill>
              <w14:schemeClr w14:val="tx1"/>
            </w14:solidFill>
          </w14:textFill>
        </w:rPr>
        <w:t>.</w:t>
      </w:r>
      <w:r>
        <w:rPr>
          <w:rFonts w:hint="eastAsia" w:ascii="宋体" w:hAnsi="宋体" w:cs="宋体"/>
          <w:color w:val="000000" w:themeColor="text1"/>
          <w:sz w:val="24"/>
          <w:szCs w:val="32"/>
          <w:lang w:val="en-US" w:eastAsia="zh-CN"/>
          <w14:textFill>
            <w14:solidFill>
              <w14:schemeClr w14:val="tx1"/>
            </w14:solidFill>
          </w14:textFill>
        </w:rPr>
        <w:t>18</w:t>
      </w:r>
      <w:r>
        <w:rPr>
          <w:rFonts w:hint="eastAsia" w:ascii="宋体" w:hAnsi="宋体" w:eastAsia="宋体" w:cs="宋体"/>
          <w:color w:val="000000" w:themeColor="text1"/>
          <w:sz w:val="24"/>
          <w:szCs w:val="24"/>
          <w:lang w:val="en-US" w:eastAsia="zh-CN"/>
          <w14:textFill>
            <w14:solidFill>
              <w14:schemeClr w14:val="tx1"/>
            </w14:solidFill>
          </w14:textFill>
        </w:rPr>
        <w:t>本条款适用于城市轨道交通基础设施项目施工建造阶段的评价。</w:t>
      </w:r>
    </w:p>
    <w:p w14:paraId="2EA82EF4">
      <w:pPr>
        <w:numPr>
          <w:ilvl w:val="0"/>
          <w:numId w:val="0"/>
        </w:numPr>
        <w:spacing w:line="360" w:lineRule="auto"/>
        <w:ind w:firstLine="480" w:firstLineChars="200"/>
        <w:rPr>
          <w:rFonts w:hint="eastAsia" w:ascii="宋体" w:hAnsi="宋体" w:eastAsia="宋体" w:cs="宋体"/>
          <w:color w:val="000000" w:themeColor="text1"/>
          <w:sz w:val="24"/>
          <w:szCs w:val="32"/>
          <w:lang w:val="en-US" w:eastAsia="zh-CN"/>
          <w14:textFill>
            <w14:solidFill>
              <w14:schemeClr w14:val="tx1"/>
            </w14:solidFill>
          </w14:textFill>
        </w:rPr>
      </w:pPr>
      <w:r>
        <w:rPr>
          <w:rFonts w:hint="eastAsia" w:ascii="宋体" w:hAnsi="宋体" w:eastAsia="宋体" w:cs="宋体"/>
          <w:color w:val="000000" w:themeColor="text1"/>
          <w:sz w:val="24"/>
          <w:szCs w:val="32"/>
          <w:lang w:val="en-US" w:eastAsia="zh-CN"/>
          <w14:textFill>
            <w14:solidFill>
              <w14:schemeClr w14:val="tx1"/>
            </w14:solidFill>
          </w14:textFill>
        </w:rPr>
        <w:t>根据《城市轨道交通结构安全保护技术规范》GB/T 51308、《城市轨道交通工程监测技术规范》GB 50911等标准内容，要求盾构隧道工程基于其复杂程度实施风险分级管理并形成专项报告，具体分级原则如下：需综合工程特点、地质水文条件、周边环境敏感性及潜在危害程度等因素，分别对工程自身风险如隧道结构安全性和环境风险如对邻近建构筑物的影响，进行独立分级，确保风险辨识的系统性；明确工程自身风险分级应以隧道空间关系，如并行/交叉隧道间距、叠落高度、地质适宜性如地层稳定性、地下水条件及关键工程部位如始发接收段、小半径曲线段等为基准，并依据地质水文详勘结果如软土、岩溶发育区及盾构机型适应性如土压平衡式/泥水平衡式进行动态修正；强调环境风险分级需统筹考虑保护对象重要性等级如特级保护建筑、重要管线与工程对其扰动程度如沉降控制标准、振动影响范围，通过量化分析确定风险等级。风险分级结果应指导监测方案制定、施工参数优化及应急预案编制，实现全周期精准防控。</w:t>
      </w:r>
    </w:p>
    <w:p w14:paraId="141688B0">
      <w:pPr>
        <w:numPr>
          <w:ilvl w:val="0"/>
          <w:numId w:val="0"/>
        </w:numPr>
        <w:spacing w:line="360" w:lineRule="auto"/>
        <w:ind w:firstLine="480" w:firstLineChars="200"/>
        <w:rPr>
          <w:rFonts w:hint="eastAsia" w:ascii="宋体" w:hAnsi="宋体" w:eastAsia="宋体" w:cs="宋体"/>
          <w:color w:val="000000" w:themeColor="text1"/>
          <w:sz w:val="24"/>
          <w:szCs w:val="32"/>
          <w:lang w:val="en-US" w:eastAsia="zh-CN"/>
          <w14:textFill>
            <w14:solidFill>
              <w14:schemeClr w14:val="tx1"/>
            </w14:solidFill>
          </w14:textFill>
        </w:rPr>
      </w:pPr>
      <w:r>
        <w:rPr>
          <w:rFonts w:hint="eastAsia" w:ascii="宋体" w:hAnsi="宋体" w:eastAsia="宋体" w:cs="宋体"/>
          <w:color w:val="000000" w:themeColor="text1"/>
          <w:sz w:val="24"/>
          <w:szCs w:val="32"/>
          <w:lang w:val="en-US" w:eastAsia="zh-CN"/>
          <w14:textFill>
            <w14:solidFill>
              <w14:schemeClr w14:val="tx1"/>
            </w14:solidFill>
          </w14:textFill>
        </w:rPr>
        <w:t>考量内容：（1）现场施工组织设计方案；（2）专项技术方案或专项措施；（3）工程地质与 水文条件报告；（4）现场安全状态评估报告；（5）专项监测方案；（6）管理信息平台及使用；（7）应急预案方案。</w:t>
      </w:r>
    </w:p>
    <w:p w14:paraId="7DA3D5A6">
      <w:pPr>
        <w:numPr>
          <w:ilvl w:val="0"/>
          <w:numId w:val="0"/>
        </w:numPr>
        <w:spacing w:line="360" w:lineRule="auto"/>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cs="宋体"/>
          <w:color w:val="000000" w:themeColor="text1"/>
          <w:sz w:val="24"/>
          <w:szCs w:val="32"/>
          <w:lang w:val="en-US" w:eastAsia="zh-CN"/>
          <w14:textFill>
            <w14:solidFill>
              <w14:schemeClr w14:val="tx1"/>
            </w14:solidFill>
          </w14:textFill>
        </w:rPr>
        <w:t>B.2</w:t>
      </w:r>
      <w:r>
        <w:rPr>
          <w:rFonts w:hint="eastAsia" w:ascii="宋体" w:hAnsi="宋体" w:eastAsia="宋体" w:cs="宋体"/>
          <w:color w:val="000000" w:themeColor="text1"/>
          <w:sz w:val="24"/>
          <w:szCs w:val="32"/>
          <w:lang w:val="en-US" w:eastAsia="zh-CN"/>
          <w14:textFill>
            <w14:solidFill>
              <w14:schemeClr w14:val="tx1"/>
            </w14:solidFill>
          </w14:textFill>
        </w:rPr>
        <w:t>.</w:t>
      </w:r>
      <w:r>
        <w:rPr>
          <w:rFonts w:hint="eastAsia" w:ascii="宋体" w:hAnsi="宋体" w:cs="宋体"/>
          <w:color w:val="000000" w:themeColor="text1"/>
          <w:sz w:val="24"/>
          <w:szCs w:val="32"/>
          <w:lang w:val="en-US" w:eastAsia="zh-CN"/>
          <w14:textFill>
            <w14:solidFill>
              <w14:schemeClr w14:val="tx1"/>
            </w14:solidFill>
          </w14:textFill>
        </w:rPr>
        <w:t>19</w:t>
      </w:r>
      <w:r>
        <w:rPr>
          <w:rFonts w:hint="eastAsia" w:ascii="宋体" w:hAnsi="宋体" w:eastAsia="宋体" w:cs="宋体"/>
          <w:color w:val="000000" w:themeColor="text1"/>
          <w:sz w:val="24"/>
          <w:szCs w:val="24"/>
          <w:lang w:val="en-US" w:eastAsia="zh-CN"/>
          <w14:textFill>
            <w14:solidFill>
              <w14:schemeClr w14:val="tx1"/>
            </w14:solidFill>
          </w14:textFill>
        </w:rPr>
        <w:t>本条款适用于城市轨道交通基础设施项目规划设计、施工建造阶段的评价。</w:t>
      </w:r>
    </w:p>
    <w:p w14:paraId="53C4B8EE">
      <w:pPr>
        <w:numPr>
          <w:ilvl w:val="0"/>
          <w:numId w:val="0"/>
        </w:numPr>
        <w:spacing w:line="360" w:lineRule="auto"/>
        <w:ind w:firstLine="480" w:firstLineChars="200"/>
        <w:rPr>
          <w:rFonts w:hint="eastAsia" w:ascii="宋体" w:hAnsi="宋体" w:eastAsia="宋体" w:cs="宋体"/>
          <w:color w:val="000000" w:themeColor="text1"/>
          <w:sz w:val="24"/>
          <w:szCs w:val="32"/>
          <w:lang w:val="en-US" w:eastAsia="zh-CN"/>
          <w14:textFill>
            <w14:solidFill>
              <w14:schemeClr w14:val="tx1"/>
            </w14:solidFill>
          </w14:textFill>
        </w:rPr>
      </w:pPr>
      <w:r>
        <w:rPr>
          <w:rFonts w:hint="eastAsia" w:ascii="宋体" w:hAnsi="宋体" w:eastAsia="宋体" w:cs="宋体"/>
          <w:color w:val="000000" w:themeColor="text1"/>
          <w:sz w:val="24"/>
          <w:szCs w:val="32"/>
          <w:lang w:val="en-US" w:eastAsia="zh-CN"/>
          <w14:textFill>
            <w14:solidFill>
              <w14:schemeClr w14:val="tx1"/>
            </w14:solidFill>
          </w14:textFill>
        </w:rPr>
        <w:t>盾构隧道工程需贯穿设计、施工及监测全流程实施风险管理。在规划设计阶段，要求以风险辨识与分级为前提开展风险工程设计，如邻近特级保护建筑时的隔离桩或注浆加固方案，涵盖环境风险专项设计，并编制包含监测控制措施在内的风险控制专项措施，如沉降限值、频率，必要时还需对专项设计方案进行安全评估，以确保设计的科学性和安全性；施工建造阶段，针对较高等级的环境风险如穿越既有地铁、重要管线，需进行施工前现状检测，如建构筑物裂缝普查，和施工中安全评估并形成报告，以便实时掌握风险状态；同时，要对环境风险工程专项设计、风险控制专项措施进行专项施工交底，对含风险图纸、控制标准及应急预案的书面签认，并在施工全过程落实监测控制措施，如自动化传感器布设、数据超限即时预警，实现风险闭环管理。</w:t>
      </w:r>
    </w:p>
    <w:p w14:paraId="10791B5D">
      <w:pPr>
        <w:numPr>
          <w:ilvl w:val="0"/>
          <w:numId w:val="0"/>
        </w:numPr>
        <w:spacing w:line="360" w:lineRule="auto"/>
        <w:ind w:firstLine="480" w:firstLineChars="200"/>
        <w:rPr>
          <w:rFonts w:hint="eastAsia" w:ascii="宋体" w:hAnsi="宋体" w:eastAsia="宋体" w:cs="宋体"/>
          <w:color w:val="000000" w:themeColor="text1"/>
          <w:sz w:val="24"/>
          <w:szCs w:val="32"/>
          <w:lang w:val="en-US" w:eastAsia="zh-CN"/>
          <w14:textFill>
            <w14:solidFill>
              <w14:schemeClr w14:val="tx1"/>
            </w14:solidFill>
          </w14:textFill>
        </w:rPr>
      </w:pPr>
      <w:r>
        <w:rPr>
          <w:rFonts w:hint="eastAsia" w:ascii="宋体" w:hAnsi="宋体" w:eastAsia="宋体" w:cs="宋体"/>
          <w:color w:val="000000" w:themeColor="text1"/>
          <w:sz w:val="24"/>
          <w:szCs w:val="32"/>
          <w:lang w:val="en-US" w:eastAsia="zh-CN"/>
          <w14:textFill>
            <w14:solidFill>
              <w14:schemeClr w14:val="tx1"/>
            </w14:solidFill>
          </w14:textFill>
        </w:rPr>
        <w:t>考量内容：（1）工程规划设计文件；（2）环境风险专项设计文件；（3）现场施工组织设计方案；（4）专项技术方案或专项措施；（5）现场安全检测报告；（6）现场安全状态评估报告；（7）现场专项工程交底记录；（8）现场安全生产管理记录；（9）专项监测方案；（10）管理信息平台及使用；（11）专家评审记录。</w:t>
      </w:r>
    </w:p>
    <w:p w14:paraId="3607D2D5">
      <w:pPr>
        <w:numPr>
          <w:ilvl w:val="0"/>
          <w:numId w:val="0"/>
        </w:numPr>
        <w:spacing w:line="360" w:lineRule="auto"/>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cs="宋体"/>
          <w:color w:val="000000" w:themeColor="text1"/>
          <w:sz w:val="24"/>
          <w:szCs w:val="32"/>
          <w:lang w:val="en-US" w:eastAsia="zh-CN"/>
          <w14:textFill>
            <w14:solidFill>
              <w14:schemeClr w14:val="tx1"/>
            </w14:solidFill>
          </w14:textFill>
        </w:rPr>
        <w:t>B.2</w:t>
      </w:r>
      <w:r>
        <w:rPr>
          <w:rFonts w:hint="eastAsia" w:ascii="宋体" w:hAnsi="宋体" w:eastAsia="宋体" w:cs="宋体"/>
          <w:color w:val="000000" w:themeColor="text1"/>
          <w:sz w:val="24"/>
          <w:szCs w:val="32"/>
          <w:lang w:val="en-US" w:eastAsia="zh-CN"/>
          <w14:textFill>
            <w14:solidFill>
              <w14:schemeClr w14:val="tx1"/>
            </w14:solidFill>
          </w14:textFill>
        </w:rPr>
        <w:t>.</w:t>
      </w:r>
      <w:r>
        <w:rPr>
          <w:rFonts w:hint="eastAsia" w:ascii="宋体" w:hAnsi="宋体" w:cs="宋体"/>
          <w:color w:val="000000" w:themeColor="text1"/>
          <w:sz w:val="24"/>
          <w:szCs w:val="32"/>
          <w:lang w:val="en-US" w:eastAsia="zh-CN"/>
          <w14:textFill>
            <w14:solidFill>
              <w14:schemeClr w14:val="tx1"/>
            </w14:solidFill>
          </w14:textFill>
        </w:rPr>
        <w:t>20</w:t>
      </w:r>
      <w:r>
        <w:rPr>
          <w:rFonts w:hint="eastAsia" w:ascii="宋体" w:hAnsi="宋体" w:eastAsia="宋体" w:cs="宋体"/>
          <w:color w:val="000000" w:themeColor="text1"/>
          <w:sz w:val="24"/>
          <w:szCs w:val="24"/>
          <w:lang w:val="en-US" w:eastAsia="zh-CN"/>
          <w14:textFill>
            <w14:solidFill>
              <w14:schemeClr w14:val="tx1"/>
            </w14:solidFill>
          </w14:textFill>
        </w:rPr>
        <w:t>本条款适用于城市轨道交通基础设施项目施工建造、运行阶段的评价。</w:t>
      </w:r>
    </w:p>
    <w:p w14:paraId="521B0164">
      <w:pPr>
        <w:numPr>
          <w:ilvl w:val="0"/>
          <w:numId w:val="0"/>
        </w:numPr>
        <w:spacing w:line="360" w:lineRule="auto"/>
        <w:ind w:firstLine="480" w:firstLineChars="200"/>
        <w:rPr>
          <w:rFonts w:hint="eastAsia" w:ascii="宋体" w:hAnsi="宋体" w:eastAsia="宋体" w:cs="宋体"/>
          <w:color w:val="000000" w:themeColor="text1"/>
          <w:sz w:val="24"/>
          <w:szCs w:val="32"/>
          <w:lang w:val="en-US" w:eastAsia="zh-CN"/>
          <w14:textFill>
            <w14:solidFill>
              <w14:schemeClr w14:val="tx1"/>
            </w14:solidFill>
          </w14:textFill>
        </w:rPr>
      </w:pPr>
      <w:r>
        <w:rPr>
          <w:rFonts w:hint="eastAsia" w:ascii="宋体" w:hAnsi="宋体" w:eastAsia="宋体" w:cs="宋体"/>
          <w:color w:val="000000" w:themeColor="text1"/>
          <w:sz w:val="24"/>
          <w:szCs w:val="32"/>
          <w:lang w:val="en-US" w:eastAsia="zh-CN"/>
          <w14:textFill>
            <w14:solidFill>
              <w14:schemeClr w14:val="tx1"/>
            </w14:solidFill>
          </w14:textFill>
        </w:rPr>
        <w:t>依据《城市轨道交通工程重大事故应急预案编制标准》GB/T 50484、《城市轨道交通结构安全保护技术规范》GB/T 51308及《建设项目环境风险评价技术导则》HJ 169等标准，结合生态保护，要求城市轨道交通基础设施项目应针对泥浆泄漏、地面塌陷、雨期施工及有害气体地段等突发环境事件制定应急措施，以确保快速响应并减少生态损害。应急措施的制定应遵循相关标准规范，涵盖事件类型、应急流程、资源调配及责任分工等内容，确保事故发生时能迅速采取有效行动，降低对周边环境的不利影响，保障工程建设与生态环境的协调可持续发展。</w:t>
      </w:r>
    </w:p>
    <w:p w14:paraId="0CAED3E9">
      <w:pPr>
        <w:numPr>
          <w:ilvl w:val="0"/>
          <w:numId w:val="0"/>
        </w:numPr>
        <w:spacing w:line="360" w:lineRule="auto"/>
        <w:ind w:firstLine="480" w:firstLineChars="200"/>
        <w:rPr>
          <w:rFonts w:hint="eastAsia" w:ascii="宋体" w:hAnsi="宋体" w:eastAsia="宋体" w:cs="宋体"/>
          <w:color w:val="000000" w:themeColor="text1"/>
          <w:sz w:val="24"/>
          <w:szCs w:val="32"/>
          <w:lang w:val="en-US" w:eastAsia="zh-CN"/>
          <w14:textFill>
            <w14:solidFill>
              <w14:schemeClr w14:val="tx1"/>
            </w14:solidFill>
          </w14:textFill>
        </w:rPr>
      </w:pPr>
      <w:r>
        <w:rPr>
          <w:rFonts w:hint="eastAsia" w:ascii="宋体" w:hAnsi="宋体" w:eastAsia="宋体" w:cs="宋体"/>
          <w:color w:val="000000" w:themeColor="text1"/>
          <w:sz w:val="24"/>
          <w:szCs w:val="32"/>
          <w:lang w:val="en-US" w:eastAsia="zh-CN"/>
          <w14:textFill>
            <w14:solidFill>
              <w14:schemeClr w14:val="tx1"/>
            </w14:solidFill>
          </w14:textFill>
        </w:rPr>
        <w:t>考量内容：（1）现场施工组织设计方案；（2）现场施工质量管理记录；（3）现场安全生产管理记录；（4）应急预案；（5）应急处置记录；（6）专项监测方案；（7）管理信息平台及使用。</w:t>
      </w:r>
    </w:p>
    <w:p w14:paraId="6C0F6862">
      <w:pPr>
        <w:numPr>
          <w:ilvl w:val="0"/>
          <w:numId w:val="0"/>
        </w:numPr>
        <w:spacing w:line="360" w:lineRule="auto"/>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cs="宋体"/>
          <w:color w:val="000000" w:themeColor="text1"/>
          <w:sz w:val="24"/>
          <w:szCs w:val="32"/>
          <w:lang w:val="en-US" w:eastAsia="zh-CN"/>
          <w14:textFill>
            <w14:solidFill>
              <w14:schemeClr w14:val="tx1"/>
            </w14:solidFill>
          </w14:textFill>
        </w:rPr>
        <w:t>B.2</w:t>
      </w:r>
      <w:r>
        <w:rPr>
          <w:rFonts w:hint="eastAsia" w:ascii="宋体" w:hAnsi="宋体" w:eastAsia="宋体" w:cs="宋体"/>
          <w:color w:val="000000" w:themeColor="text1"/>
          <w:sz w:val="24"/>
          <w:szCs w:val="32"/>
          <w:lang w:val="en-US" w:eastAsia="zh-CN"/>
          <w14:textFill>
            <w14:solidFill>
              <w14:schemeClr w14:val="tx1"/>
            </w14:solidFill>
          </w14:textFill>
        </w:rPr>
        <w:t>.</w:t>
      </w:r>
      <w:r>
        <w:rPr>
          <w:rFonts w:hint="eastAsia" w:ascii="宋体" w:hAnsi="宋体" w:cs="宋体"/>
          <w:color w:val="000000" w:themeColor="text1"/>
          <w:sz w:val="24"/>
          <w:szCs w:val="32"/>
          <w:lang w:val="en-US" w:eastAsia="zh-CN"/>
          <w14:textFill>
            <w14:solidFill>
              <w14:schemeClr w14:val="tx1"/>
            </w14:solidFill>
          </w14:textFill>
        </w:rPr>
        <w:t>21</w:t>
      </w:r>
      <w:r>
        <w:rPr>
          <w:rFonts w:hint="eastAsia" w:ascii="宋体" w:hAnsi="宋体" w:eastAsia="宋体" w:cs="宋体"/>
          <w:color w:val="000000" w:themeColor="text1"/>
          <w:sz w:val="24"/>
          <w:szCs w:val="24"/>
          <w:lang w:val="en-US" w:eastAsia="zh-CN"/>
          <w14:textFill>
            <w14:solidFill>
              <w14:schemeClr w14:val="tx1"/>
            </w14:solidFill>
          </w14:textFill>
        </w:rPr>
        <w:t>本条款适用于城市轨道交通基础设施项目施工建造阶段的评价。</w:t>
      </w:r>
    </w:p>
    <w:p w14:paraId="1AE70BF9">
      <w:pPr>
        <w:numPr>
          <w:ilvl w:val="0"/>
          <w:numId w:val="0"/>
        </w:numPr>
        <w:spacing w:line="360" w:lineRule="auto"/>
        <w:ind w:firstLine="480" w:firstLineChars="200"/>
        <w:rPr>
          <w:rFonts w:hint="eastAsia" w:ascii="宋体" w:hAnsi="宋体" w:eastAsia="宋体" w:cs="宋体"/>
          <w:color w:val="000000" w:themeColor="text1"/>
          <w:sz w:val="24"/>
          <w:szCs w:val="32"/>
          <w:lang w:val="en-US" w:eastAsia="zh-CN"/>
          <w14:textFill>
            <w14:solidFill>
              <w14:schemeClr w14:val="tx1"/>
            </w14:solidFill>
          </w14:textFill>
        </w:rPr>
      </w:pPr>
      <w:r>
        <w:rPr>
          <w:rFonts w:hint="eastAsia" w:ascii="宋体" w:hAnsi="宋体" w:eastAsia="宋体" w:cs="宋体"/>
          <w:color w:val="000000" w:themeColor="text1"/>
          <w:sz w:val="24"/>
          <w:szCs w:val="32"/>
          <w:lang w:val="en-US" w:eastAsia="zh-CN"/>
          <w14:textFill>
            <w14:solidFill>
              <w14:schemeClr w14:val="tx1"/>
            </w14:solidFill>
          </w14:textFill>
        </w:rPr>
        <w:t>依据《城市轨道交通工程建设风险管理规范》GB 50652、《城市轨道交通结构安全保护技术规范》GB/T 51308及《城市轨道交通工程监测技术规范》GB 50911等标准，结合应急管理要求，规定城市轨道交通工程施工前，应依据相关标准开展全面风险源辨识，包括地质条件、既有管线和铁路地段等，进行环境风险详细调查并评估施工影响，建立风险分级管控清单。同时需制定专项施工方案及全过程监测预警方案，以满足突发异常变形或抢险等应急需求，确保施工与环境安全。</w:t>
      </w:r>
    </w:p>
    <w:p w14:paraId="2C7BB25C">
      <w:pPr>
        <w:numPr>
          <w:ilvl w:val="0"/>
          <w:numId w:val="0"/>
        </w:numPr>
        <w:spacing w:line="360" w:lineRule="auto"/>
        <w:ind w:firstLine="480" w:firstLineChars="200"/>
        <w:rPr>
          <w:rFonts w:hint="eastAsia" w:ascii="宋体" w:hAnsi="宋体" w:eastAsia="宋体" w:cs="宋体"/>
          <w:color w:val="000000" w:themeColor="text1"/>
          <w:sz w:val="24"/>
          <w:szCs w:val="32"/>
          <w:lang w:val="en-US" w:eastAsia="zh-CN"/>
          <w14:textFill>
            <w14:solidFill>
              <w14:schemeClr w14:val="tx1"/>
            </w14:solidFill>
          </w14:textFill>
        </w:rPr>
      </w:pPr>
      <w:r>
        <w:rPr>
          <w:rFonts w:hint="eastAsia" w:ascii="宋体" w:hAnsi="宋体" w:eastAsia="宋体" w:cs="宋体"/>
          <w:color w:val="000000" w:themeColor="text1"/>
          <w:sz w:val="24"/>
          <w:szCs w:val="32"/>
          <w:lang w:val="en-US" w:eastAsia="zh-CN"/>
          <w14:textFill>
            <w14:solidFill>
              <w14:schemeClr w14:val="tx1"/>
            </w14:solidFill>
          </w14:textFill>
        </w:rPr>
        <w:t>考量内容：（1）现场施工组织设计方案；（2）专项技术方案或专项措施；（3）现场安全状态评估报告；（4）现场施工质量管理记录；（5）现场安全生产管理记录；（6）专项监测方案；（7）管理信息平台及使用等。</w:t>
      </w:r>
    </w:p>
    <w:p w14:paraId="4C0A32E0">
      <w:pPr>
        <w:numPr>
          <w:ilvl w:val="0"/>
          <w:numId w:val="0"/>
        </w:numPr>
        <w:spacing w:line="360" w:lineRule="auto"/>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cs="宋体"/>
          <w:color w:val="000000" w:themeColor="text1"/>
          <w:sz w:val="24"/>
          <w:szCs w:val="32"/>
          <w:lang w:val="en-US" w:eastAsia="zh-CN"/>
          <w14:textFill>
            <w14:solidFill>
              <w14:schemeClr w14:val="tx1"/>
            </w14:solidFill>
          </w14:textFill>
        </w:rPr>
        <w:t>B.2</w:t>
      </w:r>
      <w:r>
        <w:rPr>
          <w:rFonts w:hint="eastAsia" w:ascii="宋体" w:hAnsi="宋体" w:eastAsia="宋体" w:cs="宋体"/>
          <w:color w:val="000000" w:themeColor="text1"/>
          <w:sz w:val="24"/>
          <w:szCs w:val="32"/>
          <w:lang w:val="en-US" w:eastAsia="zh-CN"/>
          <w14:textFill>
            <w14:solidFill>
              <w14:schemeClr w14:val="tx1"/>
            </w14:solidFill>
          </w14:textFill>
        </w:rPr>
        <w:t>.</w:t>
      </w:r>
      <w:r>
        <w:rPr>
          <w:rFonts w:hint="eastAsia" w:ascii="宋体" w:hAnsi="宋体" w:cs="宋体"/>
          <w:color w:val="000000" w:themeColor="text1"/>
          <w:sz w:val="24"/>
          <w:szCs w:val="32"/>
          <w:lang w:val="en-US" w:eastAsia="zh-CN"/>
          <w14:textFill>
            <w14:solidFill>
              <w14:schemeClr w14:val="tx1"/>
            </w14:solidFill>
          </w14:textFill>
        </w:rPr>
        <w:t>22</w:t>
      </w:r>
      <w:r>
        <w:rPr>
          <w:rFonts w:hint="eastAsia" w:ascii="宋体" w:hAnsi="宋体" w:eastAsia="宋体" w:cs="宋体"/>
          <w:color w:val="000000" w:themeColor="text1"/>
          <w:sz w:val="24"/>
          <w:szCs w:val="24"/>
          <w:lang w:val="en-US" w:eastAsia="zh-CN"/>
          <w14:textFill>
            <w14:solidFill>
              <w14:schemeClr w14:val="tx1"/>
            </w14:solidFill>
          </w14:textFill>
        </w:rPr>
        <w:t>本条款适用于城市轨道交通基础设施项目施工建造阶段的评价。</w:t>
      </w:r>
    </w:p>
    <w:p w14:paraId="626F4054">
      <w:pPr>
        <w:numPr>
          <w:ilvl w:val="0"/>
          <w:numId w:val="0"/>
        </w:numPr>
        <w:spacing w:line="360" w:lineRule="auto"/>
        <w:rPr>
          <w:rFonts w:hint="eastAsia" w:ascii="宋体" w:hAnsi="宋体" w:eastAsia="宋体" w:cs="宋体"/>
          <w:color w:val="000000" w:themeColor="text1"/>
          <w:sz w:val="24"/>
          <w:szCs w:val="32"/>
          <w:lang w:val="en-US" w:eastAsia="zh-CN"/>
          <w14:textFill>
            <w14:solidFill>
              <w14:schemeClr w14:val="tx1"/>
            </w14:solidFill>
          </w14:textFill>
        </w:rPr>
      </w:pPr>
      <w:r>
        <w:rPr>
          <w:rFonts w:hint="eastAsia" w:ascii="宋体" w:hAnsi="宋体" w:eastAsia="宋体" w:cs="宋体"/>
          <w:color w:val="000000" w:themeColor="text1"/>
          <w:sz w:val="24"/>
          <w:szCs w:val="32"/>
          <w:lang w:val="en-US" w:eastAsia="zh-CN"/>
          <w14:textFill>
            <w14:solidFill>
              <w14:schemeClr w14:val="tx1"/>
            </w14:solidFill>
          </w14:textFill>
        </w:rPr>
        <w:t xml:space="preserve">    依据《城市轨道交通工程建设风险管理规范》GB 50652、《盾构法隧道施工及验收规范》GB 50446及《城市轨道交通结构安全保护技术规范》GB/T 51308等标准，规定在盾构机穿越风险区域前，宜通过设置穿越试验段来检验并调整、确定适宜的掘进参数，确保施工的稳定性与安全性。同时，要求针对塌方、涌水、设备故障及掘进异常等高风险场景制定专项应急预案，明确响应流程及救援资源配置，以满足应急抢险施工和管理的需要，符合城市轨道交通工程施工风险管理的相关标准规范。</w:t>
      </w:r>
    </w:p>
    <w:p w14:paraId="0B36215F">
      <w:pPr>
        <w:numPr>
          <w:ilvl w:val="0"/>
          <w:numId w:val="0"/>
        </w:numPr>
        <w:spacing w:line="360" w:lineRule="auto"/>
        <w:ind w:firstLine="480" w:firstLineChars="200"/>
        <w:rPr>
          <w:rFonts w:hint="eastAsia" w:ascii="宋体" w:hAnsi="宋体" w:eastAsia="宋体" w:cs="宋体"/>
          <w:color w:val="000000" w:themeColor="text1"/>
          <w:sz w:val="24"/>
          <w:szCs w:val="32"/>
          <w:lang w:val="en-US" w:eastAsia="zh-CN"/>
          <w14:textFill>
            <w14:solidFill>
              <w14:schemeClr w14:val="tx1"/>
            </w14:solidFill>
          </w14:textFill>
        </w:rPr>
      </w:pPr>
      <w:r>
        <w:rPr>
          <w:rFonts w:hint="eastAsia" w:ascii="宋体" w:hAnsi="宋体" w:eastAsia="宋体" w:cs="宋体"/>
          <w:color w:val="000000" w:themeColor="text1"/>
          <w:sz w:val="24"/>
          <w:szCs w:val="32"/>
          <w:lang w:val="en-US" w:eastAsia="zh-CN"/>
          <w14:textFill>
            <w14:solidFill>
              <w14:schemeClr w14:val="tx1"/>
            </w14:solidFill>
          </w14:textFill>
        </w:rPr>
        <w:t>考量内容：（1）现场施工组织设计方案；（2）专项技术方案或专项措施；（3）现场安全状态评估报告；（4）现场施工质量管理记录；（5）现场安全生产管理记录；（6）专项监测方案；（7）管理信息平台及使用；（8）专项应急预案；（9）应急响应流程等。</w:t>
      </w:r>
    </w:p>
    <w:p w14:paraId="4A10863E">
      <w:pPr>
        <w:numPr>
          <w:ilvl w:val="0"/>
          <w:numId w:val="0"/>
        </w:numPr>
        <w:spacing w:line="360" w:lineRule="auto"/>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cs="宋体"/>
          <w:color w:val="000000" w:themeColor="text1"/>
          <w:sz w:val="24"/>
          <w:szCs w:val="32"/>
          <w:lang w:val="en-US" w:eastAsia="zh-CN"/>
          <w14:textFill>
            <w14:solidFill>
              <w14:schemeClr w14:val="tx1"/>
            </w14:solidFill>
          </w14:textFill>
        </w:rPr>
        <w:t>B.2</w:t>
      </w:r>
      <w:r>
        <w:rPr>
          <w:rFonts w:hint="eastAsia" w:ascii="宋体" w:hAnsi="宋体" w:eastAsia="宋体" w:cs="宋体"/>
          <w:color w:val="000000" w:themeColor="text1"/>
          <w:sz w:val="24"/>
          <w:szCs w:val="32"/>
          <w:lang w:val="en-US" w:eastAsia="zh-CN"/>
          <w14:textFill>
            <w14:solidFill>
              <w14:schemeClr w14:val="tx1"/>
            </w14:solidFill>
          </w14:textFill>
        </w:rPr>
        <w:t>.</w:t>
      </w:r>
      <w:r>
        <w:rPr>
          <w:rFonts w:hint="eastAsia" w:ascii="宋体" w:hAnsi="宋体" w:cs="宋体"/>
          <w:color w:val="000000" w:themeColor="text1"/>
          <w:sz w:val="24"/>
          <w:szCs w:val="32"/>
          <w:lang w:val="en-US" w:eastAsia="zh-CN"/>
          <w14:textFill>
            <w14:solidFill>
              <w14:schemeClr w14:val="tx1"/>
            </w14:solidFill>
          </w14:textFill>
        </w:rPr>
        <w:t>23</w:t>
      </w:r>
      <w:r>
        <w:rPr>
          <w:rFonts w:hint="eastAsia" w:ascii="宋体" w:hAnsi="宋体" w:eastAsia="宋体" w:cs="宋体"/>
          <w:color w:val="000000" w:themeColor="text1"/>
          <w:sz w:val="24"/>
          <w:szCs w:val="24"/>
          <w:lang w:val="en-US" w:eastAsia="zh-CN"/>
          <w14:textFill>
            <w14:solidFill>
              <w14:schemeClr w14:val="tx1"/>
            </w14:solidFill>
          </w14:textFill>
        </w:rPr>
        <w:t>本条款适用于城市轨道交通基础设施项目施工建造、运行阶段的评价。</w:t>
      </w:r>
    </w:p>
    <w:p w14:paraId="12CDE2C9">
      <w:pPr>
        <w:numPr>
          <w:ilvl w:val="0"/>
          <w:numId w:val="0"/>
        </w:numPr>
        <w:spacing w:line="360" w:lineRule="auto"/>
        <w:ind w:firstLine="480" w:firstLineChars="200"/>
        <w:rPr>
          <w:rFonts w:hint="eastAsia" w:ascii="宋体" w:hAnsi="宋体" w:eastAsia="宋体" w:cs="宋体"/>
          <w:color w:val="000000" w:themeColor="text1"/>
          <w:sz w:val="24"/>
          <w:szCs w:val="32"/>
          <w:lang w:val="en-US" w:eastAsia="zh-CN"/>
          <w14:textFill>
            <w14:solidFill>
              <w14:schemeClr w14:val="tx1"/>
            </w14:solidFill>
          </w14:textFill>
        </w:rPr>
      </w:pPr>
      <w:r>
        <w:rPr>
          <w:rFonts w:hint="eastAsia" w:ascii="宋体" w:hAnsi="宋体" w:eastAsia="宋体" w:cs="宋体"/>
          <w:color w:val="000000" w:themeColor="text1"/>
          <w:sz w:val="24"/>
          <w:szCs w:val="32"/>
          <w:lang w:val="en-US" w:eastAsia="zh-CN"/>
          <w14:textFill>
            <w14:solidFill>
              <w14:schemeClr w14:val="tx1"/>
            </w14:solidFill>
          </w14:textFill>
        </w:rPr>
        <w:t>根据《盾构法隧道施工及验收规范》GB 50446、《城市轨道交通工程建设风险管理规范》GB 50652及《城市轨道交通工程监测技术规范》GB 50911等标准，涵盖试验段设置和应急管理内容，要求城市轨道交通基础设施项目定期组织应急演练，并依据项目风险等级明确演练频率与评估标准，其中高风险工点需每季度开展全要素演练，中风险工点每半年一次，且所有演练应涵盖夜间、雨雪等特殊工况场景；同时需对演练效果进行评估与记录，据此持续优化应急管理体系，以提升应急处置能力，符合相关标准对施工应急管理的要求。</w:t>
      </w:r>
    </w:p>
    <w:p w14:paraId="43089E30">
      <w:pPr>
        <w:numPr>
          <w:ilvl w:val="0"/>
          <w:numId w:val="0"/>
        </w:numPr>
        <w:spacing w:line="360" w:lineRule="auto"/>
        <w:ind w:firstLine="480" w:firstLineChars="200"/>
        <w:rPr>
          <w:rFonts w:hint="eastAsia" w:ascii="宋体" w:hAnsi="宋体" w:eastAsia="宋体" w:cs="宋体"/>
          <w:color w:val="000000" w:themeColor="text1"/>
          <w:sz w:val="24"/>
          <w:szCs w:val="32"/>
          <w:lang w:val="en-US" w:eastAsia="zh-CN"/>
          <w14:textFill>
            <w14:solidFill>
              <w14:schemeClr w14:val="tx1"/>
            </w14:solidFill>
          </w14:textFill>
        </w:rPr>
      </w:pPr>
      <w:r>
        <w:rPr>
          <w:rFonts w:hint="eastAsia" w:ascii="宋体" w:hAnsi="宋体" w:eastAsia="宋体" w:cs="宋体"/>
          <w:color w:val="000000" w:themeColor="text1"/>
          <w:sz w:val="24"/>
          <w:szCs w:val="32"/>
          <w:lang w:val="en-US" w:eastAsia="zh-CN"/>
          <w14:textFill>
            <w14:solidFill>
              <w14:schemeClr w14:val="tx1"/>
            </w14:solidFill>
          </w14:textFill>
        </w:rPr>
        <w:t>考量内容：（1）现场施工组织设计方案；（2）应急管理体系文件；（3）应急管理预案；（4）应急培训与演练记录；（5）现场安全状态评估报告；（6）现场安全生产管理记录等。</w:t>
      </w:r>
    </w:p>
    <w:p w14:paraId="0F70EACE">
      <w:pPr>
        <w:numPr>
          <w:ilvl w:val="0"/>
          <w:numId w:val="0"/>
        </w:numPr>
        <w:spacing w:line="360" w:lineRule="auto"/>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cs="宋体"/>
          <w:color w:val="000000" w:themeColor="text1"/>
          <w:sz w:val="24"/>
          <w:szCs w:val="32"/>
          <w:lang w:val="en-US" w:eastAsia="zh-CN"/>
          <w14:textFill>
            <w14:solidFill>
              <w14:schemeClr w14:val="tx1"/>
            </w14:solidFill>
          </w14:textFill>
        </w:rPr>
        <w:t>B.2</w:t>
      </w:r>
      <w:r>
        <w:rPr>
          <w:rFonts w:hint="eastAsia" w:ascii="宋体" w:hAnsi="宋体" w:eastAsia="宋体" w:cs="宋体"/>
          <w:color w:val="000000" w:themeColor="text1"/>
          <w:sz w:val="24"/>
          <w:szCs w:val="32"/>
          <w:lang w:val="en-US" w:eastAsia="zh-CN"/>
          <w14:textFill>
            <w14:solidFill>
              <w14:schemeClr w14:val="tx1"/>
            </w14:solidFill>
          </w14:textFill>
        </w:rPr>
        <w:t>.</w:t>
      </w:r>
      <w:r>
        <w:rPr>
          <w:rFonts w:hint="eastAsia" w:ascii="宋体" w:hAnsi="宋体" w:cs="宋体"/>
          <w:color w:val="000000" w:themeColor="text1"/>
          <w:sz w:val="24"/>
          <w:szCs w:val="32"/>
          <w:lang w:val="en-US" w:eastAsia="zh-CN"/>
          <w14:textFill>
            <w14:solidFill>
              <w14:schemeClr w14:val="tx1"/>
            </w14:solidFill>
          </w14:textFill>
        </w:rPr>
        <w:t>24</w:t>
      </w:r>
      <w:r>
        <w:rPr>
          <w:rFonts w:hint="eastAsia" w:ascii="宋体" w:hAnsi="宋体" w:eastAsia="宋体" w:cs="宋体"/>
          <w:color w:val="000000" w:themeColor="text1"/>
          <w:sz w:val="24"/>
          <w:szCs w:val="24"/>
          <w:lang w:val="en-US" w:eastAsia="zh-CN"/>
          <w14:textFill>
            <w14:solidFill>
              <w14:schemeClr w14:val="tx1"/>
            </w14:solidFill>
          </w14:textFill>
        </w:rPr>
        <w:t>本条款适用于城市轨道交通基础设施项目施工建造阶段的评价。</w:t>
      </w:r>
    </w:p>
    <w:p w14:paraId="6FD45547">
      <w:pPr>
        <w:numPr>
          <w:ilvl w:val="0"/>
          <w:numId w:val="0"/>
        </w:numPr>
        <w:spacing w:line="360" w:lineRule="auto"/>
        <w:ind w:firstLine="480" w:firstLineChars="200"/>
        <w:rPr>
          <w:rFonts w:hint="eastAsia" w:ascii="宋体" w:hAnsi="宋体" w:eastAsia="宋体" w:cs="宋体"/>
          <w:color w:val="000000" w:themeColor="text1"/>
          <w:sz w:val="24"/>
          <w:szCs w:val="32"/>
          <w:lang w:val="en-US" w:eastAsia="zh-CN"/>
          <w14:textFill>
            <w14:solidFill>
              <w14:schemeClr w14:val="tx1"/>
            </w14:solidFill>
          </w14:textFill>
        </w:rPr>
      </w:pPr>
      <w:r>
        <w:rPr>
          <w:rFonts w:hint="eastAsia" w:ascii="宋体" w:hAnsi="宋体" w:eastAsia="宋体" w:cs="宋体"/>
          <w:color w:val="000000" w:themeColor="text1"/>
          <w:sz w:val="24"/>
          <w:szCs w:val="32"/>
          <w:lang w:val="en-US" w:eastAsia="zh-CN"/>
          <w14:textFill>
            <w14:solidFill>
              <w14:schemeClr w14:val="tx1"/>
            </w14:solidFill>
          </w14:textFill>
        </w:rPr>
        <w:t>推动城市轨道交通基础设施项目绿色施工与数字化升级，要求采用如节能盾构设备、环保注浆材料等绿色施工技术，以及 BIM、智能监测系统等数字化手段，以降低能源消耗、减少环境污染、提升施工效率与质量管控水平，符合城市轨道交通工程绿色与智能建造的发展趋势，促进项目可持续发展，满足相关标准对绿色施工与智能化管理的要求。</w:t>
      </w:r>
    </w:p>
    <w:p w14:paraId="44BDD597">
      <w:pPr>
        <w:numPr>
          <w:ilvl w:val="0"/>
          <w:numId w:val="0"/>
        </w:numPr>
        <w:spacing w:line="360" w:lineRule="auto"/>
        <w:ind w:firstLine="480" w:firstLineChars="200"/>
        <w:rPr>
          <w:rFonts w:hint="eastAsia" w:ascii="宋体" w:hAnsi="宋体" w:eastAsia="宋体" w:cs="宋体"/>
          <w:color w:val="000000" w:themeColor="text1"/>
          <w:sz w:val="24"/>
          <w:szCs w:val="32"/>
          <w:lang w:val="en-US" w:eastAsia="zh-CN"/>
          <w14:textFill>
            <w14:solidFill>
              <w14:schemeClr w14:val="tx1"/>
            </w14:solidFill>
          </w14:textFill>
        </w:rPr>
      </w:pPr>
      <w:r>
        <w:rPr>
          <w:rFonts w:hint="eastAsia" w:ascii="宋体" w:hAnsi="宋体" w:eastAsia="宋体" w:cs="宋体"/>
          <w:color w:val="000000" w:themeColor="text1"/>
          <w:sz w:val="24"/>
          <w:szCs w:val="32"/>
          <w:lang w:val="en-US" w:eastAsia="zh-CN"/>
          <w14:textFill>
            <w14:solidFill>
              <w14:schemeClr w14:val="tx1"/>
            </w14:solidFill>
          </w14:textFill>
        </w:rPr>
        <w:t>考量内容：（1）现场施工组织设计方案；（2）绿色建材、技术、产品采购记录；（3）绿色施工方案；（4）现场施工质量管理记录；（5）现场安全生产管理记录；（6）专项监测方案；（7）管理信息平台及使用；（8）绿色建材、技术、产品使用记录及总结报告等。</w:t>
      </w:r>
    </w:p>
    <w:p w14:paraId="296609BF">
      <w:pPr>
        <w:numPr>
          <w:ilvl w:val="0"/>
          <w:numId w:val="0"/>
        </w:numPr>
        <w:spacing w:line="360" w:lineRule="auto"/>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cs="宋体"/>
          <w:color w:val="000000" w:themeColor="text1"/>
          <w:sz w:val="24"/>
          <w:szCs w:val="32"/>
          <w:lang w:val="en-US" w:eastAsia="zh-CN"/>
          <w14:textFill>
            <w14:solidFill>
              <w14:schemeClr w14:val="tx1"/>
            </w14:solidFill>
          </w14:textFill>
        </w:rPr>
        <w:t>B.2</w:t>
      </w:r>
      <w:r>
        <w:rPr>
          <w:rFonts w:hint="eastAsia" w:ascii="宋体" w:hAnsi="宋体" w:eastAsia="宋体" w:cs="宋体"/>
          <w:color w:val="000000" w:themeColor="text1"/>
          <w:sz w:val="24"/>
          <w:szCs w:val="32"/>
          <w:lang w:val="en-US" w:eastAsia="zh-CN"/>
          <w14:textFill>
            <w14:solidFill>
              <w14:schemeClr w14:val="tx1"/>
            </w14:solidFill>
          </w14:textFill>
        </w:rPr>
        <w:t>.</w:t>
      </w:r>
      <w:r>
        <w:rPr>
          <w:rFonts w:hint="eastAsia" w:ascii="宋体" w:hAnsi="宋体" w:cs="宋体"/>
          <w:color w:val="000000" w:themeColor="text1"/>
          <w:sz w:val="24"/>
          <w:szCs w:val="32"/>
          <w:lang w:val="en-US" w:eastAsia="zh-CN"/>
          <w14:textFill>
            <w14:solidFill>
              <w14:schemeClr w14:val="tx1"/>
            </w14:solidFill>
          </w14:textFill>
        </w:rPr>
        <w:t>25</w:t>
      </w:r>
      <w:r>
        <w:rPr>
          <w:rFonts w:hint="eastAsia" w:ascii="宋体" w:hAnsi="宋体" w:eastAsia="宋体" w:cs="宋体"/>
          <w:color w:val="000000" w:themeColor="text1"/>
          <w:sz w:val="24"/>
          <w:szCs w:val="24"/>
          <w:lang w:val="en-US" w:eastAsia="zh-CN"/>
          <w14:textFill>
            <w14:solidFill>
              <w14:schemeClr w14:val="tx1"/>
            </w14:solidFill>
          </w14:textFill>
        </w:rPr>
        <w:t>本条款适用于城市轨道交通基础设施项目施工建造阶段的评价。</w:t>
      </w:r>
    </w:p>
    <w:p w14:paraId="29EA586A">
      <w:pPr>
        <w:numPr>
          <w:ilvl w:val="0"/>
          <w:numId w:val="0"/>
        </w:numPr>
        <w:spacing w:line="360" w:lineRule="auto"/>
        <w:ind w:firstLine="480" w:firstLineChars="200"/>
        <w:rPr>
          <w:rFonts w:hint="eastAsia" w:ascii="宋体" w:hAnsi="宋体" w:eastAsia="宋体" w:cs="宋体"/>
          <w:color w:val="000000" w:themeColor="text1"/>
          <w:sz w:val="24"/>
          <w:szCs w:val="32"/>
          <w:lang w:val="en-US" w:eastAsia="zh-CN"/>
          <w14:textFill>
            <w14:solidFill>
              <w14:schemeClr w14:val="tx1"/>
            </w14:solidFill>
          </w14:textFill>
        </w:rPr>
      </w:pPr>
      <w:r>
        <w:rPr>
          <w:rFonts w:hint="eastAsia" w:ascii="宋体" w:hAnsi="宋体" w:eastAsia="宋体" w:cs="宋体"/>
          <w:color w:val="000000" w:themeColor="text1"/>
          <w:sz w:val="24"/>
          <w:szCs w:val="32"/>
          <w:lang w:val="en-US" w:eastAsia="zh-CN"/>
          <w14:textFill>
            <w14:solidFill>
              <w14:schemeClr w14:val="tx1"/>
            </w14:solidFill>
          </w14:textFill>
        </w:rPr>
        <w:t>依据《盾构法隧道施工及验收规范》GB 50446、《城市轨道交通工程监测技术规范》GB 50911及《建设工程文件归档规范》GB/T 50328等标准，要求城市轨道交通工程项目在施工过程中，按照相关标准完整记录掘进速度、注浆压力等施工参数和地表沉降、隧道变形等监测数据，并进行存档，以便日后核查。同时，建立质量与安全问题的可追溯机制，确保施工过程的透明度和责任落实，能够及时、准确地追溯问题根源，采取有效措施进行整改，保障工程质量与施工安全。</w:t>
      </w:r>
    </w:p>
    <w:p w14:paraId="52318C27">
      <w:pPr>
        <w:numPr>
          <w:ilvl w:val="0"/>
          <w:numId w:val="0"/>
        </w:numPr>
        <w:spacing w:line="360" w:lineRule="auto"/>
        <w:ind w:firstLine="480" w:firstLineChars="200"/>
        <w:rPr>
          <w:rFonts w:hint="eastAsia" w:ascii="宋体" w:hAnsi="宋体" w:eastAsia="宋体" w:cs="宋体"/>
          <w:color w:val="000000" w:themeColor="text1"/>
          <w:lang w:val="en-US" w:eastAsia="zh-CN"/>
          <w14:textFill>
            <w14:solidFill>
              <w14:schemeClr w14:val="tx1"/>
            </w14:solidFill>
          </w14:textFill>
        </w:rPr>
      </w:pPr>
      <w:r>
        <w:rPr>
          <w:rFonts w:hint="eastAsia" w:ascii="宋体" w:hAnsi="宋体" w:eastAsia="宋体" w:cs="宋体"/>
          <w:color w:val="000000" w:themeColor="text1"/>
          <w:sz w:val="24"/>
          <w:szCs w:val="32"/>
          <w:lang w:val="en-US" w:eastAsia="zh-CN"/>
          <w14:textFill>
            <w14:solidFill>
              <w14:schemeClr w14:val="tx1"/>
            </w14:solidFill>
          </w14:textFill>
        </w:rPr>
        <w:t>考量内容：（1）现场施工组织设计方案；（2）施工过程记录、档案管理目录及文档；（3）施工管理制度文件；（4）现场施工质量管理记录；（5）现场安全生产管理记录；（6）专项监测方案；（7）管理信息平台及使用记录等。</w:t>
      </w:r>
      <w:r>
        <w:rPr>
          <w:rFonts w:hint="eastAsia" w:ascii="宋体" w:hAnsi="宋体" w:eastAsia="宋体" w:cs="宋体"/>
          <w:color w:val="000000" w:themeColor="text1"/>
          <w:lang w:val="en-US" w:eastAsia="zh-CN"/>
          <w14:textFill>
            <w14:solidFill>
              <w14:schemeClr w14:val="tx1"/>
            </w14:solidFill>
          </w14:textFill>
        </w:rPr>
        <w:br w:type="page"/>
      </w:r>
    </w:p>
    <w:bookmarkEnd w:id="842"/>
    <w:bookmarkEnd w:id="843"/>
    <w:bookmarkEnd w:id="844"/>
    <w:p w14:paraId="1F064934">
      <w:pPr>
        <w:snapToGrid/>
        <w:spacing w:line="360" w:lineRule="auto"/>
        <w:jc w:val="center"/>
        <w:outlineLvl w:val="1"/>
        <w:rPr>
          <w:rFonts w:hint="eastAsia" w:ascii="黑体" w:hAnsi="黑体" w:eastAsia="黑体" w:cs="黑体"/>
          <w:b/>
          <w:bCs/>
          <w:color w:val="auto"/>
          <w:sz w:val="28"/>
          <w:szCs w:val="28"/>
        </w:rPr>
      </w:pPr>
      <w:bookmarkStart w:id="845" w:name="_Toc5527"/>
      <w:bookmarkStart w:id="846" w:name="_Toc24856"/>
      <w:bookmarkStart w:id="847" w:name="_Toc24475"/>
      <w:bookmarkStart w:id="848" w:name="_Toc7495"/>
      <w:bookmarkStart w:id="849" w:name="_Toc17272"/>
      <w:bookmarkStart w:id="850" w:name="_Toc19487"/>
      <w:bookmarkStart w:id="851" w:name="_Toc3002"/>
      <w:bookmarkStart w:id="852" w:name="_Toc11206"/>
      <w:r>
        <w:rPr>
          <w:rFonts w:hint="eastAsia" w:ascii="黑体" w:hAnsi="黑体" w:eastAsia="黑体" w:cs="黑体"/>
          <w:b/>
          <w:bCs/>
          <w:color w:val="auto"/>
          <w:sz w:val="28"/>
          <w:szCs w:val="28"/>
          <w:lang w:eastAsia="zh-CN"/>
        </w:rPr>
        <w:t>B</w:t>
      </w:r>
      <w:r>
        <w:rPr>
          <w:rFonts w:hint="eastAsia" w:ascii="黑体" w:hAnsi="黑体" w:eastAsia="黑体" w:cs="黑体"/>
          <w:b/>
          <w:bCs/>
          <w:color w:val="auto"/>
          <w:sz w:val="28"/>
          <w:szCs w:val="28"/>
          <w:lang w:val="en-US" w:eastAsia="zh-CN"/>
        </w:rPr>
        <w:t>.</w:t>
      </w:r>
      <w:r>
        <w:rPr>
          <w:rFonts w:hint="eastAsia" w:ascii="黑体" w:hAnsi="黑体" w:eastAsia="黑体" w:cs="黑体"/>
          <w:b/>
          <w:bCs/>
          <w:color w:val="auto"/>
          <w:sz w:val="28"/>
          <w:szCs w:val="28"/>
        </w:rPr>
        <w:t>3 城市公共管理与公共服务设施项目</w:t>
      </w:r>
      <w:bookmarkEnd w:id="845"/>
      <w:bookmarkEnd w:id="846"/>
      <w:r>
        <w:rPr>
          <w:rFonts w:hint="eastAsia" w:ascii="黑体" w:hAnsi="黑体" w:eastAsia="黑体" w:cs="黑体"/>
          <w:b/>
          <w:bCs/>
          <w:color w:val="auto"/>
          <w:sz w:val="28"/>
          <w:szCs w:val="28"/>
        </w:rPr>
        <w:t>专项内容评价指标</w:t>
      </w:r>
      <w:bookmarkEnd w:id="847"/>
      <w:bookmarkEnd w:id="848"/>
      <w:bookmarkEnd w:id="849"/>
      <w:bookmarkEnd w:id="850"/>
      <w:bookmarkEnd w:id="851"/>
      <w:bookmarkEnd w:id="852"/>
    </w:p>
    <w:p w14:paraId="7DA0B8D0">
      <w:pPr>
        <w:snapToGrid w:val="0"/>
        <w:spacing w:line="360" w:lineRule="auto"/>
        <w:jc w:val="left"/>
        <w:rPr>
          <w:rFonts w:ascii="宋体" w:hAnsi="宋体" w:eastAsia="宋体" w:cs="宋体"/>
          <w:color w:val="000000" w:themeColor="text1"/>
          <w:kern w:val="0"/>
          <w:sz w:val="24"/>
          <w:lang w:bidi="ar"/>
          <w14:textFill>
            <w14:solidFill>
              <w14:schemeClr w14:val="tx1"/>
            </w14:solidFill>
          </w14:textFill>
        </w:rPr>
      </w:pPr>
      <w:r>
        <w:rPr>
          <w:rFonts w:hint="eastAsia" w:ascii="宋体" w:hAnsi="宋体" w:cs="宋体"/>
          <w:color w:val="000000" w:themeColor="text1"/>
          <w:sz w:val="24"/>
          <w:lang w:eastAsia="zh-CN"/>
          <w14:textFill>
            <w14:solidFill>
              <w14:schemeClr w14:val="tx1"/>
            </w14:solidFill>
          </w14:textFill>
        </w:rPr>
        <w:t>B.3</w:t>
      </w:r>
      <w:r>
        <w:rPr>
          <w:rFonts w:hint="eastAsia" w:ascii="宋体" w:hAnsi="宋体" w:eastAsia="宋体" w:cs="宋体"/>
          <w:color w:val="000000" w:themeColor="text1"/>
          <w:sz w:val="24"/>
          <w14:textFill>
            <w14:solidFill>
              <w14:schemeClr w14:val="tx1"/>
            </w14:solidFill>
          </w14:textFill>
        </w:rPr>
        <w:t>.1</w:t>
      </w:r>
      <w:r>
        <w:rPr>
          <w:rFonts w:hint="eastAsia" w:ascii="宋体" w:hAnsi="宋体" w:eastAsia="宋体" w:cs="宋体"/>
          <w:color w:val="000000" w:themeColor="text1"/>
          <w:kern w:val="0"/>
          <w:sz w:val="24"/>
          <w:lang w:bidi="ar"/>
          <w14:textFill>
            <w14:solidFill>
              <w14:schemeClr w14:val="tx1"/>
            </w14:solidFill>
          </w14:textFill>
        </w:rPr>
        <w:t>本</w:t>
      </w:r>
      <w:r>
        <w:rPr>
          <w:rFonts w:hint="eastAsia" w:ascii="宋体" w:hAnsi="宋体" w:eastAsia="宋体" w:cs="宋体"/>
          <w:color w:val="000000" w:themeColor="text1"/>
          <w:kern w:val="0"/>
          <w:sz w:val="24"/>
          <w:lang w:eastAsia="zh-CN" w:bidi="ar"/>
          <w14:textFill>
            <w14:solidFill>
              <w14:schemeClr w14:val="tx1"/>
            </w14:solidFill>
          </w14:textFill>
        </w:rPr>
        <w:t>条款适</w:t>
      </w:r>
      <w:r>
        <w:rPr>
          <w:rFonts w:hint="eastAsia" w:ascii="宋体" w:hAnsi="宋体" w:eastAsia="宋体" w:cs="宋体"/>
          <w:color w:val="000000" w:themeColor="text1"/>
          <w:kern w:val="0"/>
          <w:sz w:val="24"/>
          <w:lang w:bidi="ar"/>
          <w14:textFill>
            <w14:solidFill>
              <w14:schemeClr w14:val="tx1"/>
            </w14:solidFill>
          </w14:textFill>
        </w:rPr>
        <w:t>用于城市公共管理与公共服务设施项目运行阶段</w:t>
      </w:r>
      <w:r>
        <w:rPr>
          <w:rFonts w:hint="eastAsia" w:ascii="宋体" w:hAnsi="宋体" w:eastAsia="宋体" w:cs="宋体"/>
          <w:color w:val="000000" w:themeColor="text1"/>
          <w:kern w:val="0"/>
          <w:sz w:val="24"/>
          <w:lang w:val="en-US" w:eastAsia="zh-CN" w:bidi="ar"/>
          <w14:textFill>
            <w14:solidFill>
              <w14:schemeClr w14:val="tx1"/>
            </w14:solidFill>
          </w14:textFill>
        </w:rPr>
        <w:t>的</w:t>
      </w:r>
      <w:r>
        <w:rPr>
          <w:rFonts w:hint="eastAsia" w:ascii="宋体" w:hAnsi="宋体" w:eastAsia="宋体" w:cs="宋体"/>
          <w:color w:val="000000" w:themeColor="text1"/>
          <w:kern w:val="0"/>
          <w:sz w:val="24"/>
          <w:lang w:bidi="ar"/>
          <w14:textFill>
            <w14:solidFill>
              <w14:schemeClr w14:val="tx1"/>
            </w14:solidFill>
          </w14:textFill>
        </w:rPr>
        <w:t>评价。</w:t>
      </w:r>
    </w:p>
    <w:p w14:paraId="0E9B1ED6">
      <w:pPr>
        <w:widowControl/>
        <w:snapToGrid w:val="0"/>
        <w:spacing w:line="360" w:lineRule="auto"/>
        <w:ind w:firstLine="480" w:firstLineChars="200"/>
        <w:jc w:val="left"/>
        <w:rPr>
          <w:rFonts w:hint="default" w:ascii="宋体" w:hAnsi="宋体" w:eastAsia="宋体" w:cs="宋体"/>
          <w:color w:val="000000" w:themeColor="text1"/>
          <w:kern w:val="0"/>
          <w:sz w:val="24"/>
          <w:lang w:val="en-US" w:eastAsia="zh-CN" w:bidi="ar"/>
          <w14:textFill>
            <w14:solidFill>
              <w14:schemeClr w14:val="tx1"/>
            </w14:solidFill>
          </w14:textFill>
        </w:rPr>
      </w:pPr>
      <w:r>
        <w:rPr>
          <w:rFonts w:hint="eastAsia" w:ascii="宋体" w:hAnsi="宋体" w:eastAsia="宋体" w:cs="宋体"/>
          <w:color w:val="000000" w:themeColor="text1"/>
          <w:kern w:val="0"/>
          <w:sz w:val="24"/>
          <w:lang w:bidi="ar"/>
          <w14:textFill>
            <w14:solidFill>
              <w14:schemeClr w14:val="tx1"/>
            </w14:solidFill>
          </w14:textFill>
        </w:rPr>
        <w:t>本标准所指城市公共管理与公共服务设施是指用于保证国家或地区社会经济活动正常进行的工程设施，包括：行政办公、教育、科技、医疗卫生、体育、文化等社会性公共房屋与基础设施。</w:t>
      </w:r>
      <w:r>
        <w:rPr>
          <w:rFonts w:hint="eastAsia" w:ascii="宋体" w:hAnsi="宋体" w:cs="宋体"/>
          <w:color w:val="000000" w:themeColor="text1"/>
          <w:kern w:val="0"/>
          <w:sz w:val="24"/>
          <w:lang w:eastAsia="zh-CN" w:bidi="ar"/>
          <w14:textFill>
            <w14:solidFill>
              <w14:schemeClr w14:val="tx1"/>
            </w14:solidFill>
          </w14:textFill>
        </w:rPr>
        <w:t>（</w:t>
      </w:r>
      <w:r>
        <w:rPr>
          <w:rFonts w:hint="eastAsia" w:ascii="宋体" w:hAnsi="宋体" w:cs="宋体"/>
          <w:color w:val="000000" w:themeColor="text1"/>
          <w:kern w:val="0"/>
          <w:sz w:val="24"/>
          <w:lang w:val="en-US" w:eastAsia="zh-CN" w:bidi="ar"/>
          <w14:textFill>
            <w14:solidFill>
              <w14:schemeClr w14:val="tx1"/>
            </w14:solidFill>
          </w14:textFill>
        </w:rPr>
        <w:t>下同）</w:t>
      </w:r>
    </w:p>
    <w:p w14:paraId="6E5629D4">
      <w:pPr>
        <w:widowControl/>
        <w:snapToGrid w:val="0"/>
        <w:spacing w:line="360" w:lineRule="auto"/>
        <w:ind w:firstLine="480" w:firstLineChars="200"/>
        <w:jc w:val="left"/>
        <w:rPr>
          <w:rFonts w:ascii="宋体" w:hAnsi="宋体" w:eastAsia="宋体" w:cs="宋体"/>
          <w:color w:val="000000" w:themeColor="text1"/>
          <w:kern w:val="0"/>
          <w:sz w:val="24"/>
          <w:lang w:bidi="ar"/>
          <w14:textFill>
            <w14:solidFill>
              <w14:schemeClr w14:val="tx1"/>
            </w14:solidFill>
          </w14:textFill>
        </w:rPr>
      </w:pPr>
      <w:r>
        <w:rPr>
          <w:rFonts w:hint="eastAsia" w:ascii="宋体" w:hAnsi="宋体" w:eastAsia="宋体" w:cs="宋体"/>
          <w:color w:val="000000" w:themeColor="text1"/>
          <w:kern w:val="0"/>
          <w:sz w:val="24"/>
          <w:lang w:bidi="ar"/>
          <w14:textFill>
            <w14:solidFill>
              <w14:schemeClr w14:val="tx1"/>
            </w14:solidFill>
          </w14:textFill>
        </w:rPr>
        <w:t>室内空气污染物浓度对人类的健康具有重大影响，本条主要对公共管理与服务设施交付后室内主要空气污染物浓度作出了规定。</w:t>
      </w:r>
    </w:p>
    <w:p w14:paraId="0F3AD419">
      <w:pPr>
        <w:widowControl/>
        <w:snapToGrid w:val="0"/>
        <w:spacing w:line="360" w:lineRule="auto"/>
        <w:ind w:firstLine="480" w:firstLineChars="200"/>
        <w:jc w:val="left"/>
        <w:rPr>
          <w:rFonts w:ascii="宋体" w:hAnsi="宋体" w:eastAsia="宋体" w:cs="宋体"/>
          <w:color w:val="000000" w:themeColor="text1"/>
          <w:kern w:val="0"/>
          <w:sz w:val="24"/>
          <w:lang w:bidi="ar"/>
          <w14:textFill>
            <w14:solidFill>
              <w14:schemeClr w14:val="tx1"/>
            </w14:solidFill>
          </w14:textFill>
        </w:rPr>
      </w:pPr>
      <w:r>
        <w:rPr>
          <w:rFonts w:hint="eastAsia" w:ascii="宋体" w:hAnsi="宋体" w:eastAsia="宋体" w:cs="宋体"/>
          <w:color w:val="000000" w:themeColor="text1"/>
          <w:kern w:val="0"/>
          <w:sz w:val="24"/>
          <w:lang w:bidi="ar"/>
          <w14:textFill>
            <w14:solidFill>
              <w14:schemeClr w14:val="tx1"/>
            </w14:solidFill>
          </w14:textFill>
        </w:rPr>
        <w:t>考量内容：</w:t>
      </w:r>
      <w:r>
        <w:rPr>
          <w:rFonts w:hint="eastAsia" w:ascii="宋体" w:hAnsi="宋体" w:eastAsia="宋体" w:cs="宋体"/>
          <w:color w:val="000000" w:themeColor="text1"/>
          <w:kern w:val="0"/>
          <w:sz w:val="24"/>
          <w:lang w:eastAsia="zh-CN" w:bidi="ar"/>
          <w14:textFill>
            <w14:solidFill>
              <w14:schemeClr w14:val="tx1"/>
            </w14:solidFill>
          </w14:textFill>
        </w:rPr>
        <w:t>（</w:t>
      </w:r>
      <w:r>
        <w:rPr>
          <w:rFonts w:hint="eastAsia" w:ascii="宋体" w:hAnsi="宋体" w:eastAsia="宋体" w:cs="宋体"/>
          <w:color w:val="000000" w:themeColor="text1"/>
          <w:kern w:val="0"/>
          <w:sz w:val="24"/>
          <w:lang w:val="en-US" w:eastAsia="zh-CN" w:bidi="ar"/>
          <w14:textFill>
            <w14:solidFill>
              <w14:schemeClr w14:val="tx1"/>
            </w14:solidFill>
          </w14:textFill>
        </w:rPr>
        <w:t>1</w:t>
      </w:r>
      <w:r>
        <w:rPr>
          <w:rFonts w:hint="eastAsia" w:ascii="宋体" w:hAnsi="宋体" w:eastAsia="宋体" w:cs="宋体"/>
          <w:color w:val="000000" w:themeColor="text1"/>
          <w:kern w:val="0"/>
          <w:sz w:val="24"/>
          <w:lang w:eastAsia="zh-CN" w:bidi="ar"/>
          <w14:textFill>
            <w14:solidFill>
              <w14:schemeClr w14:val="tx1"/>
            </w14:solidFill>
          </w14:textFill>
        </w:rPr>
        <w:t>）</w:t>
      </w:r>
      <w:r>
        <w:rPr>
          <w:rFonts w:hint="eastAsia" w:ascii="宋体" w:hAnsi="宋体" w:eastAsia="宋体" w:cs="宋体"/>
          <w:color w:val="000000" w:themeColor="text1"/>
          <w:kern w:val="0"/>
          <w:sz w:val="24"/>
          <w:lang w:bidi="ar"/>
          <w14:textFill>
            <w14:solidFill>
              <w14:schemeClr w14:val="tx1"/>
            </w14:solidFill>
          </w14:textFill>
        </w:rPr>
        <w:t>主要空气污染物的浓度</w:t>
      </w:r>
      <w:r>
        <w:rPr>
          <w:rFonts w:hint="eastAsia" w:ascii="宋体" w:hAnsi="宋体" w:eastAsia="宋体" w:cs="宋体"/>
          <w:color w:val="000000" w:themeColor="text1"/>
          <w:kern w:val="0"/>
          <w:sz w:val="24"/>
          <w:lang w:eastAsia="zh-CN" w:bidi="ar"/>
          <w14:textFill>
            <w14:solidFill>
              <w14:schemeClr w14:val="tx1"/>
            </w14:solidFill>
          </w14:textFill>
        </w:rPr>
        <w:t>；（</w:t>
      </w:r>
      <w:r>
        <w:rPr>
          <w:rFonts w:hint="eastAsia" w:ascii="宋体" w:hAnsi="宋体" w:eastAsia="宋体" w:cs="宋体"/>
          <w:color w:val="000000" w:themeColor="text1"/>
          <w:kern w:val="0"/>
          <w:sz w:val="24"/>
          <w:lang w:val="en-US" w:eastAsia="zh-CN" w:bidi="ar"/>
          <w14:textFill>
            <w14:solidFill>
              <w14:schemeClr w14:val="tx1"/>
            </w14:solidFill>
          </w14:textFill>
        </w:rPr>
        <w:t>2</w:t>
      </w:r>
      <w:r>
        <w:rPr>
          <w:rFonts w:hint="eastAsia" w:ascii="宋体" w:hAnsi="宋体" w:eastAsia="宋体" w:cs="宋体"/>
          <w:color w:val="000000" w:themeColor="text1"/>
          <w:kern w:val="0"/>
          <w:sz w:val="24"/>
          <w:lang w:eastAsia="zh-CN" w:bidi="ar"/>
          <w14:textFill>
            <w14:solidFill>
              <w14:schemeClr w14:val="tx1"/>
            </w14:solidFill>
          </w14:textFill>
        </w:rPr>
        <w:t>）</w:t>
      </w:r>
      <w:r>
        <w:rPr>
          <w:rFonts w:hint="eastAsia" w:ascii="宋体" w:hAnsi="宋体" w:eastAsia="宋体" w:cs="宋体"/>
          <w:color w:val="000000" w:themeColor="text1"/>
          <w:kern w:val="0"/>
          <w:sz w:val="24"/>
          <w:lang w:bidi="ar"/>
          <w14:textFill>
            <w14:solidFill>
              <w14:schemeClr w14:val="tx1"/>
            </w14:solidFill>
          </w14:textFill>
        </w:rPr>
        <w:t>室内污染物检测报告。</w:t>
      </w:r>
    </w:p>
    <w:p w14:paraId="7889A2A0">
      <w:pPr>
        <w:snapToGrid w:val="0"/>
        <w:spacing w:line="360" w:lineRule="auto"/>
        <w:jc w:val="left"/>
        <w:rPr>
          <w:rFonts w:hint="eastAsia" w:ascii="宋体" w:hAnsi="宋体" w:eastAsia="宋体" w:cs="宋体"/>
          <w:color w:val="000000" w:themeColor="text1"/>
          <w:sz w:val="24"/>
          <w:lang w:eastAsia="zh-CN"/>
          <w14:textFill>
            <w14:solidFill>
              <w14:schemeClr w14:val="tx1"/>
            </w14:solidFill>
          </w14:textFill>
        </w:rPr>
      </w:pPr>
      <w:r>
        <w:rPr>
          <w:rFonts w:hint="eastAsia" w:ascii="宋体" w:hAnsi="宋体" w:cs="宋体"/>
          <w:color w:val="000000" w:themeColor="text1"/>
          <w:sz w:val="24"/>
          <w:lang w:eastAsia="zh-CN"/>
          <w14:textFill>
            <w14:solidFill>
              <w14:schemeClr w14:val="tx1"/>
            </w14:solidFill>
          </w14:textFill>
        </w:rPr>
        <w:t>B.3</w:t>
      </w:r>
      <w:r>
        <w:rPr>
          <w:rFonts w:hint="eastAsia" w:ascii="宋体" w:hAnsi="宋体" w:eastAsia="宋体" w:cs="宋体"/>
          <w:color w:val="000000" w:themeColor="text1"/>
          <w:sz w:val="24"/>
          <w:lang w:eastAsia="zh-CN"/>
          <w14:textFill>
            <w14:solidFill>
              <w14:schemeClr w14:val="tx1"/>
            </w14:solidFill>
          </w14:textFill>
        </w:rPr>
        <w:t>.2 本条款适用于</w:t>
      </w:r>
      <w:r>
        <w:rPr>
          <w:rFonts w:hint="eastAsia" w:ascii="宋体" w:hAnsi="宋体" w:eastAsia="宋体" w:cs="宋体"/>
          <w:color w:val="000000" w:themeColor="text1"/>
          <w:kern w:val="0"/>
          <w:sz w:val="24"/>
          <w:lang w:bidi="ar"/>
          <w14:textFill>
            <w14:solidFill>
              <w14:schemeClr w14:val="tx1"/>
            </w14:solidFill>
          </w14:textFill>
        </w:rPr>
        <w:t>城市公共管理与公共服务设施项目</w:t>
      </w:r>
      <w:r>
        <w:rPr>
          <w:rFonts w:hint="eastAsia" w:ascii="宋体" w:hAnsi="宋体" w:eastAsia="宋体" w:cs="宋体"/>
          <w:color w:val="000000" w:themeColor="text1"/>
          <w:sz w:val="24"/>
          <w:lang w:eastAsia="zh-CN"/>
          <w14:textFill>
            <w14:solidFill>
              <w14:schemeClr w14:val="tx1"/>
            </w14:solidFill>
          </w14:textFill>
        </w:rPr>
        <w:t>规划设计阶段评价。</w:t>
      </w:r>
    </w:p>
    <w:p w14:paraId="63855C06">
      <w:pPr>
        <w:snapToGrid w:val="0"/>
        <w:spacing w:line="360" w:lineRule="auto"/>
        <w:ind w:firstLine="480" w:firstLineChars="200"/>
        <w:jc w:val="left"/>
        <w:rPr>
          <w:rFonts w:hint="eastAsia" w:ascii="宋体" w:hAnsi="宋体" w:eastAsia="宋体" w:cs="宋体"/>
          <w:color w:val="000000" w:themeColor="text1"/>
          <w:sz w:val="24"/>
          <w:lang w:eastAsia="zh-CN"/>
          <w14:textFill>
            <w14:solidFill>
              <w14:schemeClr w14:val="tx1"/>
            </w14:solidFill>
          </w14:textFill>
        </w:rPr>
      </w:pPr>
      <w:r>
        <w:rPr>
          <w:rFonts w:hint="eastAsia" w:ascii="宋体" w:hAnsi="宋体" w:eastAsia="宋体" w:cs="宋体"/>
          <w:color w:val="000000" w:themeColor="text1"/>
          <w:sz w:val="24"/>
          <w:lang w:eastAsia="zh-CN"/>
          <w14:textFill>
            <w14:solidFill>
              <w14:schemeClr w14:val="tx1"/>
            </w14:solidFill>
          </w14:textFill>
        </w:rPr>
        <w:t>选择良好的材料，有利于节约材料，减少碳排放。</w:t>
      </w:r>
    </w:p>
    <w:p w14:paraId="1C655FF0">
      <w:pPr>
        <w:snapToGrid w:val="0"/>
        <w:spacing w:line="360" w:lineRule="auto"/>
        <w:ind w:firstLine="480" w:firstLineChars="200"/>
        <w:jc w:val="left"/>
        <w:rPr>
          <w:rFonts w:hint="eastAsia" w:ascii="宋体" w:hAnsi="宋体" w:eastAsia="宋体" w:cs="宋体"/>
          <w:color w:val="000000" w:themeColor="text1"/>
          <w:sz w:val="24"/>
          <w:lang w:eastAsia="zh-CN"/>
          <w14:textFill>
            <w14:solidFill>
              <w14:schemeClr w14:val="tx1"/>
            </w14:solidFill>
          </w14:textFill>
        </w:rPr>
      </w:pPr>
      <w:r>
        <w:rPr>
          <w:rFonts w:hint="eastAsia" w:ascii="宋体" w:hAnsi="宋体" w:eastAsia="宋体" w:cs="宋体"/>
          <w:color w:val="000000" w:themeColor="text1"/>
          <w:sz w:val="24"/>
          <w:lang w:eastAsia="zh-CN"/>
          <w14:textFill>
            <w14:solidFill>
              <w14:schemeClr w14:val="tx1"/>
            </w14:solidFill>
          </w14:textFill>
        </w:rPr>
        <w:t>本条对结构、装饰、管材、管线、管件的材料选择和建筑门窗、幕墙、围栏及其配件的力学性能、热工性能和耐久性作了规定。</w:t>
      </w:r>
    </w:p>
    <w:p w14:paraId="656CA01B">
      <w:pPr>
        <w:snapToGrid w:val="0"/>
        <w:spacing w:line="360" w:lineRule="auto"/>
        <w:ind w:firstLine="480" w:firstLineChars="200"/>
        <w:jc w:val="left"/>
        <w:rPr>
          <w:rFonts w:hint="eastAsia" w:ascii="宋体" w:hAnsi="宋体" w:eastAsia="宋体" w:cs="宋体"/>
          <w:color w:val="000000" w:themeColor="text1"/>
          <w:sz w:val="24"/>
          <w:lang w:eastAsia="zh-CN"/>
          <w14:textFill>
            <w14:solidFill>
              <w14:schemeClr w14:val="tx1"/>
            </w14:solidFill>
          </w14:textFill>
        </w:rPr>
      </w:pPr>
      <w:r>
        <w:rPr>
          <w:rFonts w:hint="eastAsia" w:ascii="宋体" w:hAnsi="宋体" w:eastAsia="宋体" w:cs="宋体"/>
          <w:color w:val="000000" w:themeColor="text1"/>
          <w:sz w:val="24"/>
          <w:lang w:eastAsia="zh-CN"/>
          <w14:textFill>
            <w14:solidFill>
              <w14:schemeClr w14:val="tx1"/>
            </w14:solidFill>
          </w14:textFill>
        </w:rPr>
        <w:t>考量内容：（1）规划设计文件；（2）材料清单；（3）材料选择方案比较分析；（4）建筑门窗、幕墙、围栏及其配件的产品性能参数，产品检测报告等。</w:t>
      </w:r>
    </w:p>
    <w:p w14:paraId="715F815A">
      <w:pPr>
        <w:snapToGrid w:val="0"/>
        <w:spacing w:line="360" w:lineRule="auto"/>
        <w:jc w:val="left"/>
        <w:rPr>
          <w:rFonts w:hint="eastAsia" w:ascii="宋体" w:hAnsi="宋体" w:eastAsia="宋体" w:cs="宋体"/>
          <w:color w:val="000000" w:themeColor="text1"/>
          <w:sz w:val="24"/>
          <w:lang w:eastAsia="zh-CN"/>
          <w14:textFill>
            <w14:solidFill>
              <w14:schemeClr w14:val="tx1"/>
            </w14:solidFill>
          </w14:textFill>
        </w:rPr>
      </w:pPr>
      <w:r>
        <w:rPr>
          <w:rFonts w:hint="eastAsia" w:ascii="宋体" w:hAnsi="宋体" w:cs="宋体"/>
          <w:color w:val="000000" w:themeColor="text1"/>
          <w:sz w:val="24"/>
          <w:lang w:eastAsia="zh-CN"/>
          <w14:textFill>
            <w14:solidFill>
              <w14:schemeClr w14:val="tx1"/>
            </w14:solidFill>
          </w14:textFill>
        </w:rPr>
        <w:t>B.3</w:t>
      </w:r>
      <w:r>
        <w:rPr>
          <w:rFonts w:hint="eastAsia" w:ascii="宋体" w:hAnsi="宋体" w:eastAsia="宋体" w:cs="宋体"/>
          <w:color w:val="000000" w:themeColor="text1"/>
          <w:sz w:val="24"/>
          <w:lang w:eastAsia="zh-CN"/>
          <w14:textFill>
            <w14:solidFill>
              <w14:schemeClr w14:val="tx1"/>
            </w14:solidFill>
          </w14:textFill>
        </w:rPr>
        <w:t>.</w:t>
      </w:r>
      <w:r>
        <w:rPr>
          <w:rFonts w:hint="eastAsia" w:ascii="宋体" w:hAnsi="宋体" w:cs="宋体"/>
          <w:color w:val="000000" w:themeColor="text1"/>
          <w:sz w:val="24"/>
          <w:lang w:val="en-US" w:eastAsia="zh-CN"/>
          <w14:textFill>
            <w14:solidFill>
              <w14:schemeClr w14:val="tx1"/>
            </w14:solidFill>
          </w14:textFill>
        </w:rPr>
        <w:t>3</w:t>
      </w:r>
      <w:r>
        <w:rPr>
          <w:rFonts w:hint="eastAsia" w:ascii="宋体" w:hAnsi="宋体" w:eastAsia="宋体" w:cs="宋体"/>
          <w:color w:val="000000" w:themeColor="text1"/>
          <w:sz w:val="24"/>
          <w:lang w:eastAsia="zh-CN"/>
          <w14:textFill>
            <w14:solidFill>
              <w14:schemeClr w14:val="tx1"/>
            </w14:solidFill>
          </w14:textFill>
        </w:rPr>
        <w:t>本条款适用于</w:t>
      </w:r>
      <w:r>
        <w:rPr>
          <w:rFonts w:hint="eastAsia" w:ascii="宋体" w:hAnsi="宋体" w:eastAsia="宋体" w:cs="宋体"/>
          <w:color w:val="000000" w:themeColor="text1"/>
          <w:kern w:val="0"/>
          <w:sz w:val="24"/>
          <w:lang w:bidi="ar"/>
          <w14:textFill>
            <w14:solidFill>
              <w14:schemeClr w14:val="tx1"/>
            </w14:solidFill>
          </w14:textFill>
        </w:rPr>
        <w:t>城市公共管理与公共服务设施项目</w:t>
      </w:r>
      <w:r>
        <w:rPr>
          <w:rFonts w:hint="eastAsia" w:ascii="宋体" w:hAnsi="宋体" w:eastAsia="宋体" w:cs="宋体"/>
          <w:color w:val="000000" w:themeColor="text1"/>
          <w:sz w:val="24"/>
          <w:lang w:eastAsia="zh-CN"/>
          <w14:textFill>
            <w14:solidFill>
              <w14:schemeClr w14:val="tx1"/>
            </w14:solidFill>
          </w14:textFill>
        </w:rPr>
        <w:t>施工建造阶段</w:t>
      </w:r>
      <w:r>
        <w:rPr>
          <w:rFonts w:hint="eastAsia" w:ascii="宋体" w:hAnsi="宋体" w:eastAsia="宋体" w:cs="宋体"/>
          <w:color w:val="000000" w:themeColor="text1"/>
          <w:sz w:val="24"/>
          <w:lang w:val="en-US" w:eastAsia="zh-CN"/>
          <w14:textFill>
            <w14:solidFill>
              <w14:schemeClr w14:val="tx1"/>
            </w14:solidFill>
          </w14:textFill>
        </w:rPr>
        <w:t>的</w:t>
      </w:r>
      <w:r>
        <w:rPr>
          <w:rFonts w:hint="eastAsia" w:ascii="宋体" w:hAnsi="宋体" w:eastAsia="宋体" w:cs="宋体"/>
          <w:color w:val="000000" w:themeColor="text1"/>
          <w:sz w:val="24"/>
          <w:lang w:eastAsia="zh-CN"/>
          <w14:textFill>
            <w14:solidFill>
              <w14:schemeClr w14:val="tx1"/>
            </w14:solidFill>
          </w14:textFill>
        </w:rPr>
        <w:t>评价。</w:t>
      </w:r>
    </w:p>
    <w:p w14:paraId="238470EA">
      <w:pPr>
        <w:snapToGrid w:val="0"/>
        <w:spacing w:line="360" w:lineRule="auto"/>
        <w:ind w:firstLine="480" w:firstLineChars="200"/>
        <w:jc w:val="left"/>
        <w:rPr>
          <w:rFonts w:hint="eastAsia" w:ascii="宋体" w:hAnsi="宋体" w:eastAsia="宋体" w:cs="宋体"/>
          <w:color w:val="000000" w:themeColor="text1"/>
          <w:sz w:val="24"/>
          <w:lang w:eastAsia="zh-CN"/>
          <w14:textFill>
            <w14:solidFill>
              <w14:schemeClr w14:val="tx1"/>
            </w14:solidFill>
          </w14:textFill>
        </w:rPr>
      </w:pPr>
      <w:r>
        <w:rPr>
          <w:rFonts w:hint="eastAsia" w:ascii="宋体" w:hAnsi="宋体" w:eastAsia="宋体" w:cs="宋体"/>
          <w:color w:val="000000" w:themeColor="text1"/>
          <w:sz w:val="24"/>
          <w:lang w:eastAsia="zh-CN"/>
          <w14:textFill>
            <w14:solidFill>
              <w14:schemeClr w14:val="tx1"/>
            </w14:solidFill>
          </w14:textFill>
        </w:rPr>
        <w:t>本条强调施工建造阶段施工临时设施与永久性设施的结合利用；使用安全高效的新型模架体系；采用标准化的部品部件，并采用合适工具化的安装工法。</w:t>
      </w:r>
    </w:p>
    <w:p w14:paraId="7050188C">
      <w:pPr>
        <w:snapToGrid w:val="0"/>
        <w:spacing w:line="360" w:lineRule="auto"/>
        <w:ind w:firstLine="480" w:firstLineChars="200"/>
        <w:jc w:val="left"/>
        <w:rPr>
          <w:rFonts w:hint="eastAsia" w:ascii="宋体" w:hAnsi="宋体" w:eastAsia="宋体" w:cs="宋体"/>
          <w:color w:val="000000" w:themeColor="text1"/>
          <w:sz w:val="24"/>
          <w:lang w:eastAsia="zh-CN"/>
          <w14:textFill>
            <w14:solidFill>
              <w14:schemeClr w14:val="tx1"/>
            </w14:solidFill>
          </w14:textFill>
        </w:rPr>
      </w:pPr>
      <w:r>
        <w:rPr>
          <w:rFonts w:hint="eastAsia" w:ascii="宋体" w:hAnsi="宋体" w:eastAsia="宋体" w:cs="宋体"/>
          <w:color w:val="000000" w:themeColor="text1"/>
          <w:sz w:val="24"/>
          <w:lang w:eastAsia="zh-CN"/>
          <w14:textFill>
            <w14:solidFill>
              <w14:schemeClr w14:val="tx1"/>
            </w14:solidFill>
          </w14:textFill>
        </w:rPr>
        <w:t>考量内容：（1）考察施工临时设施与永久性设施的结合利用情况；（2）施工新型模架体系使用情况；（3）施工部品部件使用与安装方式。</w:t>
      </w:r>
    </w:p>
    <w:p w14:paraId="0E93523B">
      <w:pPr>
        <w:snapToGrid w:val="0"/>
        <w:spacing w:line="360" w:lineRule="auto"/>
        <w:jc w:val="left"/>
        <w:rPr>
          <w:rFonts w:hint="eastAsia" w:ascii="宋体" w:hAnsi="宋体" w:eastAsia="宋体" w:cs="宋体"/>
          <w:color w:val="000000" w:themeColor="text1"/>
          <w:sz w:val="24"/>
          <w:lang w:eastAsia="zh-CN"/>
          <w14:textFill>
            <w14:solidFill>
              <w14:schemeClr w14:val="tx1"/>
            </w14:solidFill>
          </w14:textFill>
        </w:rPr>
      </w:pPr>
      <w:r>
        <w:rPr>
          <w:rFonts w:hint="eastAsia" w:ascii="宋体" w:hAnsi="宋体" w:cs="宋体"/>
          <w:color w:val="000000" w:themeColor="text1"/>
          <w:sz w:val="24"/>
          <w:lang w:eastAsia="zh-CN"/>
          <w14:textFill>
            <w14:solidFill>
              <w14:schemeClr w14:val="tx1"/>
            </w14:solidFill>
          </w14:textFill>
        </w:rPr>
        <w:t>B.3</w:t>
      </w:r>
      <w:r>
        <w:rPr>
          <w:rFonts w:hint="eastAsia" w:ascii="宋体" w:hAnsi="宋体" w:eastAsia="宋体" w:cs="宋体"/>
          <w:color w:val="000000" w:themeColor="text1"/>
          <w:sz w:val="24"/>
          <w:lang w:eastAsia="zh-CN"/>
          <w14:textFill>
            <w14:solidFill>
              <w14:schemeClr w14:val="tx1"/>
            </w14:solidFill>
          </w14:textFill>
        </w:rPr>
        <w:t>.</w:t>
      </w:r>
      <w:r>
        <w:rPr>
          <w:rFonts w:hint="eastAsia" w:ascii="宋体" w:hAnsi="宋体" w:cs="宋体"/>
          <w:color w:val="000000" w:themeColor="text1"/>
          <w:sz w:val="24"/>
          <w:lang w:val="en-US" w:eastAsia="zh-CN"/>
          <w14:textFill>
            <w14:solidFill>
              <w14:schemeClr w14:val="tx1"/>
            </w14:solidFill>
          </w14:textFill>
        </w:rPr>
        <w:t>4</w:t>
      </w:r>
      <w:r>
        <w:rPr>
          <w:rFonts w:hint="eastAsia" w:ascii="宋体" w:hAnsi="宋体" w:eastAsia="宋体" w:cs="宋体"/>
          <w:color w:val="000000" w:themeColor="text1"/>
          <w:sz w:val="24"/>
          <w:lang w:eastAsia="zh-CN"/>
          <w14:textFill>
            <w14:solidFill>
              <w14:schemeClr w14:val="tx1"/>
            </w14:solidFill>
          </w14:textFill>
        </w:rPr>
        <w:t xml:space="preserve"> 本条款适用于</w:t>
      </w:r>
      <w:r>
        <w:rPr>
          <w:rFonts w:hint="eastAsia" w:ascii="宋体" w:hAnsi="宋体" w:eastAsia="宋体" w:cs="宋体"/>
          <w:color w:val="000000" w:themeColor="text1"/>
          <w:kern w:val="0"/>
          <w:sz w:val="24"/>
          <w:lang w:bidi="ar"/>
          <w14:textFill>
            <w14:solidFill>
              <w14:schemeClr w14:val="tx1"/>
            </w14:solidFill>
          </w14:textFill>
        </w:rPr>
        <w:t>城市公共管理与公共服务设施项目</w:t>
      </w:r>
      <w:r>
        <w:rPr>
          <w:rFonts w:hint="eastAsia" w:ascii="宋体" w:hAnsi="宋体" w:eastAsia="宋体" w:cs="宋体"/>
          <w:color w:val="000000" w:themeColor="text1"/>
          <w:sz w:val="24"/>
          <w:lang w:eastAsia="zh-CN"/>
          <w14:textFill>
            <w14:solidFill>
              <w14:schemeClr w14:val="tx1"/>
            </w14:solidFill>
          </w14:textFill>
        </w:rPr>
        <w:t>规划设计和施工建造阶段的评价。</w:t>
      </w:r>
    </w:p>
    <w:p w14:paraId="33E9D198">
      <w:pPr>
        <w:snapToGrid w:val="0"/>
        <w:spacing w:line="360" w:lineRule="auto"/>
        <w:ind w:firstLine="480" w:firstLineChars="200"/>
        <w:jc w:val="left"/>
        <w:rPr>
          <w:rFonts w:hint="eastAsia" w:ascii="宋体" w:hAnsi="宋体" w:eastAsia="宋体" w:cs="宋体"/>
          <w:color w:val="000000" w:themeColor="text1"/>
          <w:sz w:val="24"/>
          <w:lang w:eastAsia="zh-CN"/>
          <w14:textFill>
            <w14:solidFill>
              <w14:schemeClr w14:val="tx1"/>
            </w14:solidFill>
          </w14:textFill>
        </w:rPr>
      </w:pPr>
      <w:r>
        <w:rPr>
          <w:rFonts w:hint="eastAsia" w:ascii="宋体" w:hAnsi="宋体" w:eastAsia="宋体" w:cs="宋体"/>
          <w:color w:val="000000" w:themeColor="text1"/>
          <w:sz w:val="24"/>
          <w:lang w:eastAsia="zh-CN"/>
          <w14:textFill>
            <w14:solidFill>
              <w14:schemeClr w14:val="tx1"/>
            </w14:solidFill>
          </w14:textFill>
        </w:rPr>
        <w:t>土地有效利用率是反映土地利用程度的指标。是一个项目已利用的土地面积占可利用土地总面积的比率。</w:t>
      </w:r>
    </w:p>
    <w:p w14:paraId="72B46FF8">
      <w:pPr>
        <w:snapToGrid w:val="0"/>
        <w:spacing w:line="360" w:lineRule="auto"/>
        <w:ind w:firstLine="480" w:firstLineChars="200"/>
        <w:jc w:val="left"/>
        <w:rPr>
          <w:rFonts w:hint="eastAsia" w:ascii="宋体" w:hAnsi="宋体" w:eastAsia="宋体" w:cs="宋体"/>
          <w:color w:val="000000" w:themeColor="text1"/>
          <w:sz w:val="24"/>
          <w:lang w:eastAsia="zh-CN"/>
          <w14:textFill>
            <w14:solidFill>
              <w14:schemeClr w14:val="tx1"/>
            </w14:solidFill>
          </w14:textFill>
        </w:rPr>
      </w:pPr>
      <w:r>
        <w:rPr>
          <w:rFonts w:hint="eastAsia" w:ascii="宋体" w:hAnsi="宋体" w:eastAsia="宋体" w:cs="宋体"/>
          <w:color w:val="000000" w:themeColor="text1"/>
          <w:sz w:val="24"/>
          <w:lang w:eastAsia="zh-CN"/>
          <w14:textFill>
            <w14:solidFill>
              <w14:schemeClr w14:val="tx1"/>
            </w14:solidFill>
          </w14:textFill>
        </w:rPr>
        <w:t>考量内容：（1）开发规划设计图纸；（2）地下建筑面积与地上建筑面积比率；（3）施工平面布置图。</w:t>
      </w:r>
    </w:p>
    <w:p w14:paraId="15BBE640">
      <w:pPr>
        <w:snapToGrid w:val="0"/>
        <w:spacing w:line="360" w:lineRule="auto"/>
        <w:jc w:val="left"/>
        <w:rPr>
          <w:rFonts w:hint="eastAsia" w:ascii="宋体" w:hAnsi="宋体" w:eastAsia="宋体" w:cs="宋体"/>
          <w:color w:val="000000" w:themeColor="text1"/>
          <w:sz w:val="24"/>
          <w:lang w:eastAsia="zh-CN"/>
          <w14:textFill>
            <w14:solidFill>
              <w14:schemeClr w14:val="tx1"/>
            </w14:solidFill>
          </w14:textFill>
        </w:rPr>
      </w:pPr>
      <w:r>
        <w:rPr>
          <w:rFonts w:hint="eastAsia" w:ascii="宋体" w:hAnsi="宋体" w:cs="宋体"/>
          <w:color w:val="000000" w:themeColor="text1"/>
          <w:sz w:val="24"/>
          <w:lang w:eastAsia="zh-CN"/>
          <w14:textFill>
            <w14:solidFill>
              <w14:schemeClr w14:val="tx1"/>
            </w14:solidFill>
          </w14:textFill>
        </w:rPr>
        <w:t>B.3</w:t>
      </w:r>
      <w:r>
        <w:rPr>
          <w:rFonts w:hint="eastAsia" w:ascii="宋体" w:hAnsi="宋体" w:eastAsia="宋体" w:cs="宋体"/>
          <w:color w:val="000000" w:themeColor="text1"/>
          <w:sz w:val="24"/>
          <w:lang w:eastAsia="zh-CN"/>
          <w14:textFill>
            <w14:solidFill>
              <w14:schemeClr w14:val="tx1"/>
            </w14:solidFill>
          </w14:textFill>
        </w:rPr>
        <w:t>.</w:t>
      </w:r>
      <w:r>
        <w:rPr>
          <w:rFonts w:hint="eastAsia" w:ascii="宋体" w:hAnsi="宋体" w:cs="宋体"/>
          <w:color w:val="000000" w:themeColor="text1"/>
          <w:sz w:val="24"/>
          <w:lang w:val="en-US" w:eastAsia="zh-CN"/>
          <w14:textFill>
            <w14:solidFill>
              <w14:schemeClr w14:val="tx1"/>
            </w14:solidFill>
          </w14:textFill>
        </w:rPr>
        <w:t>5</w:t>
      </w:r>
      <w:r>
        <w:rPr>
          <w:rFonts w:hint="eastAsia" w:ascii="宋体" w:hAnsi="宋体" w:eastAsia="宋体" w:cs="宋体"/>
          <w:color w:val="000000" w:themeColor="text1"/>
          <w:sz w:val="24"/>
          <w:lang w:eastAsia="zh-CN"/>
          <w14:textFill>
            <w14:solidFill>
              <w14:schemeClr w14:val="tx1"/>
            </w14:solidFill>
          </w14:textFill>
        </w:rPr>
        <w:t xml:space="preserve"> 本条款适用于政府性资金参与投资建设的社会性公共房屋建筑，</w:t>
      </w:r>
      <w:r>
        <w:rPr>
          <w:rFonts w:hint="eastAsia" w:ascii="宋体" w:hAnsi="宋体" w:cs="宋体"/>
          <w:i w:val="0"/>
          <w:iCs w:val="0"/>
          <w:caps w:val="0"/>
          <w:color w:val="000000"/>
          <w:spacing w:val="0"/>
          <w:sz w:val="24"/>
          <w:szCs w:val="24"/>
          <w:lang w:eastAsia="zh-CN"/>
        </w:rPr>
        <w:t>特别是新建的大型公共建筑，应</w:t>
      </w:r>
      <w:r>
        <w:rPr>
          <w:rFonts w:hint="eastAsia" w:ascii="宋体" w:hAnsi="宋体" w:eastAsia="宋体" w:cs="宋体"/>
          <w:i w:val="0"/>
          <w:iCs w:val="0"/>
          <w:caps w:val="0"/>
          <w:color w:val="000000"/>
          <w:spacing w:val="0"/>
          <w:sz w:val="24"/>
          <w:szCs w:val="24"/>
        </w:rPr>
        <w:t>执行绿色建筑二星级以上标准</w:t>
      </w:r>
      <w:r>
        <w:rPr>
          <w:rFonts w:hint="eastAsia" w:ascii="宋体" w:hAnsi="宋体" w:eastAsia="宋体" w:cs="宋体"/>
          <w:i w:val="0"/>
          <w:iCs w:val="0"/>
          <w:caps w:val="0"/>
          <w:color w:val="000000"/>
          <w:spacing w:val="0"/>
          <w:sz w:val="24"/>
          <w:szCs w:val="24"/>
          <w:lang w:eastAsia="zh-CN"/>
        </w:rPr>
        <w:t>。</w:t>
      </w:r>
    </w:p>
    <w:p w14:paraId="52768DD9">
      <w:pPr>
        <w:snapToGrid w:val="0"/>
        <w:spacing w:line="360" w:lineRule="auto"/>
        <w:ind w:firstLine="480" w:firstLineChars="200"/>
        <w:jc w:val="left"/>
        <w:rPr>
          <w:rFonts w:hint="eastAsia" w:ascii="宋体" w:hAnsi="宋体" w:eastAsia="宋体" w:cs="宋体"/>
          <w:color w:val="000000" w:themeColor="text1"/>
          <w:sz w:val="24"/>
          <w:lang w:eastAsia="zh-CN"/>
          <w14:textFill>
            <w14:solidFill>
              <w14:schemeClr w14:val="tx1"/>
            </w14:solidFill>
          </w14:textFill>
        </w:rPr>
      </w:pPr>
      <w:r>
        <w:rPr>
          <w:rFonts w:hint="eastAsia" w:ascii="宋体" w:hAnsi="宋体" w:eastAsia="宋体" w:cs="宋体"/>
          <w:color w:val="000000" w:themeColor="text1"/>
          <w:sz w:val="24"/>
          <w:lang w:eastAsia="zh-CN"/>
          <w14:textFill>
            <w14:solidFill>
              <w14:schemeClr w14:val="tx1"/>
            </w14:solidFill>
          </w14:textFill>
        </w:rPr>
        <w:t>考量内容：（1）项目投资立项可行性研究报告；（2）设计施工图；（3）绿色建筑评价相关文件和记录。</w:t>
      </w:r>
    </w:p>
    <w:p w14:paraId="7C690F4A">
      <w:pPr>
        <w:snapToGrid w:val="0"/>
        <w:spacing w:line="360" w:lineRule="auto"/>
        <w:jc w:val="left"/>
        <w:rPr>
          <w:rFonts w:hint="eastAsia" w:ascii="宋体" w:hAnsi="宋体" w:eastAsia="宋体" w:cs="宋体"/>
          <w:color w:val="000000" w:themeColor="text1"/>
          <w:sz w:val="24"/>
          <w:lang w:eastAsia="zh-CN"/>
          <w14:textFill>
            <w14:solidFill>
              <w14:schemeClr w14:val="tx1"/>
            </w14:solidFill>
          </w14:textFill>
        </w:rPr>
      </w:pPr>
      <w:r>
        <w:rPr>
          <w:rFonts w:hint="eastAsia" w:ascii="宋体" w:hAnsi="宋体" w:cs="宋体"/>
          <w:color w:val="000000" w:themeColor="text1"/>
          <w:sz w:val="24"/>
          <w:lang w:eastAsia="zh-CN"/>
          <w14:textFill>
            <w14:solidFill>
              <w14:schemeClr w14:val="tx1"/>
            </w14:solidFill>
          </w14:textFill>
        </w:rPr>
        <w:t>B.3</w:t>
      </w:r>
      <w:r>
        <w:rPr>
          <w:rFonts w:hint="eastAsia" w:ascii="宋体" w:hAnsi="宋体" w:eastAsia="宋体" w:cs="宋体"/>
          <w:color w:val="000000" w:themeColor="text1"/>
          <w:sz w:val="24"/>
          <w:lang w:eastAsia="zh-CN"/>
          <w14:textFill>
            <w14:solidFill>
              <w14:schemeClr w14:val="tx1"/>
            </w14:solidFill>
          </w14:textFill>
        </w:rPr>
        <w:t>.</w:t>
      </w:r>
      <w:r>
        <w:rPr>
          <w:rFonts w:hint="eastAsia" w:ascii="宋体" w:hAnsi="宋体" w:cs="宋体"/>
          <w:color w:val="000000" w:themeColor="text1"/>
          <w:sz w:val="24"/>
          <w:lang w:val="en-US" w:eastAsia="zh-CN"/>
          <w14:textFill>
            <w14:solidFill>
              <w14:schemeClr w14:val="tx1"/>
            </w14:solidFill>
          </w14:textFill>
        </w:rPr>
        <w:t>6</w:t>
      </w:r>
      <w:r>
        <w:rPr>
          <w:rFonts w:hint="eastAsia" w:ascii="宋体" w:hAnsi="宋体" w:eastAsia="宋体" w:cs="宋体"/>
          <w:color w:val="000000" w:themeColor="text1"/>
          <w:sz w:val="24"/>
          <w:lang w:eastAsia="zh-CN"/>
          <w14:textFill>
            <w14:solidFill>
              <w14:schemeClr w14:val="tx1"/>
            </w14:solidFill>
          </w14:textFill>
        </w:rPr>
        <w:t>本条款适用于</w:t>
      </w:r>
      <w:r>
        <w:rPr>
          <w:rFonts w:hint="eastAsia" w:ascii="宋体" w:hAnsi="宋体" w:eastAsia="宋体" w:cs="宋体"/>
          <w:color w:val="000000" w:themeColor="text1"/>
          <w:kern w:val="0"/>
          <w:sz w:val="24"/>
          <w:lang w:bidi="ar"/>
          <w14:textFill>
            <w14:solidFill>
              <w14:schemeClr w14:val="tx1"/>
            </w14:solidFill>
          </w14:textFill>
        </w:rPr>
        <w:t>城市公共管理与公共服务设施项目</w:t>
      </w:r>
      <w:r>
        <w:rPr>
          <w:rFonts w:hint="eastAsia" w:ascii="宋体" w:hAnsi="宋体" w:eastAsia="宋体" w:cs="宋体"/>
          <w:color w:val="000000" w:themeColor="text1"/>
          <w:sz w:val="24"/>
          <w:lang w:eastAsia="zh-CN"/>
          <w14:textFill>
            <w14:solidFill>
              <w14:schemeClr w14:val="tx1"/>
            </w14:solidFill>
          </w14:textFill>
        </w:rPr>
        <w:t>规划设计阶段、施工建造阶段、运行阶段</w:t>
      </w:r>
      <w:r>
        <w:rPr>
          <w:rFonts w:hint="eastAsia" w:ascii="宋体" w:hAnsi="宋体" w:eastAsia="宋体" w:cs="宋体"/>
          <w:color w:val="000000" w:themeColor="text1"/>
          <w:sz w:val="24"/>
          <w:lang w:val="en-US" w:eastAsia="zh-CN"/>
          <w14:textFill>
            <w14:solidFill>
              <w14:schemeClr w14:val="tx1"/>
            </w14:solidFill>
          </w14:textFill>
        </w:rPr>
        <w:t>的</w:t>
      </w:r>
      <w:r>
        <w:rPr>
          <w:rFonts w:hint="eastAsia" w:ascii="宋体" w:hAnsi="宋体" w:eastAsia="宋体" w:cs="宋体"/>
          <w:color w:val="000000" w:themeColor="text1"/>
          <w:sz w:val="24"/>
          <w:lang w:eastAsia="zh-CN"/>
          <w14:textFill>
            <w14:solidFill>
              <w14:schemeClr w14:val="tx1"/>
            </w14:solidFill>
          </w14:textFill>
        </w:rPr>
        <w:t>评价。</w:t>
      </w:r>
    </w:p>
    <w:p w14:paraId="04B71B68">
      <w:pPr>
        <w:snapToGrid w:val="0"/>
        <w:spacing w:line="360" w:lineRule="auto"/>
        <w:ind w:firstLine="480" w:firstLineChars="200"/>
        <w:jc w:val="left"/>
        <w:rPr>
          <w:rFonts w:hint="eastAsia" w:ascii="宋体" w:hAnsi="宋体" w:eastAsia="宋体" w:cs="宋体"/>
          <w:color w:val="000000" w:themeColor="text1"/>
          <w:kern w:val="0"/>
          <w:sz w:val="24"/>
          <w:lang w:bidi="ar"/>
          <w14:textFill>
            <w14:solidFill>
              <w14:schemeClr w14:val="tx1"/>
            </w14:solidFill>
          </w14:textFill>
        </w:rPr>
      </w:pPr>
      <w:r>
        <w:rPr>
          <w:rFonts w:hint="eastAsia" w:ascii="宋体" w:hAnsi="宋体" w:eastAsia="宋体" w:cs="宋体"/>
          <w:color w:val="000000" w:themeColor="text1"/>
          <w:sz w:val="24"/>
          <w:lang w:eastAsia="zh-CN"/>
          <w14:textFill>
            <w14:solidFill>
              <w14:schemeClr w14:val="tx1"/>
            </w14:solidFill>
          </w14:textFill>
        </w:rPr>
        <w:t>考量内容：（1）项目结构安全性、耐久性提升的规划设计方案或措施方案；（2）对大型、大跨度公共项目结构安全监测体系及数据；（3）项目公共健康与安全日常维护或定期检查记录、潜在风险源记录。</w:t>
      </w:r>
    </w:p>
    <w:p w14:paraId="4F59466A">
      <w:pPr>
        <w:snapToGrid/>
        <w:spacing w:line="360" w:lineRule="auto"/>
        <w:jc w:val="center"/>
        <w:outlineLvl w:val="1"/>
        <w:rPr>
          <w:rFonts w:hint="eastAsia" w:ascii="黑体" w:hAnsi="黑体" w:eastAsia="黑体" w:cs="黑体"/>
          <w:b/>
          <w:bCs/>
          <w:color w:val="auto"/>
          <w:sz w:val="28"/>
          <w:szCs w:val="28"/>
        </w:rPr>
      </w:pPr>
      <w:bookmarkStart w:id="853" w:name="_Toc17189"/>
      <w:bookmarkStart w:id="854" w:name="_Toc11993"/>
      <w:bookmarkStart w:id="855" w:name="_Toc9475"/>
      <w:bookmarkStart w:id="856" w:name="_Toc7848"/>
      <w:bookmarkStart w:id="857" w:name="_Toc17961"/>
      <w:bookmarkStart w:id="858" w:name="_Toc14418"/>
      <w:bookmarkStart w:id="859" w:name="_Toc13869"/>
      <w:bookmarkStart w:id="860" w:name="_Toc29996"/>
      <w:bookmarkStart w:id="861" w:name="_Toc9135"/>
      <w:bookmarkStart w:id="862" w:name="_Toc27329"/>
      <w:r>
        <w:rPr>
          <w:rFonts w:hint="eastAsia" w:ascii="黑体" w:hAnsi="黑体" w:eastAsia="黑体" w:cs="黑体"/>
          <w:b/>
          <w:bCs/>
          <w:color w:val="auto"/>
          <w:sz w:val="28"/>
          <w:szCs w:val="28"/>
          <w:lang w:eastAsia="zh-CN"/>
        </w:rPr>
        <w:t>B</w:t>
      </w:r>
      <w:r>
        <w:rPr>
          <w:rFonts w:hint="eastAsia" w:ascii="黑体" w:hAnsi="黑体" w:eastAsia="黑体" w:cs="黑体"/>
          <w:b/>
          <w:bCs/>
          <w:color w:val="auto"/>
          <w:sz w:val="28"/>
          <w:szCs w:val="28"/>
          <w:lang w:val="en-US" w:eastAsia="zh-CN"/>
        </w:rPr>
        <w:t>.</w:t>
      </w:r>
      <w:r>
        <w:rPr>
          <w:rFonts w:hint="eastAsia" w:ascii="黑体" w:hAnsi="黑体" w:eastAsia="黑体" w:cs="黑体"/>
          <w:b/>
          <w:bCs/>
          <w:color w:val="auto"/>
          <w:sz w:val="28"/>
          <w:szCs w:val="28"/>
        </w:rPr>
        <w:t>4 城市污水、垃圾处理设施项目</w:t>
      </w:r>
      <w:bookmarkEnd w:id="853"/>
      <w:bookmarkEnd w:id="854"/>
      <w:r>
        <w:rPr>
          <w:rFonts w:hint="eastAsia" w:ascii="黑体" w:hAnsi="黑体" w:eastAsia="黑体" w:cs="黑体"/>
          <w:b/>
          <w:bCs/>
          <w:color w:val="auto"/>
          <w:sz w:val="28"/>
          <w:szCs w:val="28"/>
        </w:rPr>
        <w:t>专项内容评价指标</w:t>
      </w:r>
      <w:bookmarkEnd w:id="855"/>
      <w:bookmarkEnd w:id="856"/>
      <w:bookmarkEnd w:id="857"/>
      <w:bookmarkEnd w:id="858"/>
      <w:bookmarkEnd w:id="859"/>
      <w:bookmarkEnd w:id="860"/>
    </w:p>
    <w:p w14:paraId="7D745CE8">
      <w:pPr>
        <w:snapToGrid w:val="0"/>
        <w:spacing w:line="360" w:lineRule="auto"/>
        <w:jc w:val="left"/>
        <w:rPr>
          <w:rFonts w:ascii="宋体" w:hAnsi="宋体" w:eastAsia="宋体" w:cs="宋体"/>
          <w:color w:val="000000" w:themeColor="text1"/>
          <w:kern w:val="0"/>
          <w:sz w:val="24"/>
          <w:lang w:bidi="ar"/>
          <w14:textFill>
            <w14:solidFill>
              <w14:schemeClr w14:val="tx1"/>
            </w14:solidFill>
          </w14:textFill>
        </w:rPr>
      </w:pPr>
      <w:r>
        <w:rPr>
          <w:rFonts w:hint="eastAsia" w:ascii="宋体" w:hAnsi="宋体" w:cs="宋体"/>
          <w:color w:val="000000" w:themeColor="text1"/>
          <w:sz w:val="24"/>
          <w:lang w:eastAsia="zh-CN"/>
          <w14:textFill>
            <w14:solidFill>
              <w14:schemeClr w14:val="tx1"/>
            </w14:solidFill>
          </w14:textFill>
        </w:rPr>
        <w:t>B.4</w:t>
      </w:r>
      <w:r>
        <w:rPr>
          <w:rFonts w:hint="eastAsia" w:ascii="宋体" w:hAnsi="宋体" w:eastAsia="宋体" w:cs="宋体"/>
          <w:color w:val="000000" w:themeColor="text1"/>
          <w:sz w:val="24"/>
          <w14:textFill>
            <w14:solidFill>
              <w14:schemeClr w14:val="tx1"/>
            </w14:solidFill>
          </w14:textFill>
        </w:rPr>
        <w:t>.1</w:t>
      </w:r>
      <w:r>
        <w:rPr>
          <w:rFonts w:hint="eastAsia" w:ascii="宋体" w:hAnsi="宋体" w:eastAsia="宋体" w:cs="宋体"/>
          <w:color w:val="000000" w:themeColor="text1"/>
          <w:kern w:val="0"/>
          <w:sz w:val="24"/>
          <w:lang w:bidi="ar"/>
          <w14:textFill>
            <w14:solidFill>
              <w14:schemeClr w14:val="tx1"/>
            </w14:solidFill>
          </w14:textFill>
        </w:rPr>
        <w:t>本</w:t>
      </w:r>
      <w:r>
        <w:rPr>
          <w:rFonts w:hint="eastAsia" w:ascii="宋体" w:hAnsi="宋体" w:eastAsia="宋体" w:cs="宋体"/>
          <w:color w:val="000000" w:themeColor="text1"/>
          <w:kern w:val="0"/>
          <w:sz w:val="24"/>
          <w:lang w:eastAsia="zh-CN" w:bidi="ar"/>
          <w14:textFill>
            <w14:solidFill>
              <w14:schemeClr w14:val="tx1"/>
            </w14:solidFill>
          </w14:textFill>
        </w:rPr>
        <w:t>条款适</w:t>
      </w:r>
      <w:r>
        <w:rPr>
          <w:rFonts w:hint="eastAsia" w:ascii="宋体" w:hAnsi="宋体" w:eastAsia="宋体" w:cs="宋体"/>
          <w:color w:val="000000" w:themeColor="text1"/>
          <w:kern w:val="0"/>
          <w:sz w:val="24"/>
          <w:lang w:bidi="ar"/>
          <w14:textFill>
            <w14:solidFill>
              <w14:schemeClr w14:val="tx1"/>
            </w14:solidFill>
          </w14:textFill>
        </w:rPr>
        <w:t>用于城市污水、垃圾处理设施项目</w:t>
      </w:r>
      <w:r>
        <w:rPr>
          <w:rFonts w:hint="eastAsia" w:ascii="宋体" w:hAnsi="宋体" w:eastAsia="宋体" w:cs="宋体"/>
          <w:color w:val="000000" w:themeColor="text1"/>
          <w:kern w:val="0"/>
          <w:sz w:val="24"/>
          <w:lang w:eastAsia="zh-CN" w:bidi="ar"/>
          <w14:textFill>
            <w14:solidFill>
              <w14:schemeClr w14:val="tx1"/>
            </w14:solidFill>
          </w14:textFill>
        </w:rPr>
        <w:t>规划设计阶段、施工建造阶段、</w:t>
      </w:r>
      <w:r>
        <w:rPr>
          <w:rFonts w:hint="eastAsia" w:ascii="宋体" w:hAnsi="宋体" w:eastAsia="宋体" w:cs="宋体"/>
          <w:color w:val="000000" w:themeColor="text1"/>
          <w:kern w:val="0"/>
          <w:sz w:val="24"/>
          <w:lang w:bidi="ar"/>
          <w14:textFill>
            <w14:solidFill>
              <w14:schemeClr w14:val="tx1"/>
            </w14:solidFill>
          </w14:textFill>
        </w:rPr>
        <w:t>运行</w:t>
      </w:r>
      <w:r>
        <w:rPr>
          <w:rFonts w:hint="eastAsia" w:ascii="宋体" w:hAnsi="宋体" w:eastAsia="宋体" w:cs="宋体"/>
          <w:color w:val="000000" w:themeColor="text1"/>
          <w:kern w:val="0"/>
          <w:sz w:val="24"/>
          <w:lang w:val="en-US" w:eastAsia="zh-CN" w:bidi="ar"/>
          <w14:textFill>
            <w14:solidFill>
              <w14:schemeClr w14:val="tx1"/>
            </w14:solidFill>
          </w14:textFill>
        </w:rPr>
        <w:t>阶段</w:t>
      </w:r>
      <w:r>
        <w:rPr>
          <w:rFonts w:hint="eastAsia" w:ascii="宋体" w:hAnsi="宋体" w:eastAsia="宋体" w:cs="宋体"/>
          <w:color w:val="000000" w:themeColor="text1"/>
          <w:kern w:val="0"/>
          <w:sz w:val="24"/>
          <w:lang w:bidi="ar"/>
          <w14:textFill>
            <w14:solidFill>
              <w14:schemeClr w14:val="tx1"/>
            </w14:solidFill>
          </w14:textFill>
        </w:rPr>
        <w:t>的评价。</w:t>
      </w:r>
    </w:p>
    <w:p w14:paraId="1C86FD51">
      <w:pPr>
        <w:widowControl/>
        <w:snapToGrid w:val="0"/>
        <w:spacing w:line="360" w:lineRule="auto"/>
        <w:ind w:firstLine="480" w:firstLineChars="200"/>
        <w:jc w:val="left"/>
        <w:rPr>
          <w:rFonts w:hint="default" w:ascii="宋体" w:hAnsi="宋体" w:eastAsia="宋体" w:cs="宋体"/>
          <w:color w:val="000000" w:themeColor="text1"/>
          <w:kern w:val="0"/>
          <w:sz w:val="24"/>
          <w:lang w:val="en-US" w:eastAsia="zh-CN" w:bidi="ar"/>
          <w14:textFill>
            <w14:solidFill>
              <w14:schemeClr w14:val="tx1"/>
            </w14:solidFill>
          </w14:textFill>
        </w:rPr>
      </w:pPr>
      <w:r>
        <w:rPr>
          <w:rFonts w:hint="eastAsia" w:ascii="宋体" w:hAnsi="宋体" w:eastAsia="宋体" w:cs="宋体"/>
          <w:color w:val="000000" w:themeColor="text1"/>
          <w:kern w:val="0"/>
          <w:sz w:val="24"/>
          <w:lang w:bidi="ar"/>
          <w14:textFill>
            <w14:solidFill>
              <w14:schemeClr w14:val="tx1"/>
            </w14:solidFill>
          </w14:textFill>
        </w:rPr>
        <w:t>本标准所指污水、垃圾处理设施是指用于进行城市污水和垃圾处理的工程设施。</w:t>
      </w:r>
      <w:r>
        <w:rPr>
          <w:rFonts w:hint="eastAsia" w:ascii="宋体" w:hAnsi="宋体" w:cs="宋体"/>
          <w:color w:val="000000" w:themeColor="text1"/>
          <w:kern w:val="0"/>
          <w:sz w:val="24"/>
          <w:lang w:eastAsia="zh-CN" w:bidi="ar"/>
          <w14:textFill>
            <w14:solidFill>
              <w14:schemeClr w14:val="tx1"/>
            </w14:solidFill>
          </w14:textFill>
        </w:rPr>
        <w:t>（</w:t>
      </w:r>
      <w:r>
        <w:rPr>
          <w:rFonts w:hint="eastAsia" w:ascii="宋体" w:hAnsi="宋体" w:cs="宋体"/>
          <w:color w:val="000000" w:themeColor="text1"/>
          <w:kern w:val="0"/>
          <w:sz w:val="24"/>
          <w:lang w:val="en-US" w:eastAsia="zh-CN" w:bidi="ar"/>
          <w14:textFill>
            <w14:solidFill>
              <w14:schemeClr w14:val="tx1"/>
            </w14:solidFill>
          </w14:textFill>
        </w:rPr>
        <w:t>下同）</w:t>
      </w:r>
    </w:p>
    <w:p w14:paraId="60797915">
      <w:pPr>
        <w:widowControl/>
        <w:snapToGrid w:val="0"/>
        <w:spacing w:line="360" w:lineRule="auto"/>
        <w:ind w:firstLine="480" w:firstLineChars="200"/>
        <w:jc w:val="left"/>
        <w:rPr>
          <w:rFonts w:ascii="宋体" w:hAnsi="宋体" w:eastAsia="宋体" w:cs="宋体"/>
          <w:color w:val="000000" w:themeColor="text1"/>
          <w:kern w:val="0"/>
          <w:sz w:val="24"/>
          <w:lang w:bidi="ar"/>
          <w14:textFill>
            <w14:solidFill>
              <w14:schemeClr w14:val="tx1"/>
            </w14:solidFill>
          </w14:textFill>
        </w:rPr>
      </w:pPr>
      <w:r>
        <w:rPr>
          <w:rFonts w:hint="eastAsia" w:ascii="宋体" w:hAnsi="宋体" w:eastAsia="宋体" w:cs="宋体"/>
          <w:color w:val="000000" w:themeColor="text1"/>
          <w:kern w:val="0"/>
          <w:sz w:val="24"/>
          <w:lang w:bidi="ar"/>
          <w14:textFill>
            <w14:solidFill>
              <w14:schemeClr w14:val="tx1"/>
            </w14:solidFill>
          </w14:textFill>
        </w:rPr>
        <w:t>垃圾处理设施应考虑渗滤液对地下水和土壤的污染风险。设计应采用防渗膜、具有防腐抗渗性能的混凝土及保护剂等措施隔离垃圾和地下水，并设置渗滤液收集系统，统一收集和处理渗滤液。</w:t>
      </w:r>
    </w:p>
    <w:p w14:paraId="5B53CE79">
      <w:pPr>
        <w:widowControl/>
        <w:snapToGrid w:val="0"/>
        <w:spacing w:line="360" w:lineRule="auto"/>
        <w:ind w:firstLine="480" w:firstLineChars="200"/>
        <w:jc w:val="left"/>
        <w:rPr>
          <w:rFonts w:ascii="宋体" w:hAnsi="宋体" w:eastAsia="宋体" w:cs="宋体"/>
          <w:color w:val="000000" w:themeColor="text1"/>
          <w:kern w:val="0"/>
          <w:sz w:val="24"/>
          <w:lang w:bidi="ar"/>
          <w14:textFill>
            <w14:solidFill>
              <w14:schemeClr w14:val="tx1"/>
            </w14:solidFill>
          </w14:textFill>
        </w:rPr>
      </w:pPr>
      <w:r>
        <w:rPr>
          <w:rFonts w:hint="eastAsia" w:ascii="宋体" w:hAnsi="宋体" w:eastAsia="宋体" w:cs="宋体"/>
          <w:color w:val="000000" w:themeColor="text1"/>
          <w:kern w:val="0"/>
          <w:sz w:val="24"/>
          <w:lang w:bidi="ar"/>
          <w14:textFill>
            <w14:solidFill>
              <w14:schemeClr w14:val="tx1"/>
            </w14:solidFill>
          </w14:textFill>
        </w:rPr>
        <w:t>考量内容：（1）</w:t>
      </w:r>
      <w:r>
        <w:rPr>
          <w:rFonts w:hint="eastAsia" w:ascii="宋体" w:hAnsi="宋体" w:eastAsia="宋体" w:cs="宋体"/>
          <w:color w:val="000000" w:themeColor="text1"/>
          <w:kern w:val="0"/>
          <w:sz w:val="24"/>
          <w:lang w:eastAsia="zh-CN" w:bidi="ar"/>
          <w14:textFill>
            <w14:solidFill>
              <w14:schemeClr w14:val="tx1"/>
            </w14:solidFill>
          </w14:textFill>
        </w:rPr>
        <w:t>规划设计</w:t>
      </w:r>
      <w:r>
        <w:rPr>
          <w:rFonts w:hint="eastAsia" w:ascii="宋体" w:hAnsi="宋体" w:eastAsia="宋体" w:cs="宋体"/>
          <w:color w:val="000000" w:themeColor="text1"/>
          <w:kern w:val="0"/>
          <w:sz w:val="24"/>
          <w:lang w:bidi="ar"/>
          <w14:textFill>
            <w14:solidFill>
              <w14:schemeClr w14:val="tx1"/>
            </w14:solidFill>
          </w14:textFill>
        </w:rPr>
        <w:t>文件，污水处理工艺；（2）污水检测报告，土壤检测报告；（3）污水处理设施运行维修记录，垃圾渗滤液收集、存储、运输、处理过程管理记录。</w:t>
      </w:r>
    </w:p>
    <w:p w14:paraId="64F24305">
      <w:pPr>
        <w:snapToGrid w:val="0"/>
        <w:spacing w:line="360" w:lineRule="auto"/>
        <w:jc w:val="left"/>
        <w:rPr>
          <w:rFonts w:ascii="宋体" w:hAnsi="宋体" w:eastAsia="宋体" w:cs="宋体"/>
          <w:color w:val="000000" w:themeColor="text1"/>
          <w:kern w:val="0"/>
          <w:sz w:val="24"/>
          <w:lang w:bidi="ar"/>
          <w14:textFill>
            <w14:solidFill>
              <w14:schemeClr w14:val="tx1"/>
            </w14:solidFill>
          </w14:textFill>
        </w:rPr>
      </w:pPr>
      <w:r>
        <w:rPr>
          <w:rFonts w:hint="eastAsia" w:ascii="宋体" w:hAnsi="宋体" w:cs="宋体"/>
          <w:color w:val="000000" w:themeColor="text1"/>
          <w:sz w:val="24"/>
          <w:lang w:eastAsia="zh-CN"/>
          <w14:textFill>
            <w14:solidFill>
              <w14:schemeClr w14:val="tx1"/>
            </w14:solidFill>
          </w14:textFill>
        </w:rPr>
        <w:t>B.4</w:t>
      </w:r>
      <w:r>
        <w:rPr>
          <w:rFonts w:hint="eastAsia" w:ascii="宋体" w:hAnsi="宋体" w:eastAsia="宋体" w:cs="宋体"/>
          <w:color w:val="000000" w:themeColor="text1"/>
          <w:sz w:val="24"/>
          <w14:textFill>
            <w14:solidFill>
              <w14:schemeClr w14:val="tx1"/>
            </w14:solidFill>
          </w14:textFill>
        </w:rPr>
        <w:t>.2</w:t>
      </w:r>
      <w:r>
        <w:rPr>
          <w:rFonts w:hint="eastAsia" w:ascii="宋体" w:hAnsi="宋体" w:eastAsia="宋体" w:cs="宋体"/>
          <w:color w:val="000000" w:themeColor="text1"/>
          <w:kern w:val="0"/>
          <w:sz w:val="24"/>
          <w:lang w:bidi="ar"/>
          <w14:textFill>
            <w14:solidFill>
              <w14:schemeClr w14:val="tx1"/>
            </w14:solidFill>
          </w14:textFill>
        </w:rPr>
        <w:t>本</w:t>
      </w:r>
      <w:r>
        <w:rPr>
          <w:rFonts w:hint="eastAsia" w:ascii="宋体" w:hAnsi="宋体" w:eastAsia="宋体" w:cs="宋体"/>
          <w:color w:val="000000" w:themeColor="text1"/>
          <w:kern w:val="0"/>
          <w:sz w:val="24"/>
          <w:lang w:eastAsia="zh-CN" w:bidi="ar"/>
          <w14:textFill>
            <w14:solidFill>
              <w14:schemeClr w14:val="tx1"/>
            </w14:solidFill>
          </w14:textFill>
        </w:rPr>
        <w:t>条款适</w:t>
      </w:r>
      <w:r>
        <w:rPr>
          <w:rFonts w:hint="eastAsia" w:ascii="宋体" w:hAnsi="宋体" w:eastAsia="宋体" w:cs="宋体"/>
          <w:color w:val="000000" w:themeColor="text1"/>
          <w:kern w:val="0"/>
          <w:sz w:val="24"/>
          <w:lang w:bidi="ar"/>
          <w14:textFill>
            <w14:solidFill>
              <w14:schemeClr w14:val="tx1"/>
            </w14:solidFill>
          </w14:textFill>
        </w:rPr>
        <w:t>用于城市污水、垃圾处理设施项目</w:t>
      </w:r>
      <w:r>
        <w:rPr>
          <w:rFonts w:hint="eastAsia" w:ascii="宋体" w:hAnsi="宋体" w:eastAsia="宋体" w:cs="宋体"/>
          <w:color w:val="000000" w:themeColor="text1"/>
          <w:kern w:val="0"/>
          <w:sz w:val="24"/>
          <w:lang w:eastAsia="zh-CN" w:bidi="ar"/>
          <w14:textFill>
            <w14:solidFill>
              <w14:schemeClr w14:val="tx1"/>
            </w14:solidFill>
          </w14:textFill>
        </w:rPr>
        <w:t>规划设计阶段</w:t>
      </w:r>
      <w:r>
        <w:rPr>
          <w:rFonts w:hint="eastAsia" w:ascii="宋体" w:hAnsi="宋体" w:eastAsia="宋体" w:cs="宋体"/>
          <w:color w:val="000000" w:themeColor="text1"/>
          <w:kern w:val="0"/>
          <w:sz w:val="24"/>
          <w:lang w:val="en-US" w:eastAsia="zh-CN" w:bidi="ar"/>
          <w14:textFill>
            <w14:solidFill>
              <w14:schemeClr w14:val="tx1"/>
            </w14:solidFill>
          </w14:textFill>
        </w:rPr>
        <w:t>和</w:t>
      </w:r>
      <w:r>
        <w:rPr>
          <w:rFonts w:hint="eastAsia" w:ascii="宋体" w:hAnsi="宋体" w:eastAsia="宋体" w:cs="宋体"/>
          <w:color w:val="000000" w:themeColor="text1"/>
          <w:kern w:val="0"/>
          <w:sz w:val="24"/>
          <w:lang w:bidi="ar"/>
          <w14:textFill>
            <w14:solidFill>
              <w14:schemeClr w14:val="tx1"/>
            </w14:solidFill>
          </w14:textFill>
        </w:rPr>
        <w:t>运行</w:t>
      </w:r>
      <w:r>
        <w:rPr>
          <w:rFonts w:hint="eastAsia" w:ascii="宋体" w:hAnsi="宋体" w:eastAsia="宋体" w:cs="宋体"/>
          <w:color w:val="000000" w:themeColor="text1"/>
          <w:kern w:val="0"/>
          <w:sz w:val="24"/>
          <w:lang w:val="en-US" w:eastAsia="zh-CN" w:bidi="ar"/>
          <w14:textFill>
            <w14:solidFill>
              <w14:schemeClr w14:val="tx1"/>
            </w14:solidFill>
          </w14:textFill>
        </w:rPr>
        <w:t>阶段</w:t>
      </w:r>
      <w:r>
        <w:rPr>
          <w:rFonts w:hint="eastAsia" w:ascii="宋体" w:hAnsi="宋体" w:eastAsia="宋体" w:cs="宋体"/>
          <w:color w:val="000000" w:themeColor="text1"/>
          <w:kern w:val="0"/>
          <w:sz w:val="24"/>
          <w:lang w:bidi="ar"/>
          <w14:textFill>
            <w14:solidFill>
              <w14:schemeClr w14:val="tx1"/>
            </w14:solidFill>
          </w14:textFill>
        </w:rPr>
        <w:t>的评价。</w:t>
      </w:r>
    </w:p>
    <w:p w14:paraId="73934EB1">
      <w:pPr>
        <w:widowControl/>
        <w:snapToGrid w:val="0"/>
        <w:spacing w:line="360" w:lineRule="auto"/>
        <w:ind w:firstLine="480" w:firstLineChars="200"/>
        <w:jc w:val="left"/>
        <w:rPr>
          <w:rFonts w:ascii="宋体" w:hAnsi="宋体" w:eastAsia="宋体" w:cs="宋体"/>
          <w:color w:val="000000" w:themeColor="text1"/>
          <w:kern w:val="0"/>
          <w:sz w:val="24"/>
          <w:lang w:bidi="ar"/>
          <w14:textFill>
            <w14:solidFill>
              <w14:schemeClr w14:val="tx1"/>
            </w14:solidFill>
          </w14:textFill>
        </w:rPr>
      </w:pPr>
      <w:r>
        <w:rPr>
          <w:rFonts w:hint="eastAsia" w:ascii="宋体" w:hAnsi="宋体" w:eastAsia="宋体" w:cs="宋体"/>
          <w:color w:val="000000" w:themeColor="text1"/>
          <w:kern w:val="0"/>
          <w:sz w:val="24"/>
          <w:lang w:bidi="ar"/>
          <w14:textFill>
            <w14:solidFill>
              <w14:schemeClr w14:val="tx1"/>
            </w14:solidFill>
          </w14:textFill>
        </w:rPr>
        <w:t>考量内容：（1）</w:t>
      </w:r>
      <w:r>
        <w:rPr>
          <w:rFonts w:hint="eastAsia" w:ascii="宋体" w:hAnsi="宋体" w:eastAsia="宋体" w:cs="宋体"/>
          <w:color w:val="000000" w:themeColor="text1"/>
          <w:kern w:val="0"/>
          <w:sz w:val="24"/>
          <w:lang w:eastAsia="zh-CN" w:bidi="ar"/>
          <w14:textFill>
            <w14:solidFill>
              <w14:schemeClr w14:val="tx1"/>
            </w14:solidFill>
          </w14:textFill>
        </w:rPr>
        <w:t>规划设计</w:t>
      </w:r>
      <w:r>
        <w:rPr>
          <w:rFonts w:hint="eastAsia" w:ascii="宋体" w:hAnsi="宋体" w:eastAsia="宋体" w:cs="宋体"/>
          <w:color w:val="000000" w:themeColor="text1"/>
          <w:kern w:val="0"/>
          <w:sz w:val="24"/>
          <w:lang w:bidi="ar"/>
          <w14:textFill>
            <w14:solidFill>
              <w14:schemeClr w14:val="tx1"/>
            </w14:solidFill>
          </w14:textFill>
        </w:rPr>
        <w:t>文件</w:t>
      </w:r>
      <w:r>
        <w:rPr>
          <w:rFonts w:hint="eastAsia" w:ascii="宋体" w:hAnsi="宋体" w:eastAsia="宋体" w:cs="宋体"/>
          <w:color w:val="000000" w:themeColor="text1"/>
          <w:kern w:val="0"/>
          <w:sz w:val="24"/>
          <w:lang w:eastAsia="zh-CN" w:bidi="ar"/>
          <w14:textFill>
            <w14:solidFill>
              <w14:schemeClr w14:val="tx1"/>
            </w14:solidFill>
          </w14:textFill>
        </w:rPr>
        <w:t>；</w:t>
      </w:r>
      <w:r>
        <w:rPr>
          <w:rFonts w:hint="eastAsia" w:ascii="宋体" w:hAnsi="宋体" w:eastAsia="宋体" w:cs="宋体"/>
          <w:color w:val="000000" w:themeColor="text1"/>
          <w:kern w:val="0"/>
          <w:sz w:val="24"/>
          <w:lang w:bidi="ar"/>
          <w14:textFill>
            <w14:solidFill>
              <w14:schemeClr w14:val="tx1"/>
            </w14:solidFill>
          </w14:textFill>
        </w:rPr>
        <w:t>（</w:t>
      </w:r>
      <w:r>
        <w:rPr>
          <w:rFonts w:hint="eastAsia" w:ascii="宋体" w:hAnsi="宋体" w:eastAsia="宋体" w:cs="宋体"/>
          <w:color w:val="000000" w:themeColor="text1"/>
          <w:kern w:val="0"/>
          <w:sz w:val="24"/>
          <w:lang w:val="en-US" w:eastAsia="zh-CN" w:bidi="ar"/>
          <w14:textFill>
            <w14:solidFill>
              <w14:schemeClr w14:val="tx1"/>
            </w14:solidFill>
          </w14:textFill>
        </w:rPr>
        <w:t>2</w:t>
      </w:r>
      <w:r>
        <w:rPr>
          <w:rFonts w:hint="eastAsia" w:ascii="宋体" w:hAnsi="宋体" w:eastAsia="宋体" w:cs="宋体"/>
          <w:color w:val="000000" w:themeColor="text1"/>
          <w:kern w:val="0"/>
          <w:sz w:val="24"/>
          <w:lang w:bidi="ar"/>
          <w14:textFill>
            <w14:solidFill>
              <w14:schemeClr w14:val="tx1"/>
            </w14:solidFill>
          </w14:textFill>
        </w:rPr>
        <w:t>）温室气体减排实施方案、温室气体减排量、减排措施及实施情况。</w:t>
      </w:r>
    </w:p>
    <w:p w14:paraId="1EACD9FC">
      <w:pPr>
        <w:snapToGrid w:val="0"/>
        <w:spacing w:line="360" w:lineRule="auto"/>
        <w:jc w:val="left"/>
        <w:rPr>
          <w:rFonts w:ascii="宋体" w:hAnsi="宋体" w:eastAsia="宋体" w:cs="宋体"/>
          <w:color w:val="000000" w:themeColor="text1"/>
          <w:kern w:val="0"/>
          <w:sz w:val="24"/>
          <w:lang w:bidi="ar"/>
          <w14:textFill>
            <w14:solidFill>
              <w14:schemeClr w14:val="tx1"/>
            </w14:solidFill>
          </w14:textFill>
        </w:rPr>
      </w:pPr>
      <w:r>
        <w:rPr>
          <w:rFonts w:hint="eastAsia" w:ascii="宋体" w:hAnsi="宋体" w:cs="宋体"/>
          <w:color w:val="000000" w:themeColor="text1"/>
          <w:sz w:val="24"/>
          <w:lang w:eastAsia="zh-CN"/>
          <w14:textFill>
            <w14:solidFill>
              <w14:schemeClr w14:val="tx1"/>
            </w14:solidFill>
          </w14:textFill>
        </w:rPr>
        <w:t>B.4</w:t>
      </w:r>
      <w:r>
        <w:rPr>
          <w:rFonts w:hint="eastAsia" w:ascii="宋体" w:hAnsi="宋体" w:eastAsia="宋体" w:cs="宋体"/>
          <w:color w:val="000000" w:themeColor="text1"/>
          <w:sz w:val="24"/>
          <w14:textFill>
            <w14:solidFill>
              <w14:schemeClr w14:val="tx1"/>
            </w14:solidFill>
          </w14:textFill>
        </w:rPr>
        <w:t>.</w:t>
      </w:r>
      <w:r>
        <w:rPr>
          <w:rFonts w:hint="eastAsia" w:ascii="宋体" w:hAnsi="宋体" w:cs="宋体"/>
          <w:color w:val="000000" w:themeColor="text1"/>
          <w:sz w:val="24"/>
          <w:lang w:val="en-US" w:eastAsia="zh-CN"/>
          <w14:textFill>
            <w14:solidFill>
              <w14:schemeClr w14:val="tx1"/>
            </w14:solidFill>
          </w14:textFill>
        </w:rPr>
        <w:t>3</w:t>
      </w:r>
      <w:r>
        <w:rPr>
          <w:rFonts w:hint="eastAsia" w:ascii="宋体" w:hAnsi="宋体" w:eastAsia="宋体" w:cs="宋体"/>
          <w:color w:val="000000" w:themeColor="text1"/>
          <w:kern w:val="0"/>
          <w:sz w:val="24"/>
          <w:lang w:bidi="ar"/>
          <w14:textFill>
            <w14:solidFill>
              <w14:schemeClr w14:val="tx1"/>
            </w14:solidFill>
          </w14:textFill>
        </w:rPr>
        <w:t>本</w:t>
      </w:r>
      <w:r>
        <w:rPr>
          <w:rFonts w:hint="eastAsia" w:ascii="宋体" w:hAnsi="宋体" w:eastAsia="宋体" w:cs="宋体"/>
          <w:color w:val="000000" w:themeColor="text1"/>
          <w:kern w:val="0"/>
          <w:sz w:val="24"/>
          <w:lang w:eastAsia="zh-CN" w:bidi="ar"/>
          <w14:textFill>
            <w14:solidFill>
              <w14:schemeClr w14:val="tx1"/>
            </w14:solidFill>
          </w14:textFill>
        </w:rPr>
        <w:t>条款适</w:t>
      </w:r>
      <w:r>
        <w:rPr>
          <w:rFonts w:hint="eastAsia" w:ascii="宋体" w:hAnsi="宋体" w:eastAsia="宋体" w:cs="宋体"/>
          <w:color w:val="000000" w:themeColor="text1"/>
          <w:kern w:val="0"/>
          <w:sz w:val="24"/>
          <w:lang w:bidi="ar"/>
          <w14:textFill>
            <w14:solidFill>
              <w14:schemeClr w14:val="tx1"/>
            </w14:solidFill>
          </w14:textFill>
        </w:rPr>
        <w:t>用于城市污水、垃圾处理设施项目</w:t>
      </w:r>
      <w:r>
        <w:rPr>
          <w:rFonts w:hint="eastAsia" w:ascii="宋体" w:hAnsi="宋体" w:eastAsia="宋体" w:cs="宋体"/>
          <w:color w:val="000000" w:themeColor="text1"/>
          <w:kern w:val="0"/>
          <w:sz w:val="24"/>
          <w:lang w:eastAsia="zh-CN" w:bidi="ar"/>
          <w14:textFill>
            <w14:solidFill>
              <w14:schemeClr w14:val="tx1"/>
            </w14:solidFill>
          </w14:textFill>
        </w:rPr>
        <w:t>规划设计阶段、</w:t>
      </w:r>
      <w:r>
        <w:rPr>
          <w:rFonts w:hint="eastAsia" w:ascii="宋体" w:hAnsi="宋体" w:eastAsia="宋体" w:cs="宋体"/>
          <w:color w:val="000000" w:themeColor="text1"/>
          <w:kern w:val="0"/>
          <w:sz w:val="24"/>
          <w:lang w:bidi="ar"/>
          <w14:textFill>
            <w14:solidFill>
              <w14:schemeClr w14:val="tx1"/>
            </w14:solidFill>
          </w14:textFill>
        </w:rPr>
        <w:t>运行阶段的评价。</w:t>
      </w:r>
    </w:p>
    <w:p w14:paraId="0466A35A">
      <w:pPr>
        <w:widowControl/>
        <w:snapToGrid w:val="0"/>
        <w:spacing w:line="360" w:lineRule="auto"/>
        <w:ind w:firstLine="480" w:firstLineChars="200"/>
        <w:jc w:val="left"/>
        <w:rPr>
          <w:rFonts w:ascii="宋体" w:hAnsi="宋体" w:eastAsia="宋体" w:cs="宋体"/>
          <w:color w:val="000000" w:themeColor="text1"/>
          <w:kern w:val="0"/>
          <w:sz w:val="24"/>
          <w:lang w:bidi="ar"/>
          <w14:textFill>
            <w14:solidFill>
              <w14:schemeClr w14:val="tx1"/>
            </w14:solidFill>
          </w14:textFill>
        </w:rPr>
      </w:pPr>
      <w:r>
        <w:rPr>
          <w:rFonts w:hint="eastAsia" w:ascii="宋体" w:hAnsi="宋体" w:eastAsia="宋体" w:cs="宋体"/>
          <w:color w:val="000000" w:themeColor="text1"/>
          <w:kern w:val="0"/>
          <w:sz w:val="24"/>
          <w:lang w:bidi="ar"/>
          <w14:textFill>
            <w14:solidFill>
              <w14:schemeClr w14:val="tx1"/>
            </w14:solidFill>
          </w14:textFill>
        </w:rPr>
        <w:t>考量内容：（1）</w:t>
      </w:r>
      <w:r>
        <w:rPr>
          <w:rFonts w:hint="eastAsia" w:ascii="宋体" w:hAnsi="宋体" w:eastAsia="宋体" w:cs="宋体"/>
          <w:color w:val="000000" w:themeColor="text1"/>
          <w:kern w:val="0"/>
          <w:sz w:val="24"/>
          <w:lang w:eastAsia="zh-CN" w:bidi="ar"/>
          <w14:textFill>
            <w14:solidFill>
              <w14:schemeClr w14:val="tx1"/>
            </w14:solidFill>
          </w14:textFill>
        </w:rPr>
        <w:t>规划设计</w:t>
      </w:r>
      <w:r>
        <w:rPr>
          <w:rFonts w:hint="eastAsia" w:ascii="宋体" w:hAnsi="宋体" w:eastAsia="宋体" w:cs="宋体"/>
          <w:color w:val="000000" w:themeColor="text1"/>
          <w:kern w:val="0"/>
          <w:sz w:val="24"/>
          <w:lang w:bidi="ar"/>
          <w14:textFill>
            <w14:solidFill>
              <w14:schemeClr w14:val="tx1"/>
            </w14:solidFill>
          </w14:textFill>
        </w:rPr>
        <w:t>文件；（2）污废水排放记录</w:t>
      </w:r>
      <w:r>
        <w:rPr>
          <w:rFonts w:hint="eastAsia" w:ascii="宋体" w:hAnsi="宋体" w:eastAsia="宋体" w:cs="宋体"/>
          <w:color w:val="000000" w:themeColor="text1"/>
          <w:kern w:val="0"/>
          <w:sz w:val="24"/>
          <w:lang w:eastAsia="zh-CN" w:bidi="ar"/>
          <w14:textFill>
            <w14:solidFill>
              <w14:schemeClr w14:val="tx1"/>
            </w14:solidFill>
          </w14:textFill>
        </w:rPr>
        <w:t>、</w:t>
      </w:r>
      <w:r>
        <w:rPr>
          <w:rFonts w:hint="eastAsia" w:ascii="宋体" w:hAnsi="宋体" w:eastAsia="宋体" w:cs="宋体"/>
          <w:color w:val="000000" w:themeColor="text1"/>
          <w:kern w:val="0"/>
          <w:sz w:val="24"/>
          <w:lang w:val="en-US" w:eastAsia="zh-CN" w:bidi="ar"/>
          <w14:textFill>
            <w14:solidFill>
              <w14:schemeClr w14:val="tx1"/>
            </w14:solidFill>
          </w14:textFill>
        </w:rPr>
        <w:t>锅炉补水记录；（3）废水</w:t>
      </w:r>
      <w:r>
        <w:rPr>
          <w:rFonts w:hint="eastAsia" w:ascii="宋体" w:hAnsi="宋体" w:eastAsia="宋体" w:cs="宋体"/>
          <w:color w:val="000000" w:themeColor="text1"/>
          <w:kern w:val="0"/>
          <w:sz w:val="24"/>
          <w:lang w:bidi="ar"/>
          <w14:textFill>
            <w14:solidFill>
              <w14:schemeClr w14:val="tx1"/>
            </w14:solidFill>
          </w14:textFill>
        </w:rPr>
        <w:t>循环利用情况。</w:t>
      </w:r>
    </w:p>
    <w:p w14:paraId="23B14478">
      <w:pPr>
        <w:snapToGrid w:val="0"/>
        <w:spacing w:line="360" w:lineRule="auto"/>
        <w:jc w:val="left"/>
        <w:rPr>
          <w:rFonts w:ascii="宋体" w:hAnsi="宋体" w:eastAsia="宋体" w:cs="宋体"/>
          <w:color w:val="000000" w:themeColor="text1"/>
          <w:kern w:val="0"/>
          <w:sz w:val="24"/>
          <w:lang w:bidi="ar"/>
          <w14:textFill>
            <w14:solidFill>
              <w14:schemeClr w14:val="tx1"/>
            </w14:solidFill>
          </w14:textFill>
        </w:rPr>
      </w:pPr>
      <w:r>
        <w:rPr>
          <w:rFonts w:hint="eastAsia" w:ascii="宋体" w:hAnsi="宋体" w:cs="宋体"/>
          <w:color w:val="000000" w:themeColor="text1"/>
          <w:sz w:val="24"/>
          <w:lang w:eastAsia="zh-CN"/>
          <w14:textFill>
            <w14:solidFill>
              <w14:schemeClr w14:val="tx1"/>
            </w14:solidFill>
          </w14:textFill>
        </w:rPr>
        <w:t>B.4</w:t>
      </w:r>
      <w:r>
        <w:rPr>
          <w:rFonts w:hint="eastAsia" w:ascii="宋体" w:hAnsi="宋体" w:eastAsia="宋体" w:cs="宋体"/>
          <w:color w:val="000000" w:themeColor="text1"/>
          <w:sz w:val="24"/>
          <w14:textFill>
            <w14:solidFill>
              <w14:schemeClr w14:val="tx1"/>
            </w14:solidFill>
          </w14:textFill>
        </w:rPr>
        <w:t>.</w:t>
      </w:r>
      <w:r>
        <w:rPr>
          <w:rFonts w:hint="eastAsia" w:ascii="宋体" w:hAnsi="宋体" w:cs="宋体"/>
          <w:color w:val="000000" w:themeColor="text1"/>
          <w:sz w:val="24"/>
          <w:lang w:val="en-US" w:eastAsia="zh-CN"/>
          <w14:textFill>
            <w14:solidFill>
              <w14:schemeClr w14:val="tx1"/>
            </w14:solidFill>
          </w14:textFill>
        </w:rPr>
        <w:t>4</w:t>
      </w:r>
      <w:r>
        <w:rPr>
          <w:rFonts w:hint="eastAsia" w:ascii="宋体" w:hAnsi="宋体" w:eastAsia="宋体" w:cs="宋体"/>
          <w:color w:val="000000" w:themeColor="text1"/>
          <w:kern w:val="0"/>
          <w:sz w:val="24"/>
          <w:lang w:bidi="ar"/>
          <w14:textFill>
            <w14:solidFill>
              <w14:schemeClr w14:val="tx1"/>
            </w14:solidFill>
          </w14:textFill>
        </w:rPr>
        <w:t>本</w:t>
      </w:r>
      <w:r>
        <w:rPr>
          <w:rFonts w:hint="eastAsia" w:ascii="宋体" w:hAnsi="宋体" w:eastAsia="宋体" w:cs="宋体"/>
          <w:color w:val="000000" w:themeColor="text1"/>
          <w:kern w:val="0"/>
          <w:sz w:val="24"/>
          <w:lang w:eastAsia="zh-CN" w:bidi="ar"/>
          <w14:textFill>
            <w14:solidFill>
              <w14:schemeClr w14:val="tx1"/>
            </w14:solidFill>
          </w14:textFill>
        </w:rPr>
        <w:t>条款适</w:t>
      </w:r>
      <w:r>
        <w:rPr>
          <w:rFonts w:hint="eastAsia" w:ascii="宋体" w:hAnsi="宋体" w:eastAsia="宋体" w:cs="宋体"/>
          <w:color w:val="000000" w:themeColor="text1"/>
          <w:kern w:val="0"/>
          <w:sz w:val="24"/>
          <w:lang w:bidi="ar"/>
          <w14:textFill>
            <w14:solidFill>
              <w14:schemeClr w14:val="tx1"/>
            </w14:solidFill>
          </w14:textFill>
        </w:rPr>
        <w:t>用于垃圾处理设施项目</w:t>
      </w:r>
      <w:r>
        <w:rPr>
          <w:rFonts w:hint="eastAsia" w:ascii="宋体" w:hAnsi="宋体" w:eastAsia="宋体" w:cs="宋体"/>
          <w:color w:val="000000" w:themeColor="text1"/>
          <w:kern w:val="0"/>
          <w:sz w:val="24"/>
          <w:lang w:eastAsia="zh-CN" w:bidi="ar"/>
          <w14:textFill>
            <w14:solidFill>
              <w14:schemeClr w14:val="tx1"/>
            </w14:solidFill>
          </w14:textFill>
        </w:rPr>
        <w:t>规划设计阶段</w:t>
      </w:r>
      <w:r>
        <w:rPr>
          <w:rFonts w:hint="eastAsia" w:ascii="宋体" w:hAnsi="宋体" w:eastAsia="宋体" w:cs="宋体"/>
          <w:color w:val="000000" w:themeColor="text1"/>
          <w:kern w:val="0"/>
          <w:sz w:val="24"/>
          <w:lang w:val="en-US" w:eastAsia="zh-CN" w:bidi="ar"/>
          <w14:textFill>
            <w14:solidFill>
              <w14:schemeClr w14:val="tx1"/>
            </w14:solidFill>
          </w14:textFill>
        </w:rPr>
        <w:t>和</w:t>
      </w:r>
      <w:r>
        <w:rPr>
          <w:rFonts w:hint="eastAsia" w:ascii="宋体" w:hAnsi="宋体" w:eastAsia="宋体" w:cs="宋体"/>
          <w:color w:val="000000" w:themeColor="text1"/>
          <w:kern w:val="0"/>
          <w:sz w:val="24"/>
          <w:lang w:bidi="ar"/>
          <w14:textFill>
            <w14:solidFill>
              <w14:schemeClr w14:val="tx1"/>
            </w14:solidFill>
          </w14:textFill>
        </w:rPr>
        <w:t>运行阶段的评价。</w:t>
      </w:r>
    </w:p>
    <w:p w14:paraId="36E752C2">
      <w:pPr>
        <w:widowControl/>
        <w:snapToGrid w:val="0"/>
        <w:spacing w:line="360" w:lineRule="auto"/>
        <w:ind w:firstLine="480" w:firstLineChars="200"/>
        <w:jc w:val="left"/>
        <w:rPr>
          <w:rFonts w:ascii="宋体" w:hAnsi="宋体" w:eastAsia="宋体" w:cs="宋体"/>
          <w:color w:val="000000" w:themeColor="text1"/>
          <w:kern w:val="0"/>
          <w:sz w:val="24"/>
          <w:lang w:bidi="ar"/>
          <w14:textFill>
            <w14:solidFill>
              <w14:schemeClr w14:val="tx1"/>
            </w14:solidFill>
          </w14:textFill>
        </w:rPr>
      </w:pPr>
      <w:r>
        <w:rPr>
          <w:rFonts w:hint="eastAsia" w:ascii="宋体" w:hAnsi="宋体" w:eastAsia="宋体" w:cs="宋体"/>
          <w:color w:val="000000" w:themeColor="text1"/>
          <w:kern w:val="0"/>
          <w:sz w:val="24"/>
          <w:lang w:bidi="ar"/>
          <w14:textFill>
            <w14:solidFill>
              <w14:schemeClr w14:val="tx1"/>
            </w14:solidFill>
          </w14:textFill>
        </w:rPr>
        <w:t>考量内容：（1）</w:t>
      </w:r>
      <w:r>
        <w:rPr>
          <w:rFonts w:hint="eastAsia" w:ascii="宋体" w:hAnsi="宋体" w:eastAsia="宋体" w:cs="宋体"/>
          <w:color w:val="000000" w:themeColor="text1"/>
          <w:kern w:val="0"/>
          <w:sz w:val="24"/>
          <w:lang w:eastAsia="zh-CN" w:bidi="ar"/>
          <w14:textFill>
            <w14:solidFill>
              <w14:schemeClr w14:val="tx1"/>
            </w14:solidFill>
          </w14:textFill>
        </w:rPr>
        <w:t>规划设计</w:t>
      </w:r>
      <w:r>
        <w:rPr>
          <w:rFonts w:hint="eastAsia" w:ascii="宋体" w:hAnsi="宋体" w:eastAsia="宋体" w:cs="宋体"/>
          <w:color w:val="000000" w:themeColor="text1"/>
          <w:kern w:val="0"/>
          <w:sz w:val="24"/>
          <w:lang w:bidi="ar"/>
          <w14:textFill>
            <w14:solidFill>
              <w14:schemeClr w14:val="tx1"/>
            </w14:solidFill>
          </w14:textFill>
        </w:rPr>
        <w:t>文件；（2）节能设备购销合同</w:t>
      </w:r>
      <w:r>
        <w:rPr>
          <w:rFonts w:hint="eastAsia" w:ascii="宋体" w:hAnsi="宋体" w:eastAsia="宋体" w:cs="宋体"/>
          <w:color w:val="000000" w:themeColor="text1"/>
          <w:kern w:val="0"/>
          <w:sz w:val="24"/>
          <w:lang w:val="en-US" w:eastAsia="zh-CN" w:bidi="ar"/>
          <w14:textFill>
            <w14:solidFill>
              <w14:schemeClr w14:val="tx1"/>
            </w14:solidFill>
          </w14:textFill>
        </w:rPr>
        <w:t>；（3）控制策略</w:t>
      </w:r>
      <w:r>
        <w:rPr>
          <w:rFonts w:hint="eastAsia" w:ascii="宋体" w:hAnsi="宋体" w:eastAsia="宋体" w:cs="宋体"/>
          <w:color w:val="000000" w:themeColor="text1"/>
          <w:kern w:val="0"/>
          <w:sz w:val="24"/>
          <w:lang w:bidi="ar"/>
          <w14:textFill>
            <w14:solidFill>
              <w14:schemeClr w14:val="tx1"/>
            </w14:solidFill>
          </w14:textFill>
        </w:rPr>
        <w:t>记录</w:t>
      </w:r>
      <w:r>
        <w:rPr>
          <w:rFonts w:hint="eastAsia" w:ascii="宋体" w:hAnsi="宋体" w:eastAsia="宋体" w:cs="宋体"/>
          <w:color w:val="000000" w:themeColor="text1"/>
          <w:kern w:val="0"/>
          <w:sz w:val="24"/>
          <w:lang w:eastAsia="zh-CN" w:bidi="ar"/>
          <w14:textFill>
            <w14:solidFill>
              <w14:schemeClr w14:val="tx1"/>
            </w14:solidFill>
          </w14:textFill>
        </w:rPr>
        <w:t>、</w:t>
      </w:r>
      <w:r>
        <w:rPr>
          <w:rFonts w:hint="eastAsia" w:ascii="宋体" w:hAnsi="宋体" w:eastAsia="宋体" w:cs="宋体"/>
          <w:color w:val="000000" w:themeColor="text1"/>
          <w:kern w:val="0"/>
          <w:sz w:val="24"/>
          <w:lang w:val="en-US" w:eastAsia="zh-CN" w:bidi="ar"/>
          <w14:textFill>
            <w14:solidFill>
              <w14:schemeClr w14:val="tx1"/>
            </w14:solidFill>
          </w14:textFill>
        </w:rPr>
        <w:t>运行记录；（3）考察控制系统运行效果及评价</w:t>
      </w:r>
      <w:r>
        <w:rPr>
          <w:rFonts w:hint="eastAsia" w:ascii="宋体" w:hAnsi="宋体" w:eastAsia="宋体" w:cs="宋体"/>
          <w:color w:val="000000" w:themeColor="text1"/>
          <w:kern w:val="0"/>
          <w:sz w:val="24"/>
          <w:lang w:bidi="ar"/>
          <w14:textFill>
            <w14:solidFill>
              <w14:schemeClr w14:val="tx1"/>
            </w14:solidFill>
          </w14:textFill>
        </w:rPr>
        <w:t>。</w:t>
      </w:r>
    </w:p>
    <w:p w14:paraId="7A9FC6CB">
      <w:pPr>
        <w:snapToGrid w:val="0"/>
        <w:spacing w:line="360" w:lineRule="auto"/>
        <w:jc w:val="left"/>
        <w:rPr>
          <w:rFonts w:ascii="宋体" w:hAnsi="宋体" w:eastAsia="宋体" w:cs="宋体"/>
          <w:color w:val="000000" w:themeColor="text1"/>
          <w:kern w:val="0"/>
          <w:sz w:val="24"/>
          <w:lang w:bidi="ar"/>
          <w14:textFill>
            <w14:solidFill>
              <w14:schemeClr w14:val="tx1"/>
            </w14:solidFill>
          </w14:textFill>
        </w:rPr>
      </w:pPr>
      <w:r>
        <w:rPr>
          <w:rFonts w:hint="eastAsia" w:ascii="宋体" w:hAnsi="宋体" w:cs="宋体"/>
          <w:color w:val="000000" w:themeColor="text1"/>
          <w:sz w:val="24"/>
          <w:lang w:eastAsia="zh-CN"/>
          <w14:textFill>
            <w14:solidFill>
              <w14:schemeClr w14:val="tx1"/>
            </w14:solidFill>
          </w14:textFill>
        </w:rPr>
        <w:t>B.4</w:t>
      </w:r>
      <w:r>
        <w:rPr>
          <w:rFonts w:hint="eastAsia" w:ascii="宋体" w:hAnsi="宋体" w:eastAsia="宋体" w:cs="宋体"/>
          <w:color w:val="000000" w:themeColor="text1"/>
          <w:sz w:val="24"/>
          <w14:textFill>
            <w14:solidFill>
              <w14:schemeClr w14:val="tx1"/>
            </w14:solidFill>
          </w14:textFill>
        </w:rPr>
        <w:t>.</w:t>
      </w:r>
      <w:r>
        <w:rPr>
          <w:rFonts w:hint="eastAsia" w:ascii="宋体" w:hAnsi="宋体" w:cs="宋体"/>
          <w:color w:val="000000" w:themeColor="text1"/>
          <w:sz w:val="24"/>
          <w:lang w:val="en-US" w:eastAsia="zh-CN"/>
          <w14:textFill>
            <w14:solidFill>
              <w14:schemeClr w14:val="tx1"/>
            </w14:solidFill>
          </w14:textFill>
        </w:rPr>
        <w:t>5</w:t>
      </w:r>
      <w:r>
        <w:rPr>
          <w:rFonts w:hint="eastAsia" w:ascii="宋体" w:hAnsi="宋体" w:eastAsia="宋体" w:cs="宋体"/>
          <w:color w:val="000000" w:themeColor="text1"/>
          <w:kern w:val="0"/>
          <w:sz w:val="24"/>
          <w:lang w:bidi="ar"/>
          <w14:textFill>
            <w14:solidFill>
              <w14:schemeClr w14:val="tx1"/>
            </w14:solidFill>
          </w14:textFill>
        </w:rPr>
        <w:t>本</w:t>
      </w:r>
      <w:r>
        <w:rPr>
          <w:rFonts w:hint="eastAsia" w:ascii="宋体" w:hAnsi="宋体" w:eastAsia="宋体" w:cs="宋体"/>
          <w:color w:val="000000" w:themeColor="text1"/>
          <w:kern w:val="0"/>
          <w:sz w:val="24"/>
          <w:lang w:eastAsia="zh-CN" w:bidi="ar"/>
          <w14:textFill>
            <w14:solidFill>
              <w14:schemeClr w14:val="tx1"/>
            </w14:solidFill>
          </w14:textFill>
        </w:rPr>
        <w:t>条款适</w:t>
      </w:r>
      <w:r>
        <w:rPr>
          <w:rFonts w:hint="eastAsia" w:ascii="宋体" w:hAnsi="宋体" w:eastAsia="宋体" w:cs="宋体"/>
          <w:color w:val="000000" w:themeColor="text1"/>
          <w:kern w:val="0"/>
          <w:sz w:val="24"/>
          <w:lang w:bidi="ar"/>
          <w14:textFill>
            <w14:solidFill>
              <w14:schemeClr w14:val="tx1"/>
            </w14:solidFill>
          </w14:textFill>
        </w:rPr>
        <w:t>用于城市污水设施项目</w:t>
      </w:r>
      <w:r>
        <w:rPr>
          <w:rFonts w:hint="eastAsia" w:ascii="宋体" w:hAnsi="宋体" w:eastAsia="宋体" w:cs="宋体"/>
          <w:color w:val="000000" w:themeColor="text1"/>
          <w:kern w:val="0"/>
          <w:sz w:val="24"/>
          <w:lang w:eastAsia="zh-CN" w:bidi="ar"/>
          <w14:textFill>
            <w14:solidFill>
              <w14:schemeClr w14:val="tx1"/>
            </w14:solidFill>
          </w14:textFill>
        </w:rPr>
        <w:t>规划设计阶段、施工建造阶段</w:t>
      </w:r>
      <w:r>
        <w:rPr>
          <w:rFonts w:hint="eastAsia" w:ascii="宋体" w:hAnsi="宋体" w:eastAsia="宋体" w:cs="宋体"/>
          <w:color w:val="000000" w:themeColor="text1"/>
          <w:kern w:val="0"/>
          <w:sz w:val="24"/>
          <w:lang w:val="en-US" w:eastAsia="zh-CN" w:bidi="ar"/>
          <w14:textFill>
            <w14:solidFill>
              <w14:schemeClr w14:val="tx1"/>
            </w14:solidFill>
          </w14:textFill>
        </w:rPr>
        <w:t>和</w:t>
      </w:r>
      <w:r>
        <w:rPr>
          <w:rFonts w:hint="eastAsia" w:ascii="宋体" w:hAnsi="宋体" w:eastAsia="宋体" w:cs="宋体"/>
          <w:color w:val="000000" w:themeColor="text1"/>
          <w:kern w:val="0"/>
          <w:sz w:val="24"/>
          <w:lang w:bidi="ar"/>
          <w14:textFill>
            <w14:solidFill>
              <w14:schemeClr w14:val="tx1"/>
            </w14:solidFill>
          </w14:textFill>
        </w:rPr>
        <w:t>运行阶段的评价。</w:t>
      </w:r>
    </w:p>
    <w:p w14:paraId="55DB49F9">
      <w:pPr>
        <w:widowControl/>
        <w:snapToGrid w:val="0"/>
        <w:spacing w:line="360" w:lineRule="auto"/>
        <w:ind w:firstLine="480" w:firstLineChars="200"/>
        <w:jc w:val="left"/>
        <w:rPr>
          <w:rFonts w:ascii="宋体" w:hAnsi="宋体" w:eastAsia="宋体" w:cs="宋体"/>
          <w:color w:val="000000" w:themeColor="text1"/>
          <w:kern w:val="0"/>
          <w:sz w:val="24"/>
          <w:lang w:bidi="ar"/>
          <w14:textFill>
            <w14:solidFill>
              <w14:schemeClr w14:val="tx1"/>
            </w14:solidFill>
          </w14:textFill>
        </w:rPr>
      </w:pPr>
      <w:r>
        <w:rPr>
          <w:rFonts w:hint="eastAsia" w:ascii="宋体" w:hAnsi="宋体" w:eastAsia="宋体" w:cs="宋体"/>
          <w:color w:val="000000" w:themeColor="text1"/>
          <w:kern w:val="0"/>
          <w:sz w:val="24"/>
          <w:lang w:bidi="ar"/>
          <w14:textFill>
            <w14:solidFill>
              <w14:schemeClr w14:val="tx1"/>
            </w14:solidFill>
          </w14:textFill>
        </w:rPr>
        <w:t>精确曝气是通过在线仪表实时采集溶解氧、水量、气量和鼓风机压力、功率等信号，然后通过内置的智能化控制系统计算实时需氧量，再通过控制系统控制鼓风机、阀门的开度，动态调整供应气量，使其气水比接近理论气水比，做到按需供气。精确曝气可以使生物系统运行和出水水质更加稳定，同时比人工控制更加节能。目前，比较成熟的精确控制技术分为“前馈+模型+反馈”和“反馈调节+性能优越的硬件系统”两种。</w:t>
      </w:r>
    </w:p>
    <w:p w14:paraId="087DF748">
      <w:pPr>
        <w:widowControl/>
        <w:snapToGrid w:val="0"/>
        <w:spacing w:line="360" w:lineRule="auto"/>
        <w:ind w:firstLine="480" w:firstLineChars="200"/>
        <w:jc w:val="left"/>
        <w:rPr>
          <w:rFonts w:ascii="宋体" w:hAnsi="宋体" w:eastAsia="宋体" w:cs="宋体"/>
          <w:color w:val="000000" w:themeColor="text1"/>
          <w:kern w:val="0"/>
          <w:sz w:val="24"/>
          <w:lang w:bidi="ar"/>
          <w14:textFill>
            <w14:solidFill>
              <w14:schemeClr w14:val="tx1"/>
            </w14:solidFill>
          </w14:textFill>
        </w:rPr>
      </w:pPr>
      <w:r>
        <w:rPr>
          <w:rFonts w:hint="eastAsia" w:ascii="宋体" w:hAnsi="宋体" w:eastAsia="宋体" w:cs="宋体"/>
          <w:color w:val="000000" w:themeColor="text1"/>
          <w:kern w:val="0"/>
          <w:sz w:val="24"/>
          <w:lang w:bidi="ar"/>
          <w14:textFill>
            <w14:solidFill>
              <w14:schemeClr w14:val="tx1"/>
            </w14:solidFill>
          </w14:textFill>
        </w:rPr>
        <w:t>考量内容：（1）</w:t>
      </w:r>
      <w:r>
        <w:rPr>
          <w:rFonts w:hint="eastAsia" w:ascii="宋体" w:hAnsi="宋体" w:eastAsia="宋体" w:cs="宋体"/>
          <w:color w:val="000000" w:themeColor="text1"/>
          <w:kern w:val="0"/>
          <w:sz w:val="24"/>
          <w:lang w:eastAsia="zh-CN" w:bidi="ar"/>
          <w14:textFill>
            <w14:solidFill>
              <w14:schemeClr w14:val="tx1"/>
            </w14:solidFill>
          </w14:textFill>
        </w:rPr>
        <w:t>规划设计</w:t>
      </w:r>
      <w:r>
        <w:rPr>
          <w:rFonts w:hint="eastAsia" w:ascii="宋体" w:hAnsi="宋体" w:eastAsia="宋体" w:cs="宋体"/>
          <w:color w:val="000000" w:themeColor="text1"/>
          <w:kern w:val="0"/>
          <w:sz w:val="24"/>
          <w:lang w:bidi="ar"/>
          <w14:textFill>
            <w14:solidFill>
              <w14:schemeClr w14:val="tx1"/>
            </w14:solidFill>
          </w14:textFill>
        </w:rPr>
        <w:t>文件；（2）节能设备购销合同</w:t>
      </w:r>
      <w:r>
        <w:rPr>
          <w:rFonts w:hint="eastAsia" w:ascii="宋体" w:hAnsi="宋体" w:eastAsia="宋体" w:cs="宋体"/>
          <w:color w:val="000000" w:themeColor="text1"/>
          <w:kern w:val="0"/>
          <w:sz w:val="24"/>
          <w:lang w:val="en-US" w:eastAsia="zh-CN" w:bidi="ar"/>
          <w14:textFill>
            <w14:solidFill>
              <w14:schemeClr w14:val="tx1"/>
            </w14:solidFill>
          </w14:textFill>
        </w:rPr>
        <w:t>；（3）控制策略</w:t>
      </w:r>
      <w:r>
        <w:rPr>
          <w:rFonts w:hint="eastAsia" w:ascii="宋体" w:hAnsi="宋体" w:eastAsia="宋体" w:cs="宋体"/>
          <w:color w:val="000000" w:themeColor="text1"/>
          <w:kern w:val="0"/>
          <w:sz w:val="24"/>
          <w:lang w:bidi="ar"/>
          <w14:textFill>
            <w14:solidFill>
              <w14:schemeClr w14:val="tx1"/>
            </w14:solidFill>
          </w14:textFill>
        </w:rPr>
        <w:t>记录</w:t>
      </w:r>
      <w:r>
        <w:rPr>
          <w:rFonts w:hint="eastAsia" w:ascii="宋体" w:hAnsi="宋体" w:eastAsia="宋体" w:cs="宋体"/>
          <w:color w:val="000000" w:themeColor="text1"/>
          <w:kern w:val="0"/>
          <w:sz w:val="24"/>
          <w:lang w:eastAsia="zh-CN" w:bidi="ar"/>
          <w14:textFill>
            <w14:solidFill>
              <w14:schemeClr w14:val="tx1"/>
            </w14:solidFill>
          </w14:textFill>
        </w:rPr>
        <w:t>、</w:t>
      </w:r>
      <w:r>
        <w:rPr>
          <w:rFonts w:hint="eastAsia" w:ascii="宋体" w:hAnsi="宋体" w:eastAsia="宋体" w:cs="宋体"/>
          <w:color w:val="000000" w:themeColor="text1"/>
          <w:kern w:val="0"/>
          <w:sz w:val="24"/>
          <w:lang w:val="en-US" w:eastAsia="zh-CN" w:bidi="ar"/>
          <w14:textFill>
            <w14:solidFill>
              <w14:schemeClr w14:val="tx1"/>
            </w14:solidFill>
          </w14:textFill>
        </w:rPr>
        <w:t>运行记录；（4）考察</w:t>
      </w:r>
      <w:r>
        <w:rPr>
          <w:rFonts w:hint="eastAsia" w:ascii="宋体" w:hAnsi="宋体" w:eastAsia="宋体" w:cs="宋体"/>
          <w:color w:val="000000" w:themeColor="text1"/>
          <w:kern w:val="0"/>
          <w:sz w:val="24"/>
          <w:lang w:bidi="ar"/>
          <w14:textFill>
            <w14:solidFill>
              <w14:schemeClr w14:val="tx1"/>
            </w14:solidFill>
          </w14:textFill>
        </w:rPr>
        <w:t>节能系统和设备的使用情况、精确控制技术、节能效果</w:t>
      </w:r>
      <w:r>
        <w:rPr>
          <w:rFonts w:hint="eastAsia" w:ascii="宋体" w:hAnsi="宋体" w:eastAsia="宋体" w:cs="宋体"/>
          <w:color w:val="000000" w:themeColor="text1"/>
          <w:kern w:val="0"/>
          <w:sz w:val="24"/>
          <w:lang w:val="en-US" w:eastAsia="zh-CN" w:bidi="ar"/>
          <w14:textFill>
            <w14:solidFill>
              <w14:schemeClr w14:val="tx1"/>
            </w14:solidFill>
          </w14:textFill>
        </w:rPr>
        <w:t>评价</w:t>
      </w:r>
      <w:r>
        <w:rPr>
          <w:rFonts w:hint="eastAsia" w:ascii="宋体" w:hAnsi="宋体" w:eastAsia="宋体" w:cs="宋体"/>
          <w:color w:val="000000" w:themeColor="text1"/>
          <w:kern w:val="0"/>
          <w:sz w:val="24"/>
          <w:lang w:bidi="ar"/>
          <w14:textFill>
            <w14:solidFill>
              <w14:schemeClr w14:val="tx1"/>
            </w14:solidFill>
          </w14:textFill>
        </w:rPr>
        <w:t>。</w:t>
      </w:r>
    </w:p>
    <w:p w14:paraId="2649DBA2">
      <w:pPr>
        <w:snapToGrid w:val="0"/>
        <w:spacing w:line="360" w:lineRule="auto"/>
        <w:jc w:val="left"/>
        <w:rPr>
          <w:rFonts w:ascii="宋体" w:hAnsi="宋体" w:eastAsia="宋体" w:cs="宋体"/>
          <w:color w:val="000000" w:themeColor="text1"/>
          <w:kern w:val="0"/>
          <w:sz w:val="24"/>
          <w:lang w:bidi="ar"/>
          <w14:textFill>
            <w14:solidFill>
              <w14:schemeClr w14:val="tx1"/>
            </w14:solidFill>
          </w14:textFill>
        </w:rPr>
      </w:pPr>
      <w:r>
        <w:rPr>
          <w:rFonts w:hint="eastAsia" w:ascii="宋体" w:hAnsi="宋体" w:cs="宋体"/>
          <w:color w:val="000000" w:themeColor="text1"/>
          <w:sz w:val="24"/>
          <w:lang w:eastAsia="zh-CN"/>
          <w14:textFill>
            <w14:solidFill>
              <w14:schemeClr w14:val="tx1"/>
            </w14:solidFill>
          </w14:textFill>
        </w:rPr>
        <w:t>B.4</w:t>
      </w:r>
      <w:r>
        <w:rPr>
          <w:rFonts w:hint="eastAsia" w:ascii="宋体" w:hAnsi="宋体" w:eastAsia="宋体" w:cs="宋体"/>
          <w:color w:val="000000" w:themeColor="text1"/>
          <w:sz w:val="24"/>
          <w14:textFill>
            <w14:solidFill>
              <w14:schemeClr w14:val="tx1"/>
            </w14:solidFill>
          </w14:textFill>
        </w:rPr>
        <w:t>.</w:t>
      </w:r>
      <w:r>
        <w:rPr>
          <w:rFonts w:hint="eastAsia" w:ascii="宋体" w:hAnsi="宋体" w:cs="宋体"/>
          <w:color w:val="000000" w:themeColor="text1"/>
          <w:sz w:val="24"/>
          <w:lang w:val="en-US" w:eastAsia="zh-CN"/>
          <w14:textFill>
            <w14:solidFill>
              <w14:schemeClr w14:val="tx1"/>
            </w14:solidFill>
          </w14:textFill>
        </w:rPr>
        <w:t>6</w:t>
      </w:r>
      <w:r>
        <w:rPr>
          <w:rFonts w:hint="eastAsia" w:ascii="宋体" w:hAnsi="宋体" w:eastAsia="宋体" w:cs="宋体"/>
          <w:color w:val="000000" w:themeColor="text1"/>
          <w:kern w:val="0"/>
          <w:sz w:val="24"/>
          <w:lang w:bidi="ar"/>
          <w14:textFill>
            <w14:solidFill>
              <w14:schemeClr w14:val="tx1"/>
            </w14:solidFill>
          </w14:textFill>
        </w:rPr>
        <w:t>本</w:t>
      </w:r>
      <w:r>
        <w:rPr>
          <w:rFonts w:hint="eastAsia" w:ascii="宋体" w:hAnsi="宋体" w:eastAsia="宋体" w:cs="宋体"/>
          <w:color w:val="000000" w:themeColor="text1"/>
          <w:kern w:val="0"/>
          <w:sz w:val="24"/>
          <w:lang w:eastAsia="zh-CN" w:bidi="ar"/>
          <w14:textFill>
            <w14:solidFill>
              <w14:schemeClr w14:val="tx1"/>
            </w14:solidFill>
          </w14:textFill>
        </w:rPr>
        <w:t>条款适</w:t>
      </w:r>
      <w:r>
        <w:rPr>
          <w:rFonts w:hint="eastAsia" w:ascii="宋体" w:hAnsi="宋体" w:eastAsia="宋体" w:cs="宋体"/>
          <w:color w:val="000000" w:themeColor="text1"/>
          <w:kern w:val="0"/>
          <w:sz w:val="24"/>
          <w:lang w:bidi="ar"/>
          <w14:textFill>
            <w14:solidFill>
              <w14:schemeClr w14:val="tx1"/>
            </w14:solidFill>
          </w14:textFill>
        </w:rPr>
        <w:t>用于城市污水、垃圾处理设施项目</w:t>
      </w:r>
      <w:r>
        <w:rPr>
          <w:rFonts w:hint="eastAsia" w:ascii="宋体" w:hAnsi="宋体" w:eastAsia="宋体" w:cs="宋体"/>
          <w:color w:val="000000" w:themeColor="text1"/>
          <w:kern w:val="0"/>
          <w:sz w:val="24"/>
          <w:lang w:val="en-US" w:eastAsia="zh-CN" w:bidi="ar"/>
          <w14:textFill>
            <w14:solidFill>
              <w14:schemeClr w14:val="tx1"/>
            </w14:solidFill>
          </w14:textFill>
        </w:rPr>
        <w:t>规划</w:t>
      </w:r>
      <w:r>
        <w:rPr>
          <w:rFonts w:hint="eastAsia" w:ascii="宋体" w:hAnsi="宋体" w:eastAsia="宋体" w:cs="宋体"/>
          <w:color w:val="000000" w:themeColor="text1"/>
          <w:kern w:val="0"/>
          <w:sz w:val="24"/>
          <w:lang w:bidi="ar"/>
          <w14:textFill>
            <w14:solidFill>
              <w14:schemeClr w14:val="tx1"/>
            </w14:solidFill>
          </w14:textFill>
        </w:rPr>
        <w:t>设计阶段的评价。</w:t>
      </w:r>
    </w:p>
    <w:p w14:paraId="5DCC300D">
      <w:pPr>
        <w:widowControl/>
        <w:snapToGrid w:val="0"/>
        <w:spacing w:line="360" w:lineRule="auto"/>
        <w:ind w:firstLine="480" w:firstLineChars="200"/>
        <w:jc w:val="left"/>
        <w:rPr>
          <w:rFonts w:hint="eastAsia" w:ascii="宋体" w:hAnsi="宋体" w:eastAsia="宋体" w:cs="宋体"/>
          <w:color w:val="000000" w:themeColor="text1"/>
          <w:kern w:val="0"/>
          <w:sz w:val="24"/>
          <w:lang w:bidi="ar"/>
          <w14:textFill>
            <w14:solidFill>
              <w14:schemeClr w14:val="tx1"/>
            </w14:solidFill>
          </w14:textFill>
        </w:rPr>
      </w:pPr>
      <w:r>
        <w:rPr>
          <w:rFonts w:hint="eastAsia" w:ascii="宋体" w:hAnsi="宋体" w:eastAsia="宋体" w:cs="宋体"/>
          <w:color w:val="000000" w:themeColor="text1"/>
          <w:kern w:val="0"/>
          <w:sz w:val="24"/>
          <w:lang w:bidi="ar"/>
          <w14:textFill>
            <w14:solidFill>
              <w14:schemeClr w14:val="tx1"/>
            </w14:solidFill>
          </w14:textFill>
        </w:rPr>
        <w:t>通过热电联产技术</w:t>
      </w:r>
      <w:r>
        <w:rPr>
          <w:rFonts w:hint="eastAsia" w:ascii="宋体" w:hAnsi="宋体" w:eastAsia="宋体" w:cs="宋体"/>
          <w:color w:val="000000" w:themeColor="text1"/>
          <w:kern w:val="0"/>
          <w:sz w:val="24"/>
          <w:lang w:eastAsia="zh-CN" w:bidi="ar"/>
          <w14:textFill>
            <w14:solidFill>
              <w14:schemeClr w14:val="tx1"/>
            </w14:solidFill>
          </w14:textFill>
        </w:rPr>
        <w:t>，</w:t>
      </w:r>
      <w:r>
        <w:rPr>
          <w:rFonts w:hint="eastAsia" w:ascii="宋体" w:hAnsi="宋体" w:eastAsia="宋体" w:cs="宋体"/>
          <w:color w:val="000000" w:themeColor="text1"/>
          <w:kern w:val="0"/>
          <w:sz w:val="24"/>
          <w:lang w:val="en-US" w:eastAsia="zh-CN" w:bidi="ar"/>
          <w14:textFill>
            <w14:solidFill>
              <w14:schemeClr w14:val="tx1"/>
            </w14:solidFill>
          </w14:textFill>
        </w:rPr>
        <w:t>将污泥厌氧发酵产生的</w:t>
      </w:r>
      <w:r>
        <w:rPr>
          <w:rFonts w:hint="eastAsia" w:ascii="宋体" w:hAnsi="宋体" w:eastAsia="宋体" w:cs="宋体"/>
          <w:color w:val="000000" w:themeColor="text1"/>
          <w:kern w:val="0"/>
          <w:sz w:val="24"/>
          <w:lang w:bidi="ar"/>
          <w14:textFill>
            <w14:solidFill>
              <w14:schemeClr w14:val="tx1"/>
            </w14:solidFill>
          </w14:textFill>
        </w:rPr>
        <w:t>沼气</w:t>
      </w:r>
      <w:r>
        <w:rPr>
          <w:rFonts w:hint="eastAsia" w:ascii="宋体" w:hAnsi="宋体" w:eastAsia="宋体" w:cs="宋体"/>
          <w:color w:val="000000" w:themeColor="text1"/>
          <w:kern w:val="0"/>
          <w:sz w:val="24"/>
          <w:lang w:val="en-US" w:eastAsia="zh-CN" w:bidi="ar"/>
          <w14:textFill>
            <w14:solidFill>
              <w14:schemeClr w14:val="tx1"/>
            </w14:solidFill>
          </w14:textFill>
        </w:rPr>
        <w:t>用于供热</w:t>
      </w:r>
      <w:r>
        <w:rPr>
          <w:rFonts w:hint="eastAsia" w:ascii="宋体" w:hAnsi="宋体" w:eastAsia="宋体" w:cs="宋体"/>
          <w:color w:val="000000" w:themeColor="text1"/>
          <w:kern w:val="0"/>
          <w:sz w:val="24"/>
          <w:lang w:bidi="ar"/>
          <w14:textFill>
            <w14:solidFill>
              <w14:schemeClr w14:val="tx1"/>
            </w14:solidFill>
          </w14:textFill>
        </w:rPr>
        <w:t>和发电，可实现厂区能量自给。污水中热能利用潜力巨大，可采用水源热泵技术回收利用。对于垃圾热能的利用，</w:t>
      </w:r>
      <w:r>
        <w:rPr>
          <w:rFonts w:hint="eastAsia" w:ascii="宋体" w:hAnsi="宋体" w:eastAsia="宋体" w:cs="宋体"/>
          <w:color w:val="000000" w:themeColor="text1"/>
          <w:kern w:val="0"/>
          <w:sz w:val="24"/>
          <w:lang w:val="en-US" w:eastAsia="zh-CN" w:bidi="ar"/>
          <w14:textFill>
            <w14:solidFill>
              <w14:schemeClr w14:val="tx1"/>
            </w14:solidFill>
          </w14:textFill>
        </w:rPr>
        <w:t>可</w:t>
      </w:r>
      <w:r>
        <w:rPr>
          <w:rFonts w:hint="eastAsia" w:ascii="宋体" w:hAnsi="宋体" w:eastAsia="宋体" w:cs="宋体"/>
          <w:color w:val="000000" w:themeColor="text1"/>
          <w:kern w:val="0"/>
          <w:sz w:val="24"/>
          <w:lang w:bidi="ar"/>
          <w14:textFill>
            <w14:solidFill>
              <w14:schemeClr w14:val="tx1"/>
            </w14:solidFill>
          </w14:textFill>
        </w:rPr>
        <w:t>采用热电联产方式。</w:t>
      </w:r>
    </w:p>
    <w:p w14:paraId="5BF8A2AC">
      <w:pPr>
        <w:widowControl/>
        <w:snapToGrid w:val="0"/>
        <w:spacing w:line="360" w:lineRule="auto"/>
        <w:ind w:firstLine="480" w:firstLineChars="200"/>
        <w:jc w:val="left"/>
        <w:rPr>
          <w:rFonts w:ascii="宋体" w:hAnsi="宋体" w:eastAsia="宋体" w:cs="宋体"/>
          <w:color w:val="000000" w:themeColor="text1"/>
          <w:kern w:val="0"/>
          <w:sz w:val="24"/>
          <w:lang w:bidi="ar"/>
          <w14:textFill>
            <w14:solidFill>
              <w14:schemeClr w14:val="tx1"/>
            </w14:solidFill>
          </w14:textFill>
        </w:rPr>
      </w:pPr>
      <w:r>
        <w:rPr>
          <w:rFonts w:hint="eastAsia" w:ascii="宋体" w:hAnsi="宋体" w:eastAsia="宋体" w:cs="宋体"/>
          <w:color w:val="000000" w:themeColor="text1"/>
          <w:kern w:val="0"/>
          <w:sz w:val="24"/>
          <w:lang w:bidi="ar"/>
          <w14:textFill>
            <w14:solidFill>
              <w14:schemeClr w14:val="tx1"/>
            </w14:solidFill>
          </w14:textFill>
        </w:rPr>
        <w:t>考量内容：（1）能源专项</w:t>
      </w:r>
      <w:r>
        <w:rPr>
          <w:rFonts w:hint="eastAsia" w:ascii="宋体" w:hAnsi="宋体" w:eastAsia="宋体" w:cs="宋体"/>
          <w:color w:val="000000" w:themeColor="text1"/>
          <w:kern w:val="0"/>
          <w:sz w:val="24"/>
          <w:lang w:val="en-US" w:eastAsia="zh-CN" w:bidi="ar"/>
          <w14:textFill>
            <w14:solidFill>
              <w14:schemeClr w14:val="tx1"/>
            </w14:solidFill>
          </w14:textFill>
        </w:rPr>
        <w:t>方案分析报告；（2）规划</w:t>
      </w:r>
      <w:r>
        <w:rPr>
          <w:rFonts w:hint="eastAsia" w:ascii="宋体" w:hAnsi="宋体" w:eastAsia="宋体" w:cs="宋体"/>
          <w:color w:val="000000" w:themeColor="text1"/>
          <w:kern w:val="0"/>
          <w:sz w:val="24"/>
          <w:lang w:bidi="ar"/>
          <w14:textFill>
            <w14:solidFill>
              <w14:schemeClr w14:val="tx1"/>
            </w14:solidFill>
          </w14:textFill>
        </w:rPr>
        <w:t>设计文件。</w:t>
      </w:r>
    </w:p>
    <w:p w14:paraId="3038865C">
      <w:pPr>
        <w:snapToGrid w:val="0"/>
        <w:spacing w:line="360" w:lineRule="auto"/>
        <w:jc w:val="left"/>
        <w:rPr>
          <w:rFonts w:ascii="宋体" w:hAnsi="宋体" w:eastAsia="宋体" w:cs="宋体"/>
          <w:color w:val="000000" w:themeColor="text1"/>
          <w:kern w:val="0"/>
          <w:sz w:val="24"/>
          <w:lang w:bidi="ar"/>
          <w14:textFill>
            <w14:solidFill>
              <w14:schemeClr w14:val="tx1"/>
            </w14:solidFill>
          </w14:textFill>
        </w:rPr>
      </w:pPr>
      <w:r>
        <w:rPr>
          <w:rFonts w:hint="eastAsia" w:ascii="宋体" w:hAnsi="宋体" w:cs="宋体"/>
          <w:color w:val="000000" w:themeColor="text1"/>
          <w:sz w:val="24"/>
          <w:lang w:eastAsia="zh-CN"/>
          <w14:textFill>
            <w14:solidFill>
              <w14:schemeClr w14:val="tx1"/>
            </w14:solidFill>
          </w14:textFill>
        </w:rPr>
        <w:t>B.4</w:t>
      </w:r>
      <w:r>
        <w:rPr>
          <w:rFonts w:hint="eastAsia" w:ascii="宋体" w:hAnsi="宋体" w:eastAsia="宋体" w:cs="宋体"/>
          <w:color w:val="000000" w:themeColor="text1"/>
          <w:sz w:val="24"/>
          <w14:textFill>
            <w14:solidFill>
              <w14:schemeClr w14:val="tx1"/>
            </w14:solidFill>
          </w14:textFill>
        </w:rPr>
        <w:t>.</w:t>
      </w:r>
      <w:r>
        <w:rPr>
          <w:rFonts w:hint="eastAsia" w:ascii="宋体" w:hAnsi="宋体" w:cs="宋体"/>
          <w:color w:val="000000" w:themeColor="text1"/>
          <w:sz w:val="24"/>
          <w:lang w:val="en-US" w:eastAsia="zh-CN"/>
          <w14:textFill>
            <w14:solidFill>
              <w14:schemeClr w14:val="tx1"/>
            </w14:solidFill>
          </w14:textFill>
        </w:rPr>
        <w:t>7</w:t>
      </w:r>
      <w:r>
        <w:rPr>
          <w:rFonts w:hint="eastAsia" w:ascii="宋体" w:hAnsi="宋体" w:eastAsia="宋体" w:cs="宋体"/>
          <w:color w:val="000000" w:themeColor="text1"/>
          <w:kern w:val="0"/>
          <w:sz w:val="24"/>
          <w:lang w:bidi="ar"/>
          <w14:textFill>
            <w14:solidFill>
              <w14:schemeClr w14:val="tx1"/>
            </w14:solidFill>
          </w14:textFill>
        </w:rPr>
        <w:t>本</w:t>
      </w:r>
      <w:r>
        <w:rPr>
          <w:rFonts w:hint="eastAsia" w:ascii="宋体" w:hAnsi="宋体" w:eastAsia="宋体" w:cs="宋体"/>
          <w:color w:val="000000" w:themeColor="text1"/>
          <w:kern w:val="0"/>
          <w:sz w:val="24"/>
          <w:lang w:eastAsia="zh-CN" w:bidi="ar"/>
          <w14:textFill>
            <w14:solidFill>
              <w14:schemeClr w14:val="tx1"/>
            </w14:solidFill>
          </w14:textFill>
        </w:rPr>
        <w:t>条款适</w:t>
      </w:r>
      <w:r>
        <w:rPr>
          <w:rFonts w:hint="eastAsia" w:ascii="宋体" w:hAnsi="宋体" w:eastAsia="宋体" w:cs="宋体"/>
          <w:color w:val="000000" w:themeColor="text1"/>
          <w:kern w:val="0"/>
          <w:sz w:val="24"/>
          <w:lang w:bidi="ar"/>
          <w14:textFill>
            <w14:solidFill>
              <w14:schemeClr w14:val="tx1"/>
            </w14:solidFill>
          </w14:textFill>
        </w:rPr>
        <w:t>用于城市污水、垃圾处理设施项目</w:t>
      </w:r>
      <w:r>
        <w:rPr>
          <w:rFonts w:hint="eastAsia" w:ascii="宋体" w:hAnsi="宋体" w:eastAsia="宋体" w:cs="宋体"/>
          <w:color w:val="000000" w:themeColor="text1"/>
          <w:kern w:val="0"/>
          <w:sz w:val="24"/>
          <w:lang w:eastAsia="zh-CN" w:bidi="ar"/>
          <w14:textFill>
            <w14:solidFill>
              <w14:schemeClr w14:val="tx1"/>
            </w14:solidFill>
          </w14:textFill>
        </w:rPr>
        <w:t>规划设计阶段</w:t>
      </w:r>
      <w:r>
        <w:rPr>
          <w:rFonts w:hint="eastAsia" w:ascii="宋体" w:hAnsi="宋体" w:eastAsia="宋体" w:cs="宋体"/>
          <w:color w:val="000000" w:themeColor="text1"/>
          <w:kern w:val="0"/>
          <w:sz w:val="24"/>
          <w:lang w:val="en-US" w:eastAsia="zh-CN" w:bidi="ar"/>
          <w14:textFill>
            <w14:solidFill>
              <w14:schemeClr w14:val="tx1"/>
            </w14:solidFill>
          </w14:textFill>
        </w:rPr>
        <w:t>的</w:t>
      </w:r>
      <w:r>
        <w:rPr>
          <w:rFonts w:hint="eastAsia" w:ascii="宋体" w:hAnsi="宋体" w:eastAsia="宋体" w:cs="宋体"/>
          <w:color w:val="000000" w:themeColor="text1"/>
          <w:kern w:val="0"/>
          <w:sz w:val="24"/>
          <w:lang w:bidi="ar"/>
          <w14:textFill>
            <w14:solidFill>
              <w14:schemeClr w14:val="tx1"/>
            </w14:solidFill>
          </w14:textFill>
        </w:rPr>
        <w:t>评价。</w:t>
      </w:r>
    </w:p>
    <w:p w14:paraId="21AF5BE2">
      <w:pPr>
        <w:widowControl/>
        <w:snapToGrid w:val="0"/>
        <w:spacing w:line="360" w:lineRule="auto"/>
        <w:ind w:firstLine="480" w:firstLineChars="200"/>
        <w:jc w:val="left"/>
        <w:rPr>
          <w:rFonts w:ascii="宋体" w:hAnsi="宋体" w:eastAsia="宋体" w:cs="宋体"/>
          <w:color w:val="000000" w:themeColor="text1"/>
          <w:kern w:val="0"/>
          <w:sz w:val="24"/>
          <w:lang w:bidi="ar"/>
          <w14:textFill>
            <w14:solidFill>
              <w14:schemeClr w14:val="tx1"/>
            </w14:solidFill>
          </w14:textFill>
        </w:rPr>
      </w:pPr>
      <w:r>
        <w:rPr>
          <w:rFonts w:hint="eastAsia" w:ascii="宋体" w:hAnsi="宋体" w:eastAsia="宋体" w:cs="宋体"/>
          <w:color w:val="000000" w:themeColor="text1"/>
          <w:kern w:val="0"/>
          <w:sz w:val="24"/>
          <w:lang w:bidi="ar"/>
          <w14:textFill>
            <w14:solidFill>
              <w14:schemeClr w14:val="tx1"/>
            </w14:solidFill>
          </w14:textFill>
        </w:rPr>
        <w:t>污水、垃圾处理设施使用场景具有腐蚀性</w:t>
      </w:r>
      <w:r>
        <w:rPr>
          <w:rFonts w:hint="eastAsia" w:ascii="宋体" w:hAnsi="宋体" w:eastAsia="宋体" w:cs="宋体"/>
          <w:color w:val="000000" w:themeColor="text1"/>
          <w:kern w:val="0"/>
          <w:sz w:val="24"/>
          <w:lang w:val="en-US" w:eastAsia="zh-CN" w:bidi="ar"/>
          <w14:textFill>
            <w14:solidFill>
              <w14:schemeClr w14:val="tx1"/>
            </w14:solidFill>
          </w14:textFill>
        </w:rPr>
        <w:t>强</w:t>
      </w:r>
      <w:r>
        <w:rPr>
          <w:rFonts w:hint="eastAsia" w:ascii="宋体" w:hAnsi="宋体" w:eastAsia="宋体" w:cs="宋体"/>
          <w:color w:val="000000" w:themeColor="text1"/>
          <w:kern w:val="0"/>
          <w:sz w:val="24"/>
          <w:lang w:bidi="ar"/>
          <w14:textFill>
            <w14:solidFill>
              <w14:schemeClr w14:val="tx1"/>
            </w14:solidFill>
          </w14:textFill>
        </w:rPr>
        <w:t>且</w:t>
      </w:r>
      <w:r>
        <w:rPr>
          <w:rFonts w:hint="eastAsia" w:ascii="宋体" w:hAnsi="宋体" w:eastAsia="宋体" w:cs="宋体"/>
          <w:color w:val="000000" w:themeColor="text1"/>
          <w:kern w:val="0"/>
          <w:sz w:val="24"/>
          <w:lang w:val="en-US" w:eastAsia="zh-CN" w:bidi="ar"/>
          <w14:textFill>
            <w14:solidFill>
              <w14:schemeClr w14:val="tx1"/>
            </w14:solidFill>
          </w14:textFill>
        </w:rPr>
        <w:t>要求</w:t>
      </w:r>
      <w:r>
        <w:rPr>
          <w:rFonts w:hint="eastAsia" w:ascii="宋体" w:hAnsi="宋体" w:eastAsia="宋体" w:cs="宋体"/>
          <w:color w:val="000000" w:themeColor="text1"/>
          <w:kern w:val="0"/>
          <w:sz w:val="24"/>
          <w:lang w:bidi="ar"/>
          <w14:textFill>
            <w14:solidFill>
              <w14:schemeClr w14:val="tx1"/>
            </w14:solidFill>
          </w14:textFill>
        </w:rPr>
        <w:t>使用寿命较长</w:t>
      </w:r>
      <w:r>
        <w:rPr>
          <w:rFonts w:hint="eastAsia" w:ascii="宋体" w:hAnsi="宋体" w:eastAsia="宋体" w:cs="宋体"/>
          <w:color w:val="000000" w:themeColor="text1"/>
          <w:kern w:val="0"/>
          <w:sz w:val="24"/>
          <w:lang w:val="en-US" w:eastAsia="zh-CN" w:bidi="ar"/>
          <w14:textFill>
            <w14:solidFill>
              <w14:schemeClr w14:val="tx1"/>
            </w14:solidFill>
          </w14:textFill>
        </w:rPr>
        <w:t>的特点</w:t>
      </w:r>
      <w:r>
        <w:rPr>
          <w:rFonts w:hint="eastAsia" w:ascii="宋体" w:hAnsi="宋体" w:eastAsia="宋体" w:cs="宋体"/>
          <w:color w:val="000000" w:themeColor="text1"/>
          <w:kern w:val="0"/>
          <w:sz w:val="24"/>
          <w:lang w:bidi="ar"/>
          <w14:textFill>
            <w14:solidFill>
              <w14:schemeClr w14:val="tx1"/>
            </w14:solidFill>
          </w14:textFill>
        </w:rPr>
        <w:t>，应选用耐用性和抗腐蚀性的材料，如不锈钢和高密度聚乙烯管道、玻璃钢化粪池和储液罐、防渗耐腐蚀混凝土等。</w:t>
      </w:r>
    </w:p>
    <w:p w14:paraId="60101B7E">
      <w:pPr>
        <w:widowControl/>
        <w:snapToGrid w:val="0"/>
        <w:spacing w:line="360" w:lineRule="auto"/>
        <w:ind w:firstLine="480" w:firstLineChars="200"/>
        <w:jc w:val="left"/>
        <w:rPr>
          <w:rFonts w:hint="eastAsia" w:ascii="宋体" w:hAnsi="宋体" w:eastAsia="宋体" w:cs="宋体"/>
          <w:color w:val="000000" w:themeColor="text1"/>
          <w:kern w:val="0"/>
          <w:sz w:val="24"/>
          <w:lang w:val="en-US" w:eastAsia="zh-CN" w:bidi="ar"/>
          <w14:textFill>
            <w14:solidFill>
              <w14:schemeClr w14:val="tx1"/>
            </w14:solidFill>
          </w14:textFill>
        </w:rPr>
      </w:pPr>
      <w:r>
        <w:rPr>
          <w:rFonts w:hint="eastAsia" w:ascii="宋体" w:hAnsi="宋体" w:eastAsia="宋体" w:cs="宋体"/>
          <w:color w:val="000000" w:themeColor="text1"/>
          <w:kern w:val="0"/>
          <w:sz w:val="24"/>
          <w:lang w:bidi="ar"/>
          <w14:textFill>
            <w14:solidFill>
              <w14:schemeClr w14:val="tx1"/>
            </w14:solidFill>
          </w14:textFill>
        </w:rPr>
        <w:t>考量内容：</w:t>
      </w:r>
      <w:r>
        <w:rPr>
          <w:rFonts w:hint="eastAsia" w:ascii="宋体" w:hAnsi="宋体" w:eastAsia="宋体" w:cs="宋体"/>
          <w:color w:val="000000" w:themeColor="text1"/>
          <w:kern w:val="0"/>
          <w:sz w:val="24"/>
          <w:lang w:eastAsia="zh-CN" w:bidi="ar"/>
          <w14:textFill>
            <w14:solidFill>
              <w14:schemeClr w14:val="tx1"/>
            </w14:solidFill>
          </w14:textFill>
        </w:rPr>
        <w:t>（</w:t>
      </w:r>
      <w:r>
        <w:rPr>
          <w:rFonts w:hint="eastAsia" w:ascii="宋体" w:hAnsi="宋体" w:eastAsia="宋体" w:cs="宋体"/>
          <w:color w:val="000000" w:themeColor="text1"/>
          <w:kern w:val="0"/>
          <w:sz w:val="24"/>
          <w:lang w:val="en-US" w:eastAsia="zh-CN" w:bidi="ar"/>
          <w14:textFill>
            <w14:solidFill>
              <w14:schemeClr w14:val="tx1"/>
            </w14:solidFill>
          </w14:textFill>
        </w:rPr>
        <w:t>1</w:t>
      </w:r>
      <w:r>
        <w:rPr>
          <w:rFonts w:hint="eastAsia" w:ascii="宋体" w:hAnsi="宋体" w:eastAsia="宋体" w:cs="宋体"/>
          <w:color w:val="000000" w:themeColor="text1"/>
          <w:kern w:val="0"/>
          <w:sz w:val="24"/>
          <w:lang w:eastAsia="zh-CN" w:bidi="ar"/>
          <w14:textFill>
            <w14:solidFill>
              <w14:schemeClr w14:val="tx1"/>
            </w14:solidFill>
          </w14:textFill>
        </w:rPr>
        <w:t>）规划设计</w:t>
      </w:r>
      <w:r>
        <w:rPr>
          <w:rFonts w:hint="eastAsia" w:ascii="宋体" w:hAnsi="宋体" w:eastAsia="宋体" w:cs="宋体"/>
          <w:color w:val="000000" w:themeColor="text1"/>
          <w:kern w:val="0"/>
          <w:sz w:val="24"/>
          <w:lang w:bidi="ar"/>
          <w14:textFill>
            <w14:solidFill>
              <w14:schemeClr w14:val="tx1"/>
            </w14:solidFill>
          </w14:textFill>
        </w:rPr>
        <w:t>文件</w:t>
      </w:r>
      <w:r>
        <w:rPr>
          <w:rFonts w:hint="eastAsia" w:ascii="宋体" w:hAnsi="宋体" w:eastAsia="宋体" w:cs="宋体"/>
          <w:color w:val="000000" w:themeColor="text1"/>
          <w:kern w:val="0"/>
          <w:sz w:val="24"/>
          <w:lang w:eastAsia="zh-CN" w:bidi="ar"/>
          <w14:textFill>
            <w14:solidFill>
              <w14:schemeClr w14:val="tx1"/>
            </w14:solidFill>
          </w14:textFill>
        </w:rPr>
        <w:t>；（</w:t>
      </w:r>
      <w:r>
        <w:rPr>
          <w:rFonts w:hint="eastAsia" w:ascii="宋体" w:hAnsi="宋体" w:eastAsia="宋体" w:cs="宋体"/>
          <w:color w:val="000000" w:themeColor="text1"/>
          <w:kern w:val="0"/>
          <w:sz w:val="24"/>
          <w:lang w:val="en-US" w:eastAsia="zh-CN" w:bidi="ar"/>
          <w14:textFill>
            <w14:solidFill>
              <w14:schemeClr w14:val="tx1"/>
            </w14:solidFill>
          </w14:textFill>
        </w:rPr>
        <w:t>2</w:t>
      </w:r>
      <w:r>
        <w:rPr>
          <w:rFonts w:hint="eastAsia" w:ascii="宋体" w:hAnsi="宋体" w:eastAsia="宋体" w:cs="宋体"/>
          <w:color w:val="000000" w:themeColor="text1"/>
          <w:kern w:val="0"/>
          <w:sz w:val="24"/>
          <w:lang w:eastAsia="zh-CN" w:bidi="ar"/>
          <w14:textFill>
            <w14:solidFill>
              <w14:schemeClr w14:val="tx1"/>
            </w14:solidFill>
          </w14:textFill>
        </w:rPr>
        <w:t>）</w:t>
      </w:r>
      <w:r>
        <w:rPr>
          <w:rFonts w:hint="eastAsia" w:ascii="宋体" w:hAnsi="宋体" w:eastAsia="宋体" w:cs="宋体"/>
          <w:color w:val="000000" w:themeColor="text1"/>
          <w:kern w:val="0"/>
          <w:sz w:val="24"/>
          <w:lang w:val="en-US" w:eastAsia="zh-CN" w:bidi="ar"/>
          <w14:textFill>
            <w14:solidFill>
              <w14:schemeClr w14:val="tx1"/>
            </w14:solidFill>
          </w14:textFill>
        </w:rPr>
        <w:t>产品性能参数，材料检测</w:t>
      </w:r>
      <w:r>
        <w:rPr>
          <w:rFonts w:hint="eastAsia" w:ascii="宋体" w:hAnsi="宋体" w:eastAsia="宋体" w:cs="宋体"/>
          <w:color w:val="000000" w:themeColor="text1"/>
          <w:kern w:val="0"/>
          <w:sz w:val="24"/>
          <w:lang w:bidi="ar"/>
          <w14:textFill>
            <w14:solidFill>
              <w14:schemeClr w14:val="tx1"/>
            </w14:solidFill>
          </w14:textFill>
        </w:rPr>
        <w:t>报告等</w:t>
      </w:r>
      <w:r>
        <w:rPr>
          <w:rFonts w:hint="eastAsia" w:ascii="宋体" w:hAnsi="宋体" w:eastAsia="宋体" w:cs="宋体"/>
          <w:color w:val="000000" w:themeColor="text1"/>
          <w:kern w:val="0"/>
          <w:sz w:val="24"/>
          <w:lang w:eastAsia="zh-CN" w:bidi="ar"/>
          <w14:textFill>
            <w14:solidFill>
              <w14:schemeClr w14:val="tx1"/>
            </w14:solidFill>
          </w14:textFill>
        </w:rPr>
        <w:t>；</w:t>
      </w:r>
      <w:r>
        <w:rPr>
          <w:rFonts w:hint="eastAsia" w:ascii="宋体" w:hAnsi="宋体" w:eastAsia="宋体" w:cs="宋体"/>
          <w:color w:val="000000" w:themeColor="text1"/>
          <w:kern w:val="0"/>
          <w:sz w:val="24"/>
          <w:lang w:bidi="ar"/>
          <w14:textFill>
            <w14:solidFill>
              <w14:schemeClr w14:val="tx1"/>
            </w14:solidFill>
          </w14:textFill>
        </w:rPr>
        <w:t>（</w:t>
      </w:r>
      <w:r>
        <w:rPr>
          <w:rFonts w:hint="eastAsia" w:ascii="宋体" w:hAnsi="宋体" w:eastAsia="宋体" w:cs="宋体"/>
          <w:color w:val="000000" w:themeColor="text1"/>
          <w:kern w:val="0"/>
          <w:sz w:val="24"/>
          <w:lang w:val="en-US" w:eastAsia="zh-CN" w:bidi="ar"/>
          <w14:textFill>
            <w14:solidFill>
              <w14:schemeClr w14:val="tx1"/>
            </w14:solidFill>
          </w14:textFill>
        </w:rPr>
        <w:t>3</w:t>
      </w:r>
      <w:r>
        <w:rPr>
          <w:rFonts w:hint="eastAsia" w:ascii="宋体" w:hAnsi="宋体" w:eastAsia="宋体" w:cs="宋体"/>
          <w:color w:val="000000" w:themeColor="text1"/>
          <w:kern w:val="0"/>
          <w:sz w:val="24"/>
          <w:lang w:bidi="ar"/>
          <w14:textFill>
            <w14:solidFill>
              <w14:schemeClr w14:val="tx1"/>
            </w14:solidFill>
          </w14:textFill>
        </w:rPr>
        <w:t>）</w:t>
      </w:r>
      <w:r>
        <w:rPr>
          <w:rFonts w:hint="eastAsia" w:ascii="宋体" w:hAnsi="宋体" w:eastAsia="宋体" w:cs="宋体"/>
          <w:color w:val="000000" w:themeColor="text1"/>
          <w:kern w:val="0"/>
          <w:sz w:val="24"/>
          <w:lang w:val="en-US" w:eastAsia="zh-CN" w:bidi="ar"/>
          <w14:textFill>
            <w14:solidFill>
              <w14:schemeClr w14:val="tx1"/>
            </w14:solidFill>
          </w14:textFill>
        </w:rPr>
        <w:t>材料采购合同、材料使用清单台账。</w:t>
      </w:r>
    </w:p>
    <w:bookmarkEnd w:id="861"/>
    <w:bookmarkEnd w:id="862"/>
    <w:p w14:paraId="01043833">
      <w:pPr>
        <w:snapToGrid/>
        <w:spacing w:line="360" w:lineRule="auto"/>
        <w:jc w:val="center"/>
        <w:outlineLvl w:val="1"/>
        <w:rPr>
          <w:rFonts w:hint="eastAsia" w:ascii="黑体" w:hAnsi="黑体" w:eastAsia="黑体" w:cs="黑体"/>
          <w:b/>
          <w:bCs/>
          <w:color w:val="auto"/>
          <w:sz w:val="28"/>
          <w:szCs w:val="28"/>
        </w:rPr>
      </w:pPr>
      <w:bookmarkStart w:id="863" w:name="_Toc2898"/>
      <w:bookmarkStart w:id="864" w:name="_Toc18"/>
      <w:bookmarkStart w:id="865" w:name="_Toc2229"/>
      <w:bookmarkStart w:id="866" w:name="_Toc19857"/>
      <w:bookmarkStart w:id="867" w:name="_Toc30550"/>
      <w:bookmarkStart w:id="868" w:name="_Toc18355"/>
      <w:r>
        <w:rPr>
          <w:rFonts w:hint="eastAsia" w:ascii="黑体" w:hAnsi="黑体" w:eastAsia="黑体" w:cs="黑体"/>
          <w:b/>
          <w:bCs/>
          <w:color w:val="auto"/>
          <w:sz w:val="28"/>
          <w:szCs w:val="28"/>
        </w:rPr>
        <w:t>B</w:t>
      </w:r>
      <w:r>
        <w:rPr>
          <w:rFonts w:hint="eastAsia" w:ascii="黑体" w:hAnsi="黑体" w:eastAsia="黑体" w:cs="黑体"/>
          <w:b/>
          <w:bCs/>
          <w:color w:val="auto"/>
          <w:sz w:val="28"/>
          <w:szCs w:val="28"/>
          <w:lang w:val="en-US" w:eastAsia="zh-CN"/>
        </w:rPr>
        <w:t>.</w:t>
      </w:r>
      <w:r>
        <w:rPr>
          <w:rFonts w:hint="eastAsia" w:ascii="黑体" w:hAnsi="黑体" w:eastAsia="黑体" w:cs="黑体"/>
          <w:b/>
          <w:bCs/>
          <w:color w:val="auto"/>
          <w:sz w:val="28"/>
          <w:szCs w:val="28"/>
        </w:rPr>
        <w:t>5 城市生态修复与功能完善工程项目专项内容评价指标</w:t>
      </w:r>
      <w:bookmarkEnd w:id="863"/>
      <w:bookmarkEnd w:id="864"/>
      <w:bookmarkEnd w:id="865"/>
      <w:bookmarkEnd w:id="866"/>
      <w:bookmarkEnd w:id="867"/>
      <w:bookmarkEnd w:id="868"/>
    </w:p>
    <w:p w14:paraId="74A774F2">
      <w:pPr>
        <w:snapToGrid w:val="0"/>
        <w:spacing w:line="360" w:lineRule="auto"/>
        <w:jc w:val="left"/>
        <w:rPr>
          <w:rFonts w:hint="eastAsia" w:ascii="宋体" w:hAnsi="宋体" w:eastAsia="宋体" w:cs="宋体"/>
          <w:color w:val="000000" w:themeColor="text1"/>
          <w:sz w:val="24"/>
          <w14:textFill>
            <w14:solidFill>
              <w14:schemeClr w14:val="tx1"/>
            </w14:solidFill>
          </w14:textFill>
        </w:rPr>
      </w:pPr>
      <w:r>
        <w:rPr>
          <w:rFonts w:hint="eastAsia" w:ascii="宋体" w:hAnsi="宋体" w:cs="宋体"/>
          <w:color w:val="000000" w:themeColor="text1"/>
          <w:sz w:val="24"/>
          <w:lang w:eastAsia="zh-CN"/>
          <w14:textFill>
            <w14:solidFill>
              <w14:schemeClr w14:val="tx1"/>
            </w14:solidFill>
          </w14:textFill>
        </w:rPr>
        <w:t>B.5</w:t>
      </w:r>
      <w:r>
        <w:rPr>
          <w:rFonts w:hint="eastAsia" w:ascii="宋体" w:hAnsi="宋体" w:eastAsia="宋体" w:cs="宋体"/>
          <w:color w:val="000000" w:themeColor="text1"/>
          <w:sz w:val="24"/>
          <w14:textFill>
            <w14:solidFill>
              <w14:schemeClr w14:val="tx1"/>
            </w14:solidFill>
          </w14:textFill>
        </w:rPr>
        <w:t>.1本条款适用于城市生态修复与功能完善工程项目规划设计、施工建造和运行阶段的评价。</w:t>
      </w:r>
    </w:p>
    <w:p w14:paraId="5C13B77E">
      <w:pPr>
        <w:snapToGrid w:val="0"/>
        <w:spacing w:line="360" w:lineRule="auto"/>
        <w:ind w:firstLine="480" w:firstLineChars="200"/>
        <w:jc w:val="left"/>
        <w:rPr>
          <w:rFonts w:hint="default" w:ascii="宋体" w:hAnsi="宋体" w:eastAsia="宋体" w:cs="宋体"/>
          <w:color w:val="000000" w:themeColor="text1"/>
          <w:sz w:val="24"/>
          <w:lang w:val="en-US" w:eastAsia="zh-CN"/>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本标准所指城市生态修复与功能完善工程是指在生态学原理指导下，以生物修复为基础，结合各种物理修复、化学修复等手段，通过工程技术措施，修复受污染环境的工程项目。</w:t>
      </w:r>
      <w:r>
        <w:rPr>
          <w:rFonts w:hint="eastAsia" w:ascii="宋体" w:hAnsi="宋体" w:cs="宋体"/>
          <w:color w:val="000000" w:themeColor="text1"/>
          <w:sz w:val="24"/>
          <w:lang w:eastAsia="zh-CN"/>
          <w14:textFill>
            <w14:solidFill>
              <w14:schemeClr w14:val="tx1"/>
            </w14:solidFill>
          </w14:textFill>
        </w:rPr>
        <w:t>（</w:t>
      </w:r>
      <w:r>
        <w:rPr>
          <w:rFonts w:hint="eastAsia" w:ascii="宋体" w:hAnsi="宋体" w:cs="宋体"/>
          <w:color w:val="000000" w:themeColor="text1"/>
          <w:sz w:val="24"/>
          <w:lang w:val="en-US" w:eastAsia="zh-CN"/>
          <w14:textFill>
            <w14:solidFill>
              <w14:schemeClr w14:val="tx1"/>
            </w14:solidFill>
          </w14:textFill>
        </w:rPr>
        <w:t>下同）</w:t>
      </w:r>
    </w:p>
    <w:p w14:paraId="445AB26A">
      <w:pPr>
        <w:snapToGrid w:val="0"/>
        <w:spacing w:line="360" w:lineRule="auto"/>
        <w:ind w:firstLine="480" w:firstLineChars="200"/>
        <w:jc w:val="left"/>
        <w:rPr>
          <w:rFonts w:hint="eastAsia"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黑臭水体是指城市建成区内，呈现令人不悦的颜色和（或）散发令人不适气味的水体的统称”。《水污染防治行动计划》（国发〔2015〕17号）中提出控制性目标：“到2020年，地级及以上城市建成区黑臭水体均控制在10%以内，到2030年，城市建成区黑臭水体总体得到消除”</w:t>
      </w:r>
    </w:p>
    <w:p w14:paraId="36510F7D">
      <w:pPr>
        <w:snapToGrid w:val="0"/>
        <w:spacing w:line="360" w:lineRule="auto"/>
        <w:ind w:firstLine="480" w:firstLineChars="200"/>
        <w:jc w:val="left"/>
        <w:rPr>
          <w:rFonts w:hint="eastAsia"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依据地表水水域环境功能和保护目标，按功能高低依次划分为五类；Ⅰ类主要适用于源头水、国家自然保护区；Ⅱ类主要适用于集中式生活饮用水地表水源地一级保护区、珍稀水生生物栖息地、鱼虾类产卵场、仔稚幼鱼的索饵场等；Ⅲ类主要适用于集中式生活饮用水地表水源地二级保护区、鱼虾类越冬场、洄游通道、水产养殖区等渔业水域及游泳区；Ⅳ类主要适用于一般工业用水区及人体非直接接触的娱乐用水区；Ⅴ类主要适用于农业用水区及一般景观要求水域。对应地表水上述五类水域功能，《地表水环境质量标准》GB 3838将基本项目标准值分为五类，不同功能类别分别执行相应类别的标准值。同一水域兼有多类使用功能的，执行最高功能类别对应的标准值。实现水域功能与达功能类别标准为同一含义。</w:t>
      </w:r>
    </w:p>
    <w:p w14:paraId="27ED0C44">
      <w:pPr>
        <w:snapToGrid w:val="0"/>
        <w:spacing w:line="360" w:lineRule="auto"/>
        <w:ind w:firstLine="480" w:firstLineChars="200"/>
        <w:jc w:val="left"/>
        <w:rPr>
          <w:rFonts w:hint="eastAsia"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水体岸线自然化率指符合自然岸线要求的水体岸线长度占水体岸线总长度的比例。</w:t>
      </w:r>
    </w:p>
    <w:p w14:paraId="69B726E5">
      <w:pPr>
        <w:snapToGrid w:val="0"/>
        <w:spacing w:line="360" w:lineRule="auto"/>
        <w:ind w:firstLine="480" w:firstLineChars="200"/>
        <w:jc w:val="left"/>
        <w:rPr>
          <w:rFonts w:hint="eastAsia"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考量内容：（1）城市水环境质量控制目标和专项水质达标实施方案；（2）主要水体断面的水质监测报告</w:t>
      </w:r>
      <w:r>
        <w:rPr>
          <w:rFonts w:hint="eastAsia" w:ascii="宋体" w:hAnsi="宋体" w:eastAsia="宋体" w:cs="宋体"/>
          <w:color w:val="000000" w:themeColor="text1"/>
          <w:sz w:val="24"/>
          <w:lang w:eastAsia="zh-CN"/>
          <w14:textFill>
            <w14:solidFill>
              <w14:schemeClr w14:val="tx1"/>
            </w14:solidFill>
          </w14:textFill>
        </w:rPr>
        <w:t>；</w:t>
      </w:r>
      <w:r>
        <w:rPr>
          <w:rFonts w:hint="eastAsia" w:ascii="宋体" w:hAnsi="宋体" w:eastAsia="宋体" w:cs="宋体"/>
          <w:color w:val="000000" w:themeColor="text1"/>
          <w:sz w:val="24"/>
          <w14:textFill>
            <w14:solidFill>
              <w14:schemeClr w14:val="tx1"/>
            </w14:solidFill>
          </w14:textFill>
        </w:rPr>
        <w:t>（3）水体岸线调查和评估报告、水体修复方案；（4）水体修复工程竣工资料；（5）水体修复工程效果评估报告；（6）水体岸线自然化率。</w:t>
      </w:r>
    </w:p>
    <w:p w14:paraId="1D5299FA">
      <w:pPr>
        <w:snapToGrid w:val="0"/>
        <w:spacing w:line="360" w:lineRule="auto"/>
        <w:jc w:val="left"/>
        <w:rPr>
          <w:rFonts w:hint="eastAsia" w:ascii="宋体" w:hAnsi="宋体" w:eastAsia="宋体" w:cs="宋体"/>
          <w:color w:val="000000" w:themeColor="text1"/>
          <w:sz w:val="24"/>
          <w14:textFill>
            <w14:solidFill>
              <w14:schemeClr w14:val="tx1"/>
            </w14:solidFill>
          </w14:textFill>
        </w:rPr>
      </w:pPr>
      <w:r>
        <w:rPr>
          <w:rFonts w:hint="eastAsia" w:ascii="宋体" w:hAnsi="宋体" w:cs="宋体"/>
          <w:color w:val="000000" w:themeColor="text1"/>
          <w:sz w:val="24"/>
          <w:lang w:eastAsia="zh-CN"/>
          <w14:textFill>
            <w14:solidFill>
              <w14:schemeClr w14:val="tx1"/>
            </w14:solidFill>
          </w14:textFill>
        </w:rPr>
        <w:t>B.5</w:t>
      </w:r>
      <w:r>
        <w:rPr>
          <w:rFonts w:hint="eastAsia" w:ascii="宋体" w:hAnsi="宋体" w:eastAsia="宋体" w:cs="宋体"/>
          <w:color w:val="000000" w:themeColor="text1"/>
          <w:sz w:val="24"/>
          <w14:textFill>
            <w14:solidFill>
              <w14:schemeClr w14:val="tx1"/>
            </w14:solidFill>
          </w14:textFill>
        </w:rPr>
        <w:t>.2 本条款适用于城市生态修复与功能完善工程项目规划设计阶段、施工建造阶段、运行阶段</w:t>
      </w:r>
      <w:r>
        <w:rPr>
          <w:rFonts w:hint="eastAsia" w:ascii="宋体" w:hAnsi="宋体" w:eastAsia="宋体" w:cs="宋体"/>
          <w:color w:val="000000" w:themeColor="text1"/>
          <w:sz w:val="24"/>
          <w:lang w:val="en-US" w:eastAsia="zh-CN"/>
          <w14:textFill>
            <w14:solidFill>
              <w14:schemeClr w14:val="tx1"/>
            </w14:solidFill>
          </w14:textFill>
        </w:rPr>
        <w:t>的</w:t>
      </w:r>
      <w:r>
        <w:rPr>
          <w:rFonts w:hint="eastAsia" w:ascii="宋体" w:hAnsi="宋体" w:eastAsia="宋体" w:cs="宋体"/>
          <w:color w:val="000000" w:themeColor="text1"/>
          <w:sz w:val="24"/>
          <w14:textFill>
            <w14:solidFill>
              <w14:schemeClr w14:val="tx1"/>
            </w14:solidFill>
          </w14:textFill>
        </w:rPr>
        <w:t>评价。</w:t>
      </w:r>
    </w:p>
    <w:p w14:paraId="61724186">
      <w:pPr>
        <w:snapToGrid w:val="0"/>
        <w:spacing w:line="360" w:lineRule="auto"/>
        <w:ind w:firstLine="480" w:firstLineChars="200"/>
        <w:jc w:val="left"/>
        <w:rPr>
          <w:rFonts w:hint="eastAsia"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废弃地（棕地）生态修复成果保持率指经修复达到相关标准要求并可再利用的废弃地面积占原废弃地总面积的比例。</w:t>
      </w:r>
    </w:p>
    <w:p w14:paraId="269C411C">
      <w:pPr>
        <w:snapToGrid w:val="0"/>
        <w:spacing w:line="360" w:lineRule="auto"/>
        <w:ind w:firstLine="480" w:firstLineChars="200"/>
        <w:jc w:val="left"/>
        <w:rPr>
          <w:rFonts w:hint="eastAsia"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考量内容：（1）场地调查和评估报告；（2）场地环境风险管控制度文件；</w:t>
      </w:r>
    </w:p>
    <w:p w14:paraId="324232D5">
      <w:pPr>
        <w:snapToGrid w:val="0"/>
        <w:spacing w:line="360" w:lineRule="auto"/>
        <w:jc w:val="left"/>
        <w:rPr>
          <w:rFonts w:hint="eastAsia"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（3）污染场地清单、污染场地修复方案；（4）污染场地修复工程竣工资料；（5）污染场地修复工程效果评估报告；（6）棕地修复成果维护保持率。</w:t>
      </w:r>
    </w:p>
    <w:p w14:paraId="32DD2CF3">
      <w:pPr>
        <w:snapToGrid w:val="0"/>
        <w:spacing w:line="360" w:lineRule="auto"/>
        <w:jc w:val="left"/>
        <w:rPr>
          <w:rFonts w:hint="eastAsia" w:ascii="宋体" w:hAnsi="宋体" w:eastAsia="宋体" w:cs="宋体"/>
          <w:color w:val="000000" w:themeColor="text1"/>
          <w:sz w:val="24"/>
          <w14:textFill>
            <w14:solidFill>
              <w14:schemeClr w14:val="tx1"/>
            </w14:solidFill>
          </w14:textFill>
        </w:rPr>
      </w:pPr>
      <w:r>
        <w:rPr>
          <w:rFonts w:hint="eastAsia" w:ascii="宋体" w:hAnsi="宋体" w:cs="宋体"/>
          <w:color w:val="000000" w:themeColor="text1"/>
          <w:sz w:val="24"/>
          <w:lang w:eastAsia="zh-CN"/>
          <w14:textFill>
            <w14:solidFill>
              <w14:schemeClr w14:val="tx1"/>
            </w14:solidFill>
          </w14:textFill>
        </w:rPr>
        <w:t>B.5</w:t>
      </w:r>
      <w:r>
        <w:rPr>
          <w:rFonts w:hint="eastAsia" w:ascii="宋体" w:hAnsi="宋体" w:eastAsia="宋体" w:cs="宋体"/>
          <w:color w:val="000000" w:themeColor="text1"/>
          <w:sz w:val="24"/>
          <w14:textFill>
            <w14:solidFill>
              <w14:schemeClr w14:val="tx1"/>
            </w14:solidFill>
          </w14:textFill>
        </w:rPr>
        <w:t>.3 本条款适用于城市生态修复与功能完善工程项目的规划设计阶段、施工建造阶段、运行阶段</w:t>
      </w:r>
      <w:r>
        <w:rPr>
          <w:rFonts w:hint="eastAsia" w:ascii="宋体" w:hAnsi="宋体" w:eastAsia="宋体" w:cs="宋体"/>
          <w:color w:val="000000" w:themeColor="text1"/>
          <w:sz w:val="24"/>
          <w:lang w:val="en-US" w:eastAsia="zh-CN"/>
          <w14:textFill>
            <w14:solidFill>
              <w14:schemeClr w14:val="tx1"/>
            </w14:solidFill>
          </w14:textFill>
        </w:rPr>
        <w:t>的</w:t>
      </w:r>
      <w:r>
        <w:rPr>
          <w:rFonts w:hint="eastAsia" w:ascii="宋体" w:hAnsi="宋体" w:eastAsia="宋体" w:cs="宋体"/>
          <w:color w:val="000000" w:themeColor="text1"/>
          <w:sz w:val="24"/>
          <w14:textFill>
            <w14:solidFill>
              <w14:schemeClr w14:val="tx1"/>
            </w14:solidFill>
          </w14:textFill>
        </w:rPr>
        <w:t>评价。</w:t>
      </w:r>
    </w:p>
    <w:p w14:paraId="6FF85289">
      <w:pPr>
        <w:snapToGrid w:val="0"/>
        <w:spacing w:line="360" w:lineRule="auto"/>
        <w:ind w:firstLine="480" w:firstLineChars="200"/>
        <w:jc w:val="left"/>
        <w:rPr>
          <w:rFonts w:hint="eastAsia"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根据《国家生态园林城市标准》，破损山体生态修复成果维护保持率≥95%。</w:t>
      </w:r>
    </w:p>
    <w:p w14:paraId="6A8CFEBB">
      <w:pPr>
        <w:snapToGrid w:val="0"/>
        <w:spacing w:line="360" w:lineRule="auto"/>
        <w:ind w:firstLine="480" w:firstLineChars="200"/>
        <w:jc w:val="left"/>
        <w:rPr>
          <w:rFonts w:hint="eastAsia"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考量内容：（1）场地调查和评估报告；（2）场地环境风险管控制度文件；</w:t>
      </w:r>
    </w:p>
    <w:p w14:paraId="44F7E5D5">
      <w:pPr>
        <w:snapToGrid w:val="0"/>
        <w:spacing w:line="360" w:lineRule="auto"/>
        <w:jc w:val="left"/>
        <w:rPr>
          <w:rFonts w:hint="eastAsia"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（3）山体修复方案；（4）山体修复工程竣工资料；（5）山体修复工程效果评估报告；（6）破损山体生态修复成果维护保持率。</w:t>
      </w:r>
    </w:p>
    <w:p w14:paraId="03E9C526">
      <w:pPr>
        <w:snapToGrid w:val="0"/>
        <w:spacing w:line="360" w:lineRule="auto"/>
        <w:jc w:val="left"/>
        <w:rPr>
          <w:rFonts w:hint="eastAsia" w:ascii="宋体" w:hAnsi="宋体" w:eastAsia="宋体" w:cs="宋体"/>
          <w:color w:val="000000" w:themeColor="text1"/>
          <w:sz w:val="24"/>
          <w14:textFill>
            <w14:solidFill>
              <w14:schemeClr w14:val="tx1"/>
            </w14:solidFill>
          </w14:textFill>
        </w:rPr>
      </w:pPr>
      <w:r>
        <w:rPr>
          <w:rFonts w:hint="eastAsia" w:ascii="宋体" w:hAnsi="宋体" w:cs="宋体"/>
          <w:color w:val="000000" w:themeColor="text1"/>
          <w:sz w:val="24"/>
          <w:lang w:eastAsia="zh-CN"/>
          <w14:textFill>
            <w14:solidFill>
              <w14:schemeClr w14:val="tx1"/>
            </w14:solidFill>
          </w14:textFill>
        </w:rPr>
        <w:t>B.5</w:t>
      </w:r>
      <w:r>
        <w:rPr>
          <w:rFonts w:hint="eastAsia" w:ascii="宋体" w:hAnsi="宋体" w:eastAsia="宋体" w:cs="宋体"/>
          <w:color w:val="000000" w:themeColor="text1"/>
          <w:sz w:val="24"/>
          <w14:textFill>
            <w14:solidFill>
              <w14:schemeClr w14:val="tx1"/>
            </w14:solidFill>
          </w14:textFill>
        </w:rPr>
        <w:t>.4 本条款适用于城市生态修复与功能完善工程项目运行阶段</w:t>
      </w:r>
      <w:r>
        <w:rPr>
          <w:rFonts w:hint="eastAsia" w:ascii="宋体" w:hAnsi="宋体" w:eastAsia="宋体" w:cs="宋体"/>
          <w:color w:val="000000" w:themeColor="text1"/>
          <w:sz w:val="24"/>
          <w:lang w:val="en-US" w:eastAsia="zh-CN"/>
          <w14:textFill>
            <w14:solidFill>
              <w14:schemeClr w14:val="tx1"/>
            </w14:solidFill>
          </w14:textFill>
        </w:rPr>
        <w:t>的</w:t>
      </w:r>
      <w:r>
        <w:rPr>
          <w:rFonts w:hint="eastAsia" w:ascii="宋体" w:hAnsi="宋体" w:eastAsia="宋体" w:cs="宋体"/>
          <w:color w:val="000000" w:themeColor="text1"/>
          <w:sz w:val="24"/>
          <w14:textFill>
            <w14:solidFill>
              <w14:schemeClr w14:val="tx1"/>
            </w14:solidFill>
          </w14:textFill>
        </w:rPr>
        <w:t>评价。</w:t>
      </w:r>
    </w:p>
    <w:p w14:paraId="2FE4F306">
      <w:pPr>
        <w:snapToGrid w:val="0"/>
        <w:spacing w:line="360" w:lineRule="auto"/>
        <w:ind w:firstLine="480" w:firstLineChars="200"/>
        <w:jc w:val="left"/>
        <w:rPr>
          <w:rFonts w:hint="eastAsia"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生态环境状况评价利用一个综合指数（生态环境状况指数，EI），反映区域生态环境的整体状态，指标体系包括生物丰度指数、植被覆盖指数、水网密度指数、土地胁迫指数、污染负荷指数五个分指数和一个环境限制指数，五个分指数分别反映被评价区域内生物的丰贫植被覆盖的高低、植被覆盖情况、水的丰富程度、遭受的胁迫强度、承载的污染物压力。环境限制指数是终束性指标,指根据区域内出现的严重影响人居生产生活安全的生态破坏和环境污染事项对生态环境状况进行限制和调节。根据生态环境状况指数，将生态环境分为5级，即：优（EI≥75）、良（55≤EI＜75）、一般（35≤EI＜55）、较差（20≤EI＜35）及差（EI＜20），依据</w:t>
      </w:r>
      <w:r>
        <w:rPr>
          <w:rFonts w:hint="eastAsia" w:ascii="宋体" w:hAnsi="宋体" w:eastAsia="宋体" w:cs="宋体"/>
          <w:color w:val="000000" w:themeColor="text1"/>
          <w:sz w:val="24"/>
          <w:highlight w:val="none"/>
          <w14:textFill>
            <w14:solidFill>
              <w14:schemeClr w14:val="tx1"/>
            </w14:solidFill>
          </w14:textFill>
        </w:rPr>
        <w:t>《生态环境状况评价技术规范》(HJ</w:t>
      </w:r>
      <w:r>
        <w:rPr>
          <w:rFonts w:hint="eastAsia" w:ascii="宋体" w:hAnsi="宋体" w:eastAsia="宋体" w:cs="宋体"/>
          <w:color w:val="000000" w:themeColor="text1"/>
          <w:sz w:val="24"/>
          <w14:textFill>
            <w14:solidFill>
              <w14:schemeClr w14:val="tx1"/>
            </w14:solidFill>
          </w14:textFill>
        </w:rPr>
        <w:t xml:space="preserve"> </w:t>
      </w:r>
      <w:r>
        <w:rPr>
          <w:rFonts w:hint="eastAsia" w:ascii="宋体" w:hAnsi="宋体" w:eastAsia="宋体" w:cs="宋体"/>
          <w:color w:val="000000" w:themeColor="text1"/>
          <w:sz w:val="24"/>
          <w:highlight w:val="none"/>
          <w14:textFill>
            <w14:solidFill>
              <w14:schemeClr w14:val="tx1"/>
            </w14:solidFill>
          </w14:textFill>
        </w:rPr>
        <w:t>192)中的生态环境状况计算方法</w:t>
      </w:r>
      <w:r>
        <w:rPr>
          <w:rFonts w:hint="eastAsia" w:ascii="宋体" w:hAnsi="宋体" w:eastAsia="宋体" w:cs="宋体"/>
          <w:color w:val="000000" w:themeColor="text1"/>
          <w:sz w:val="24"/>
          <w14:textFill>
            <w14:solidFill>
              <w14:schemeClr w14:val="tx1"/>
            </w14:solidFill>
          </w14:textFill>
        </w:rPr>
        <w:t>在工程项目红线范围内</w:t>
      </w:r>
      <w:r>
        <w:rPr>
          <w:rFonts w:hint="eastAsia" w:ascii="宋体" w:hAnsi="宋体" w:eastAsia="宋体" w:cs="宋体"/>
          <w:color w:val="000000" w:themeColor="text1"/>
          <w:sz w:val="24"/>
          <w:highlight w:val="none"/>
          <w14:textFill>
            <w14:solidFill>
              <w14:schemeClr w14:val="tx1"/>
            </w14:solidFill>
          </w14:textFill>
        </w:rPr>
        <w:t>进行</w:t>
      </w:r>
      <w:r>
        <w:rPr>
          <w:rFonts w:hint="eastAsia" w:ascii="宋体" w:hAnsi="宋体" w:eastAsia="宋体" w:cs="宋体"/>
          <w:color w:val="000000" w:themeColor="text1"/>
          <w:sz w:val="24"/>
          <w14:textFill>
            <w14:solidFill>
              <w14:schemeClr w14:val="tx1"/>
            </w14:solidFill>
          </w14:textFill>
        </w:rPr>
        <w:t>计算和等级划分。</w:t>
      </w:r>
    </w:p>
    <w:p w14:paraId="1F3222AB">
      <w:pPr>
        <w:snapToGrid w:val="0"/>
        <w:spacing w:line="360" w:lineRule="auto"/>
        <w:ind w:firstLine="480" w:firstLineChars="200"/>
        <w:jc w:val="left"/>
        <w:rPr>
          <w:rFonts w:hint="eastAsia" w:ascii="宋体" w:hAnsi="宋体" w:eastAsia="宋体" w:cs="宋体"/>
          <w:color w:val="000000" w:themeColor="text1"/>
          <w:sz w:val="24"/>
          <w:highlight w:val="yellow"/>
          <w14:textFill>
            <w14:solidFill>
              <w14:schemeClr w14:val="tx1"/>
            </w14:solidFill>
          </w14:textFill>
        </w:rPr>
      </w:pPr>
      <w:r>
        <w:rPr>
          <w:rFonts w:hint="eastAsia" w:ascii="宋体" w:hAnsi="宋体" w:eastAsia="宋体" w:cs="宋体"/>
          <w:color w:val="000000" w:themeColor="text1"/>
          <w:sz w:val="24"/>
          <w:highlight w:val="none"/>
          <w14:textFill>
            <w14:solidFill>
              <w14:schemeClr w14:val="tx1"/>
            </w14:solidFill>
          </w14:textFill>
        </w:rPr>
        <w:t>根据生物多样性指数（BI），将生物多样性状况分为四级，即：高、中、一般和低。其中，高：BI≥60；中：30≤BI＜60；一般：20≤BI＜30；低：BI＜20。</w:t>
      </w:r>
      <w:r>
        <w:rPr>
          <w:rFonts w:hint="eastAsia" w:ascii="宋体" w:hAnsi="宋体" w:eastAsia="宋体" w:cs="宋体"/>
          <w:color w:val="000000" w:themeColor="text1"/>
          <w:sz w:val="24"/>
          <w14:textFill>
            <w14:solidFill>
              <w14:schemeClr w14:val="tx1"/>
            </w14:solidFill>
          </w14:textFill>
        </w:rPr>
        <w:t>按照《区域生物多样性评价标准》（HJ 623）中的数据采集、分析和处理方法在工程项目红线范围内进行计算和等级划分。</w:t>
      </w:r>
    </w:p>
    <w:p w14:paraId="79F184AA">
      <w:pPr>
        <w:snapToGrid w:val="0"/>
        <w:spacing w:line="360" w:lineRule="auto"/>
        <w:ind w:firstLine="480" w:firstLineChars="200"/>
        <w:jc w:val="left"/>
        <w:rPr>
          <w:rFonts w:hint="eastAsia"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城市热岛效应强度采用城市建成区与建成区周边（郊区、农村）6月～8月的气温平均值的差值进行评价。热岛效应是由于人们改变城市地表而引起小气候变化的综合现象。热岛效应强度是评价城市生态修复效果的重要指标。</w:t>
      </w:r>
    </w:p>
    <w:p w14:paraId="591EAAB6">
      <w:pPr>
        <w:snapToGrid w:val="0"/>
        <w:spacing w:line="360" w:lineRule="auto"/>
        <w:ind w:firstLine="480" w:firstLineChars="200"/>
        <w:jc w:val="left"/>
        <w:rPr>
          <w:rFonts w:hint="eastAsia"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计算方法：城市热岛效应强度（℃）=建成区气温的平均值（℃）-建成区周边区域气温的平均值（℃）。</w:t>
      </w:r>
    </w:p>
    <w:p w14:paraId="52F9E9B2">
      <w:pPr>
        <w:snapToGrid w:val="0"/>
        <w:spacing w:line="360" w:lineRule="auto"/>
        <w:jc w:val="left"/>
        <w:rPr>
          <w:rFonts w:hint="eastAsia"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 xml:space="preserve">    考量内容：（1）生态环境状况指数；（2）生物多样性指数；（3）城市热岛效应强度；（4）建成区绿化覆盖率。</w:t>
      </w:r>
    </w:p>
    <w:p w14:paraId="3FDA27D9">
      <w:pPr>
        <w:snapToGrid w:val="0"/>
        <w:spacing w:line="360" w:lineRule="auto"/>
        <w:jc w:val="left"/>
        <w:rPr>
          <w:rFonts w:hint="eastAsia" w:ascii="宋体" w:hAnsi="宋体" w:eastAsia="宋体" w:cs="宋体"/>
          <w:color w:val="000000" w:themeColor="text1"/>
          <w:sz w:val="24"/>
          <w14:textFill>
            <w14:solidFill>
              <w14:schemeClr w14:val="tx1"/>
            </w14:solidFill>
          </w14:textFill>
        </w:rPr>
      </w:pPr>
      <w:r>
        <w:rPr>
          <w:rFonts w:hint="eastAsia" w:ascii="宋体" w:hAnsi="宋体" w:cs="宋体"/>
          <w:color w:val="000000" w:themeColor="text1"/>
          <w:sz w:val="24"/>
          <w:lang w:eastAsia="zh-CN"/>
          <w14:textFill>
            <w14:solidFill>
              <w14:schemeClr w14:val="tx1"/>
            </w14:solidFill>
          </w14:textFill>
        </w:rPr>
        <w:t>B.5</w:t>
      </w:r>
      <w:r>
        <w:rPr>
          <w:rFonts w:hint="eastAsia" w:ascii="宋体" w:hAnsi="宋体" w:eastAsia="宋体" w:cs="宋体"/>
          <w:color w:val="000000" w:themeColor="text1"/>
          <w:sz w:val="24"/>
          <w14:textFill>
            <w14:solidFill>
              <w14:schemeClr w14:val="tx1"/>
            </w14:solidFill>
          </w14:textFill>
        </w:rPr>
        <w:t>.</w:t>
      </w:r>
      <w:r>
        <w:rPr>
          <w:rFonts w:hint="eastAsia" w:ascii="宋体" w:hAnsi="宋体" w:cs="宋体"/>
          <w:color w:val="000000" w:themeColor="text1"/>
          <w:sz w:val="24"/>
          <w:lang w:val="en-US" w:eastAsia="zh-CN"/>
          <w14:textFill>
            <w14:solidFill>
              <w14:schemeClr w14:val="tx1"/>
            </w14:solidFill>
          </w14:textFill>
        </w:rPr>
        <w:t>5</w:t>
      </w:r>
      <w:r>
        <w:rPr>
          <w:rFonts w:hint="eastAsia" w:ascii="宋体" w:hAnsi="宋体" w:eastAsia="宋体" w:cs="宋体"/>
          <w:color w:val="000000" w:themeColor="text1"/>
          <w:sz w:val="24"/>
          <w14:textFill>
            <w14:solidFill>
              <w14:schemeClr w14:val="tx1"/>
            </w14:solidFill>
          </w14:textFill>
        </w:rPr>
        <w:t xml:space="preserve"> 本条款适用于城市生态修复与功能完善工程项目运行阶段</w:t>
      </w:r>
      <w:r>
        <w:rPr>
          <w:rFonts w:hint="eastAsia" w:ascii="宋体" w:hAnsi="宋体" w:eastAsia="宋体" w:cs="宋体"/>
          <w:color w:val="000000" w:themeColor="text1"/>
          <w:sz w:val="24"/>
          <w:lang w:val="en-US" w:eastAsia="zh-CN"/>
          <w14:textFill>
            <w14:solidFill>
              <w14:schemeClr w14:val="tx1"/>
            </w14:solidFill>
          </w14:textFill>
        </w:rPr>
        <w:t>的</w:t>
      </w:r>
      <w:r>
        <w:rPr>
          <w:rFonts w:hint="eastAsia" w:ascii="宋体" w:hAnsi="宋体" w:eastAsia="宋体" w:cs="宋体"/>
          <w:color w:val="000000" w:themeColor="text1"/>
          <w:sz w:val="24"/>
          <w14:textFill>
            <w14:solidFill>
              <w14:schemeClr w14:val="tx1"/>
            </w14:solidFill>
          </w14:textFill>
        </w:rPr>
        <w:t>评价。</w:t>
      </w:r>
    </w:p>
    <w:p w14:paraId="4BE1FD5C">
      <w:pPr>
        <w:snapToGrid w:val="0"/>
        <w:spacing w:line="360" w:lineRule="auto"/>
        <w:ind w:firstLine="480" w:firstLineChars="200"/>
        <w:jc w:val="left"/>
        <w:rPr>
          <w:rFonts w:hint="eastAsia"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考量内容：信息化管理与数字化监测管理制度。</w:t>
      </w:r>
    </w:p>
    <w:p w14:paraId="4A7AC624">
      <w:pPr>
        <w:snapToGrid w:val="0"/>
        <w:spacing w:line="360" w:lineRule="auto"/>
        <w:jc w:val="left"/>
        <w:rPr>
          <w:rFonts w:hint="eastAsia" w:ascii="宋体" w:hAnsi="宋体" w:eastAsia="宋体" w:cs="宋体"/>
          <w:color w:val="000000" w:themeColor="text1"/>
          <w:sz w:val="24"/>
          <w14:textFill>
            <w14:solidFill>
              <w14:schemeClr w14:val="tx1"/>
            </w14:solidFill>
          </w14:textFill>
        </w:rPr>
      </w:pPr>
      <w:r>
        <w:rPr>
          <w:rFonts w:hint="eastAsia" w:ascii="宋体" w:hAnsi="宋体" w:cs="宋体"/>
          <w:color w:val="000000" w:themeColor="text1"/>
          <w:sz w:val="24"/>
          <w:lang w:eastAsia="zh-CN"/>
          <w14:textFill>
            <w14:solidFill>
              <w14:schemeClr w14:val="tx1"/>
            </w14:solidFill>
          </w14:textFill>
        </w:rPr>
        <w:t>B.5</w:t>
      </w:r>
      <w:r>
        <w:rPr>
          <w:rFonts w:hint="eastAsia" w:ascii="宋体" w:hAnsi="宋体" w:eastAsia="宋体" w:cs="宋体"/>
          <w:color w:val="000000" w:themeColor="text1"/>
          <w:sz w:val="24"/>
          <w14:textFill>
            <w14:solidFill>
              <w14:schemeClr w14:val="tx1"/>
            </w14:solidFill>
          </w14:textFill>
        </w:rPr>
        <w:t>.</w:t>
      </w:r>
      <w:r>
        <w:rPr>
          <w:rFonts w:hint="eastAsia" w:ascii="宋体" w:hAnsi="宋体" w:cs="宋体"/>
          <w:color w:val="000000" w:themeColor="text1"/>
          <w:sz w:val="24"/>
          <w:lang w:val="en-US" w:eastAsia="zh-CN"/>
          <w14:textFill>
            <w14:solidFill>
              <w14:schemeClr w14:val="tx1"/>
            </w14:solidFill>
          </w14:textFill>
        </w:rPr>
        <w:t>6</w:t>
      </w:r>
      <w:r>
        <w:rPr>
          <w:rFonts w:hint="eastAsia" w:ascii="宋体" w:hAnsi="宋体" w:eastAsia="宋体" w:cs="宋体"/>
          <w:color w:val="000000" w:themeColor="text1"/>
          <w:sz w:val="24"/>
          <w14:textFill>
            <w14:solidFill>
              <w14:schemeClr w14:val="tx1"/>
            </w14:solidFill>
          </w14:textFill>
        </w:rPr>
        <w:t xml:space="preserve"> 本条款适用于城市生态修复与功能完善工程项目运行阶段</w:t>
      </w:r>
      <w:r>
        <w:rPr>
          <w:rFonts w:hint="eastAsia" w:ascii="宋体" w:hAnsi="宋体" w:eastAsia="宋体" w:cs="宋体"/>
          <w:color w:val="000000" w:themeColor="text1"/>
          <w:sz w:val="24"/>
          <w:lang w:val="en-US" w:eastAsia="zh-CN"/>
          <w14:textFill>
            <w14:solidFill>
              <w14:schemeClr w14:val="tx1"/>
            </w14:solidFill>
          </w14:textFill>
        </w:rPr>
        <w:t>的</w:t>
      </w:r>
      <w:r>
        <w:rPr>
          <w:rFonts w:hint="eastAsia" w:ascii="宋体" w:hAnsi="宋体" w:eastAsia="宋体" w:cs="宋体"/>
          <w:color w:val="000000" w:themeColor="text1"/>
          <w:sz w:val="24"/>
          <w14:textFill>
            <w14:solidFill>
              <w14:schemeClr w14:val="tx1"/>
            </w14:solidFill>
          </w14:textFill>
        </w:rPr>
        <w:t>评价。</w:t>
      </w:r>
    </w:p>
    <w:p w14:paraId="3DEA2772">
      <w:pPr>
        <w:snapToGrid w:val="0"/>
        <w:spacing w:line="360" w:lineRule="auto"/>
        <w:ind w:firstLine="480" w:firstLineChars="200"/>
        <w:jc w:val="left"/>
        <w:rPr>
          <w:rFonts w:hint="eastAsia"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生态修复工程项目信息管理系统应对城区园林绿地的现状信息、工程建设、日常养护、责任企业等进行管理，通过运行数据分析和异常情况处置来保证园林绿地的运行安全。生态修复工程项目信息管理系统应与城市级信息管理系统对接。</w:t>
      </w:r>
    </w:p>
    <w:p w14:paraId="3B4481C0">
      <w:pPr>
        <w:snapToGrid w:val="0"/>
        <w:spacing w:line="360" w:lineRule="auto"/>
        <w:ind w:firstLine="480" w:firstLineChars="200"/>
        <w:jc w:val="left"/>
        <w:rPr>
          <w:rFonts w:hint="eastAsia"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建立生态修复信息监测系统，掌控供水质量与水源地水质、雨污水的排水量和水质，河道水情、管网运行、土壤污染、生物多样性等情况，积累运行数据，分析生态修复态势。生态修复信息监测系统应与城市级信息管理系统对接。</w:t>
      </w:r>
    </w:p>
    <w:p w14:paraId="11CBE4B6">
      <w:pPr>
        <w:snapToGrid w:val="0"/>
        <w:spacing w:line="360" w:lineRule="auto"/>
        <w:ind w:firstLine="480" w:firstLineChars="200"/>
        <w:jc w:val="left"/>
        <w:rPr>
          <w:rFonts w:hint="eastAsia"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考量内容：（1）生态修复信息管理与监测系统实施方案；（2）系统的功能，与上一级系统的衔接情况；（3）数据采集覆盖生态修复工程及相关范围，数据有效性及达标情况；（4）生态修复信息监测系统的运行评估报告，各类生态修复信息记录、数据分析、运行预警反馈、优化建议。</w:t>
      </w:r>
    </w:p>
    <w:p w14:paraId="0C8A1523">
      <w:pPr>
        <w:spacing w:line="360" w:lineRule="auto"/>
        <w:jc w:val="center"/>
        <w:outlineLvl w:val="1"/>
        <w:rPr>
          <w:rFonts w:hint="eastAsia" w:ascii="宋体" w:hAnsi="宋体" w:eastAsia="宋体" w:cs="宋体"/>
          <w:b/>
          <w:bCs/>
          <w:color w:val="000000" w:themeColor="text1"/>
          <w:sz w:val="30"/>
          <w:szCs w:val="30"/>
          <w14:textFill>
            <w14:solidFill>
              <w14:schemeClr w14:val="tx1"/>
            </w14:solidFill>
          </w14:textFill>
        </w:rPr>
      </w:pPr>
      <w:bookmarkStart w:id="869" w:name="_Toc856"/>
      <w:bookmarkStart w:id="870" w:name="_Toc25892"/>
      <w:bookmarkStart w:id="871" w:name="_Toc13847"/>
      <w:bookmarkStart w:id="872" w:name="_Toc32422"/>
      <w:bookmarkStart w:id="873" w:name="_Toc19549"/>
      <w:bookmarkStart w:id="874" w:name="_Toc19801"/>
      <w:r>
        <w:rPr>
          <w:rFonts w:hint="eastAsia" w:ascii="黑体" w:hAnsi="黑体" w:eastAsia="黑体" w:cs="黑体"/>
          <w:b/>
          <w:bCs/>
          <w:color w:val="auto"/>
          <w:sz w:val="28"/>
          <w:szCs w:val="28"/>
        </w:rPr>
        <w:t>B</w:t>
      </w:r>
      <w:r>
        <w:rPr>
          <w:rFonts w:hint="eastAsia" w:ascii="黑体" w:hAnsi="黑体" w:eastAsia="黑体" w:cs="黑体"/>
          <w:b/>
          <w:bCs/>
          <w:color w:val="auto"/>
          <w:sz w:val="28"/>
          <w:szCs w:val="28"/>
          <w:lang w:val="en-US" w:eastAsia="zh-CN"/>
        </w:rPr>
        <w:t>.6</w:t>
      </w:r>
      <w:r>
        <w:rPr>
          <w:rFonts w:hint="eastAsia" w:ascii="黑体" w:hAnsi="黑体" w:eastAsia="黑体" w:cs="黑体"/>
          <w:b/>
          <w:bCs/>
          <w:color w:val="auto"/>
          <w:sz w:val="28"/>
          <w:szCs w:val="28"/>
        </w:rPr>
        <w:t xml:space="preserve"> </w:t>
      </w:r>
      <w:r>
        <w:rPr>
          <w:rFonts w:hint="eastAsia" w:ascii="黑体" w:hAnsi="黑体" w:eastAsia="黑体" w:cs="黑体"/>
          <w:b/>
          <w:bCs/>
          <w:color w:val="auto"/>
          <w:sz w:val="28"/>
          <w:szCs w:val="28"/>
          <w:lang w:val="en-US" w:eastAsia="zh-CN"/>
        </w:rPr>
        <w:t>城市供热系统</w:t>
      </w:r>
      <w:r>
        <w:rPr>
          <w:rFonts w:hint="eastAsia" w:ascii="黑体" w:hAnsi="黑体" w:eastAsia="黑体" w:cs="黑体"/>
          <w:b/>
          <w:bCs/>
          <w:color w:val="auto"/>
          <w:sz w:val="28"/>
          <w:szCs w:val="28"/>
        </w:rPr>
        <w:t>项目专项内容评价指标</w:t>
      </w:r>
      <w:bookmarkEnd w:id="869"/>
      <w:bookmarkEnd w:id="870"/>
      <w:bookmarkEnd w:id="871"/>
      <w:bookmarkEnd w:id="872"/>
      <w:bookmarkEnd w:id="873"/>
      <w:bookmarkEnd w:id="874"/>
    </w:p>
    <w:p w14:paraId="052B2889">
      <w:pPr>
        <w:widowControl/>
        <w:snapToGrid w:val="0"/>
        <w:spacing w:line="360" w:lineRule="auto"/>
        <w:jc w:val="left"/>
        <w:rPr>
          <w:rFonts w:hint="eastAsia" w:ascii="宋体" w:hAnsi="宋体" w:eastAsia="宋体" w:cs="宋体"/>
          <w:color w:val="000000" w:themeColor="text1"/>
          <w:sz w:val="24"/>
          <w:lang w:val="en-US" w:eastAsia="zh-CN"/>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B.6</w:t>
      </w:r>
      <w:r>
        <w:rPr>
          <w:rFonts w:hint="eastAsia" w:ascii="宋体" w:hAnsi="宋体" w:eastAsia="宋体" w:cs="宋体"/>
          <w:color w:val="000000" w:themeColor="text1"/>
          <w:sz w:val="24"/>
          <w:lang w:val="en-US" w:eastAsia="zh-CN"/>
          <w14:textFill>
            <w14:solidFill>
              <w14:schemeClr w14:val="tx1"/>
            </w14:solidFill>
          </w14:textFill>
        </w:rPr>
        <w:t>.1本条款适用于城市供热系统</w:t>
      </w:r>
      <w:r>
        <w:rPr>
          <w:rFonts w:hint="eastAsia" w:ascii="宋体" w:hAnsi="宋体" w:eastAsia="宋体" w:cs="宋体"/>
          <w:color w:val="000000" w:themeColor="text1"/>
          <w:sz w:val="24"/>
          <w14:textFill>
            <w14:solidFill>
              <w14:schemeClr w14:val="tx1"/>
            </w14:solidFill>
          </w14:textFill>
        </w:rPr>
        <w:t>工程项目</w:t>
      </w:r>
      <w:r>
        <w:rPr>
          <w:rFonts w:hint="eastAsia" w:ascii="宋体" w:hAnsi="宋体" w:eastAsia="宋体" w:cs="宋体"/>
          <w:color w:val="000000" w:themeColor="text1"/>
          <w:sz w:val="24"/>
          <w:lang w:val="en-US" w:eastAsia="zh-CN"/>
          <w14:textFill>
            <w14:solidFill>
              <w14:schemeClr w14:val="tx1"/>
            </w14:solidFill>
          </w14:textFill>
        </w:rPr>
        <w:t>规划设计、施工建造阶段的评价。</w:t>
      </w:r>
    </w:p>
    <w:p w14:paraId="50D9D79E">
      <w:pPr>
        <w:snapToGrid w:val="0"/>
        <w:spacing w:after="0" w:afterLines="-2147483648" w:line="360" w:lineRule="auto"/>
        <w:ind w:firstLine="480" w:firstLineChars="200"/>
        <w:jc w:val="left"/>
        <w:outlineLvl w:val="9"/>
        <w:rPr>
          <w:rFonts w:hint="default" w:ascii="宋体" w:hAnsi="宋体" w:eastAsia="宋体" w:cs="宋体"/>
          <w:color w:val="000000" w:themeColor="text1"/>
          <w:sz w:val="24"/>
          <w:lang w:val="en-US" w:eastAsia="zh-CN"/>
          <w14:textFill>
            <w14:solidFill>
              <w14:schemeClr w14:val="tx1"/>
            </w14:solidFill>
          </w14:textFill>
        </w:rPr>
      </w:pPr>
      <w:r>
        <w:rPr>
          <w:rFonts w:hint="eastAsia" w:ascii="宋体" w:hAnsi="宋体" w:eastAsia="宋体" w:cs="宋体"/>
          <w:color w:val="000000" w:themeColor="text1"/>
          <w:sz w:val="24"/>
          <w:lang w:val="en-US" w:eastAsia="zh-CN"/>
          <w14:textFill>
            <w14:solidFill>
              <w14:schemeClr w14:val="tx1"/>
            </w14:solidFill>
          </w14:textFill>
        </w:rPr>
        <w:t>本标准所指城市供热系统项目是指为在城市范围内，通过集中或分散方式，为热用户供应生产或生活用热能的供热系统，由热源、热网和热用户三部分组成。</w:t>
      </w:r>
      <w:r>
        <w:rPr>
          <w:rFonts w:hint="eastAsia" w:ascii="宋体" w:hAnsi="宋体" w:cs="宋体"/>
          <w:color w:val="000000" w:themeColor="text1"/>
          <w:sz w:val="24"/>
          <w:lang w:val="en-US" w:eastAsia="zh-CN"/>
          <w14:textFill>
            <w14:solidFill>
              <w14:schemeClr w14:val="tx1"/>
            </w14:solidFill>
          </w14:textFill>
        </w:rPr>
        <w:t>（下同）</w:t>
      </w:r>
    </w:p>
    <w:p w14:paraId="39E13459">
      <w:pPr>
        <w:snapToGrid w:val="0"/>
        <w:spacing w:after="0" w:afterLines="-2147483648" w:line="360" w:lineRule="auto"/>
        <w:ind w:firstLine="480" w:firstLineChars="200"/>
        <w:jc w:val="left"/>
        <w:outlineLvl w:val="9"/>
        <w:rPr>
          <w:rFonts w:hint="eastAsia" w:ascii="宋体" w:hAnsi="宋体" w:eastAsia="宋体" w:cs="宋体"/>
          <w:color w:val="000000" w:themeColor="text1"/>
          <w:sz w:val="24"/>
          <w:lang w:val="en-US" w:eastAsia="zh-CN"/>
          <w14:textFill>
            <w14:solidFill>
              <w14:schemeClr w14:val="tx1"/>
            </w14:solidFill>
          </w14:textFill>
        </w:rPr>
      </w:pPr>
      <w:r>
        <w:rPr>
          <w:rFonts w:hint="eastAsia" w:ascii="宋体" w:hAnsi="宋体" w:eastAsia="宋体" w:cs="宋体"/>
          <w:color w:val="000000" w:themeColor="text1"/>
          <w:sz w:val="24"/>
          <w:lang w:val="en-US" w:eastAsia="zh-CN"/>
          <w14:textFill>
            <w14:solidFill>
              <w14:schemeClr w14:val="tx1"/>
            </w14:solidFill>
          </w14:textFill>
        </w:rPr>
        <w:t>管线老化情况应及时列入当地更新改造消除隐患工程计划项目，对已经列入管线老化更新改造项目，应符合当地政策和目标要求，如环境保护、资源利用、经济效益等。在节能减排方面应体现能源利用效率、可再生能源使用比例、碳排放减少等方面的措施和效果。在智慧化供热方面应充分利用智能监控、数据分析、远程控制等技术手段的使用，以提高供热系统的效率和可靠性。</w:t>
      </w:r>
    </w:p>
    <w:p w14:paraId="4072BAB3">
      <w:pPr>
        <w:widowControl/>
        <w:snapToGrid w:val="0"/>
        <w:spacing w:line="360" w:lineRule="auto"/>
        <w:ind w:firstLine="480" w:firstLineChars="200"/>
        <w:jc w:val="left"/>
        <w:rPr>
          <w:rFonts w:hint="default" w:ascii="宋体" w:hAnsi="宋体" w:eastAsia="宋体" w:cs="宋体"/>
          <w:color w:val="000000" w:themeColor="text1"/>
          <w:sz w:val="24"/>
          <w:lang w:val="en-US" w:eastAsia="zh-CN"/>
          <w14:textFill>
            <w14:solidFill>
              <w14:schemeClr w14:val="tx1"/>
            </w14:solidFill>
          </w14:textFill>
        </w:rPr>
      </w:pPr>
      <w:r>
        <w:rPr>
          <w:rFonts w:hint="eastAsia" w:ascii="宋体" w:hAnsi="宋体" w:eastAsia="宋体" w:cs="宋体"/>
          <w:color w:val="000000" w:themeColor="text1"/>
          <w:sz w:val="24"/>
          <w:lang w:val="en-US" w:eastAsia="zh-CN"/>
          <w14:textFill>
            <w14:solidFill>
              <w14:schemeClr w14:val="tx1"/>
            </w14:solidFill>
          </w14:textFill>
        </w:rPr>
        <w:t>考量内容：（1）当地政策规范要求文件；（2）更新改造规划设计文件；（3）项目可研立项批复文件；（4）节能与智慧供热技术方案等。</w:t>
      </w:r>
    </w:p>
    <w:p w14:paraId="58873F1B">
      <w:pPr>
        <w:snapToGrid w:val="0"/>
        <w:spacing w:line="360" w:lineRule="auto"/>
        <w:jc w:val="left"/>
        <w:rPr>
          <w:rFonts w:hint="eastAsia" w:ascii="宋体" w:hAnsi="宋体" w:eastAsia="宋体" w:cs="宋体"/>
          <w:color w:val="000000" w:themeColor="text1"/>
          <w:sz w:val="24"/>
          <w:lang w:val="en-US" w:eastAsia="zh-CN"/>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B.6</w:t>
      </w:r>
      <w:r>
        <w:rPr>
          <w:rFonts w:hint="eastAsia" w:ascii="宋体" w:hAnsi="宋体" w:eastAsia="宋体" w:cs="宋体"/>
          <w:color w:val="000000" w:themeColor="text1"/>
          <w:sz w:val="24"/>
          <w:lang w:val="en-US" w:eastAsia="zh-CN"/>
          <w14:textFill>
            <w14:solidFill>
              <w14:schemeClr w14:val="tx1"/>
            </w14:solidFill>
          </w14:textFill>
        </w:rPr>
        <w:t>.2本条款适用于城市供热系统</w:t>
      </w:r>
      <w:r>
        <w:rPr>
          <w:rFonts w:hint="eastAsia" w:ascii="宋体" w:hAnsi="宋体" w:eastAsia="宋体" w:cs="宋体"/>
          <w:color w:val="000000" w:themeColor="text1"/>
          <w:sz w:val="24"/>
          <w14:textFill>
            <w14:solidFill>
              <w14:schemeClr w14:val="tx1"/>
            </w14:solidFill>
          </w14:textFill>
        </w:rPr>
        <w:t>工程项目</w:t>
      </w:r>
      <w:r>
        <w:rPr>
          <w:rFonts w:hint="eastAsia" w:ascii="宋体" w:hAnsi="宋体" w:eastAsia="宋体" w:cs="宋体"/>
          <w:color w:val="000000" w:themeColor="text1"/>
          <w:sz w:val="24"/>
          <w:lang w:val="en-US" w:eastAsia="zh-CN"/>
          <w14:textFill>
            <w14:solidFill>
              <w14:schemeClr w14:val="tx1"/>
            </w14:solidFill>
          </w14:textFill>
        </w:rPr>
        <w:t>运行阶段的评价。</w:t>
      </w:r>
    </w:p>
    <w:p w14:paraId="4B837B14">
      <w:pPr>
        <w:widowControl/>
        <w:snapToGrid w:val="0"/>
        <w:spacing w:line="360" w:lineRule="auto"/>
        <w:ind w:firstLine="480" w:firstLineChars="200"/>
        <w:jc w:val="left"/>
        <w:rPr>
          <w:rFonts w:hint="eastAsia" w:ascii="宋体" w:hAnsi="宋体" w:eastAsia="宋体" w:cs="宋体"/>
          <w:color w:val="000000" w:themeColor="text1"/>
          <w:sz w:val="24"/>
          <w:lang w:val="en-US" w:eastAsia="zh-CN"/>
          <w14:textFill>
            <w14:solidFill>
              <w14:schemeClr w14:val="tx1"/>
            </w14:solidFill>
          </w14:textFill>
        </w:rPr>
      </w:pPr>
      <w:r>
        <w:rPr>
          <w:rFonts w:hint="eastAsia" w:ascii="宋体" w:hAnsi="宋体" w:eastAsia="宋体" w:cs="宋体"/>
          <w:color w:val="000000" w:themeColor="text1"/>
          <w:sz w:val="24"/>
          <w:lang w:val="en-US" w:eastAsia="zh-CN"/>
          <w14:textFill>
            <w14:solidFill>
              <w14:schemeClr w14:val="tx1"/>
            </w14:solidFill>
          </w14:textFill>
        </w:rPr>
        <w:t>供热系统在运行过程中产生的大气排放污染物包括：SO2、NOX、PM10和PM2.5等，</w:t>
      </w:r>
      <w:r>
        <w:rPr>
          <w:rFonts w:hint="eastAsia" w:ascii="宋体" w:hAnsi="宋体" w:eastAsia="宋体" w:cs="宋体"/>
          <w:b w:val="0"/>
          <w:bCs w:val="0"/>
          <w:color w:val="000000" w:themeColor="text1"/>
          <w:sz w:val="24"/>
          <w:lang w:val="en-US" w:eastAsia="zh-CN"/>
          <w14:textFill>
            <w14:solidFill>
              <w14:schemeClr w14:val="tx1"/>
            </w14:solidFill>
          </w14:textFill>
        </w:rPr>
        <w:t>应符合国家和所在地有关大气污染物排放达标规定</w:t>
      </w:r>
      <w:r>
        <w:rPr>
          <w:rFonts w:hint="eastAsia" w:ascii="宋体" w:hAnsi="宋体" w:eastAsia="宋体" w:cs="宋体"/>
          <w:color w:val="000000" w:themeColor="text1"/>
          <w:sz w:val="24"/>
          <w:lang w:val="en-US" w:eastAsia="zh-CN"/>
          <w14:textFill>
            <w14:solidFill>
              <w14:schemeClr w14:val="tx1"/>
            </w14:solidFill>
          </w14:textFill>
        </w:rPr>
        <w:t>。供热系统中使用新能源和可再生能源替代，如太阳能、风能、生物质能等，可以有效降低城市供热系统的污染物排放总量。</w:t>
      </w:r>
    </w:p>
    <w:p w14:paraId="4451A0A2">
      <w:pPr>
        <w:snapToGrid w:val="0"/>
        <w:spacing w:line="360" w:lineRule="auto"/>
        <w:jc w:val="left"/>
        <w:rPr>
          <w:rFonts w:hint="default" w:ascii="宋体" w:hAnsi="宋体" w:eastAsia="宋体" w:cs="宋体"/>
          <w:color w:val="000000" w:themeColor="text1"/>
          <w:sz w:val="24"/>
          <w:lang w:val="en-US" w:eastAsia="zh-CN"/>
          <w14:textFill>
            <w14:solidFill>
              <w14:schemeClr w14:val="tx1"/>
            </w14:solidFill>
          </w14:textFill>
        </w:rPr>
      </w:pPr>
      <w:r>
        <w:rPr>
          <w:rFonts w:hint="eastAsia" w:ascii="宋体" w:hAnsi="宋体" w:eastAsia="宋体" w:cs="宋体"/>
          <w:color w:val="000000" w:themeColor="text1"/>
          <w:sz w:val="24"/>
          <w:lang w:val="en-US" w:eastAsia="zh-CN"/>
          <w14:textFill>
            <w14:solidFill>
              <w14:schemeClr w14:val="tx1"/>
            </w14:solidFill>
          </w14:textFill>
        </w:rPr>
        <w:t xml:space="preserve">    考量内容：（1）供热系统环保达标监测报告；（2）现场在线监测系统探勘；（3）新能源与可再生能源的应用替代比例与减排量监测报告。</w:t>
      </w:r>
    </w:p>
    <w:p w14:paraId="24D6E657">
      <w:pPr>
        <w:widowControl/>
        <w:snapToGrid w:val="0"/>
        <w:spacing w:after="0" w:afterLines="-2147483648" w:line="360" w:lineRule="auto"/>
        <w:jc w:val="left"/>
        <w:outlineLvl w:val="9"/>
        <w:rPr>
          <w:rFonts w:hint="eastAsia" w:ascii="宋体" w:hAnsi="宋体" w:eastAsia="宋体" w:cs="宋体"/>
          <w:color w:val="000000" w:themeColor="text1"/>
          <w:sz w:val="24"/>
          <w:lang w:val="en-US" w:eastAsia="zh-CN"/>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B.6</w:t>
      </w:r>
      <w:r>
        <w:rPr>
          <w:rFonts w:hint="eastAsia" w:ascii="宋体" w:hAnsi="宋体" w:eastAsia="宋体" w:cs="宋体"/>
          <w:color w:val="000000" w:themeColor="text1"/>
          <w:sz w:val="24"/>
          <w:lang w:val="en-US" w:eastAsia="zh-CN"/>
          <w14:textFill>
            <w14:solidFill>
              <w14:schemeClr w14:val="tx1"/>
            </w14:solidFill>
          </w14:textFill>
        </w:rPr>
        <w:t>..3本条款适用于城市供热系统</w:t>
      </w:r>
      <w:r>
        <w:rPr>
          <w:rFonts w:hint="eastAsia" w:ascii="宋体" w:hAnsi="宋体" w:eastAsia="宋体" w:cs="宋体"/>
          <w:color w:val="000000" w:themeColor="text1"/>
          <w:sz w:val="24"/>
          <w14:textFill>
            <w14:solidFill>
              <w14:schemeClr w14:val="tx1"/>
            </w14:solidFill>
          </w14:textFill>
        </w:rPr>
        <w:t>工程项目</w:t>
      </w:r>
      <w:r>
        <w:rPr>
          <w:rFonts w:hint="eastAsia" w:ascii="宋体" w:hAnsi="宋体" w:eastAsia="宋体" w:cs="宋体"/>
          <w:color w:val="000000" w:themeColor="text1"/>
          <w:sz w:val="24"/>
          <w:lang w:val="en-US" w:eastAsia="zh-CN"/>
          <w14:textFill>
            <w14:solidFill>
              <w14:schemeClr w14:val="tx1"/>
            </w14:solidFill>
          </w14:textFill>
        </w:rPr>
        <w:t>运行阶段的评价。</w:t>
      </w:r>
    </w:p>
    <w:p w14:paraId="00D8C6FD">
      <w:pPr>
        <w:widowControl/>
        <w:snapToGrid w:val="0"/>
        <w:spacing w:line="360" w:lineRule="auto"/>
        <w:ind w:firstLine="480" w:firstLineChars="200"/>
        <w:jc w:val="left"/>
        <w:rPr>
          <w:rFonts w:hint="eastAsia" w:ascii="宋体" w:hAnsi="宋体" w:eastAsia="宋体" w:cs="宋体"/>
          <w:color w:val="000000" w:themeColor="text1"/>
          <w:sz w:val="24"/>
          <w:lang w:val="en-US" w:eastAsia="zh-CN"/>
          <w14:textFill>
            <w14:solidFill>
              <w14:schemeClr w14:val="tx1"/>
            </w14:solidFill>
          </w14:textFill>
        </w:rPr>
      </w:pPr>
      <w:r>
        <w:rPr>
          <w:rFonts w:hint="eastAsia" w:ascii="宋体" w:hAnsi="宋体" w:eastAsia="宋体" w:cs="宋体"/>
          <w:color w:val="000000" w:themeColor="text1"/>
          <w:sz w:val="24"/>
          <w:lang w:val="en-US" w:eastAsia="zh-CN"/>
          <w14:textFill>
            <w14:solidFill>
              <w14:schemeClr w14:val="tx1"/>
            </w14:solidFill>
          </w14:textFill>
        </w:rPr>
        <w:t>在供热运行过程中临时排放的废水应进行有效收集。检查固体废弃物如炉渣、污泥等的收集情况。评估收集过程中的操作规范性、收集容器的适用性和密封性，以及收集后的暂存条件。评估收集到的废水和固体废弃物是否被送往具备相应处理能力的单位进行集中处理。评估废水和固体废弃物的收集与集中处理过程对环境的影响，确保不对周围水体、土壤和空气造成污染。同时，考虑处理过程中可能产生的二次污染及其防控措施。 评估供热系统是否制定了针对废水和固体废弃物泄漏或其他突发环境的应急预案，确保在紧急情况下能够迅速有效地应对和控制污染。</w:t>
      </w:r>
    </w:p>
    <w:p w14:paraId="117BB515">
      <w:pPr>
        <w:snapToGrid w:val="0"/>
        <w:spacing w:after="0" w:afterLines="-2147483648" w:line="360" w:lineRule="auto"/>
        <w:ind w:firstLine="480" w:firstLineChars="200"/>
        <w:jc w:val="left"/>
        <w:outlineLvl w:val="9"/>
        <w:rPr>
          <w:rFonts w:hint="eastAsia" w:ascii="宋体" w:hAnsi="宋体" w:eastAsia="宋体" w:cs="宋体"/>
          <w:color w:val="000000" w:themeColor="text1"/>
          <w:sz w:val="24"/>
          <w:lang w:val="en-US" w:eastAsia="zh-CN"/>
          <w14:textFill>
            <w14:solidFill>
              <w14:schemeClr w14:val="tx1"/>
            </w14:solidFill>
          </w14:textFill>
        </w:rPr>
      </w:pPr>
      <w:r>
        <w:rPr>
          <w:rFonts w:hint="eastAsia" w:ascii="宋体" w:hAnsi="宋体" w:eastAsia="宋体" w:cs="宋体"/>
          <w:color w:val="000000" w:themeColor="text1"/>
          <w:sz w:val="24"/>
          <w:lang w:val="en-US" w:eastAsia="zh-CN"/>
          <w14:textFill>
            <w14:solidFill>
              <w14:schemeClr w14:val="tx1"/>
            </w14:solidFill>
          </w14:textFill>
        </w:rPr>
        <w:t>考量内容：（1）定期进行合规性审查记录；（2）内部运行维护记录、环境污染事故处置应急预案；（3）第三方检测和监管机构的检查记录。</w:t>
      </w:r>
    </w:p>
    <w:p w14:paraId="4EDFC3D9">
      <w:pPr>
        <w:numPr>
          <w:ilvl w:val="-1"/>
          <w:numId w:val="0"/>
        </w:numPr>
        <w:snapToGrid w:val="0"/>
        <w:spacing w:after="0" w:afterLines="-2147483648" w:line="360" w:lineRule="auto"/>
        <w:ind w:left="0" w:firstLine="0"/>
        <w:jc w:val="left"/>
        <w:outlineLvl w:val="9"/>
        <w:rPr>
          <w:rFonts w:hint="eastAsia" w:ascii="宋体" w:hAnsi="宋体" w:eastAsia="宋体" w:cs="宋体"/>
          <w:strike w:val="0"/>
          <w:color w:val="000000" w:themeColor="text1"/>
          <w:sz w:val="24"/>
          <w:lang w:val="en-US" w:eastAsia="zh-CN"/>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B.6</w:t>
      </w:r>
      <w:r>
        <w:rPr>
          <w:rFonts w:hint="eastAsia" w:ascii="宋体" w:hAnsi="宋体" w:eastAsia="宋体" w:cs="宋体"/>
          <w:color w:val="000000" w:themeColor="text1"/>
          <w:sz w:val="24"/>
          <w:lang w:val="en-US" w:eastAsia="zh-CN"/>
          <w14:textFill>
            <w14:solidFill>
              <w14:schemeClr w14:val="tx1"/>
            </w14:solidFill>
          </w14:textFill>
        </w:rPr>
        <w:t>.4</w:t>
      </w:r>
      <w:r>
        <w:rPr>
          <w:rFonts w:hint="eastAsia" w:ascii="宋体" w:hAnsi="宋体" w:eastAsia="宋体" w:cs="宋体"/>
          <w:strike w:val="0"/>
          <w:color w:val="000000" w:themeColor="text1"/>
          <w:sz w:val="24"/>
          <w:lang w:val="en-US" w:eastAsia="zh-CN"/>
          <w14:textFill>
            <w14:solidFill>
              <w14:schemeClr w14:val="tx1"/>
            </w14:solidFill>
          </w14:textFill>
        </w:rPr>
        <w:t>本条款适用于城市供热系统</w:t>
      </w:r>
      <w:r>
        <w:rPr>
          <w:rFonts w:hint="eastAsia" w:ascii="宋体" w:hAnsi="宋体" w:eastAsia="宋体" w:cs="宋体"/>
          <w:strike w:val="0"/>
          <w:color w:val="000000" w:themeColor="text1"/>
          <w:sz w:val="24"/>
          <w14:textFill>
            <w14:solidFill>
              <w14:schemeClr w14:val="tx1"/>
            </w14:solidFill>
          </w14:textFill>
        </w:rPr>
        <w:t>工程项目</w:t>
      </w:r>
      <w:r>
        <w:rPr>
          <w:rFonts w:hint="eastAsia" w:ascii="宋体" w:hAnsi="宋体" w:eastAsia="宋体" w:cs="宋体"/>
          <w:strike w:val="0"/>
          <w:color w:val="000000" w:themeColor="text1"/>
          <w:sz w:val="24"/>
          <w:lang w:val="en-US" w:eastAsia="zh-CN"/>
          <w14:textFill>
            <w14:solidFill>
              <w14:schemeClr w14:val="tx1"/>
            </w14:solidFill>
          </w14:textFill>
        </w:rPr>
        <w:t>规划设计、运行阶段的评价。</w:t>
      </w:r>
    </w:p>
    <w:p w14:paraId="7A9D55CC">
      <w:pPr>
        <w:numPr>
          <w:ilvl w:val="-1"/>
          <w:numId w:val="0"/>
        </w:numPr>
        <w:snapToGrid w:val="0"/>
        <w:spacing w:after="0" w:afterLines="-2147483648" w:line="360" w:lineRule="auto"/>
        <w:ind w:left="0" w:firstLine="420" w:firstLineChars="175"/>
        <w:jc w:val="left"/>
        <w:outlineLvl w:val="9"/>
        <w:rPr>
          <w:rFonts w:hint="eastAsia" w:ascii="宋体" w:hAnsi="宋体" w:eastAsia="宋体" w:cs="宋体"/>
          <w:strike w:val="0"/>
          <w:color w:val="000000" w:themeColor="text1"/>
          <w:sz w:val="24"/>
          <w:lang w:val="en-US" w:eastAsia="zh-CN"/>
          <w14:textFill>
            <w14:solidFill>
              <w14:schemeClr w14:val="tx1"/>
            </w14:solidFill>
          </w14:textFill>
        </w:rPr>
      </w:pPr>
      <w:r>
        <w:rPr>
          <w:rFonts w:hint="eastAsia" w:ascii="宋体" w:hAnsi="宋体" w:eastAsia="宋体" w:cs="宋体"/>
          <w:strike w:val="0"/>
          <w:color w:val="000000" w:themeColor="text1"/>
          <w:sz w:val="24"/>
          <w:lang w:val="en-US" w:eastAsia="zh-CN"/>
          <w14:textFill>
            <w14:solidFill>
              <w14:schemeClr w14:val="tx1"/>
            </w14:solidFill>
          </w14:textFill>
        </w:rPr>
        <w:t>应加强水源地保护区的管理和监测、提高热泵系统设计的科学性和环保性、增加环保设施的投入力度，提升企业选用热泵系统的环境保护技术水平，保障地下水资源的可持续利用。</w:t>
      </w:r>
    </w:p>
    <w:p w14:paraId="23414501">
      <w:pPr>
        <w:snapToGrid w:val="0"/>
        <w:spacing w:line="360" w:lineRule="auto"/>
        <w:ind w:firstLine="480" w:firstLineChars="200"/>
        <w:jc w:val="left"/>
        <w:outlineLvl w:val="9"/>
        <w:rPr>
          <w:rFonts w:hint="eastAsia" w:ascii="宋体" w:hAnsi="宋体" w:eastAsia="宋体" w:cs="宋体"/>
          <w:b w:val="0"/>
          <w:bCs w:val="0"/>
          <w:strike w:val="0"/>
          <w:color w:val="000000" w:themeColor="text1"/>
          <w:sz w:val="24"/>
          <w:szCs w:val="24"/>
          <w:lang w:val="en-US" w:eastAsia="zh-CN"/>
          <w14:textFill>
            <w14:solidFill>
              <w14:schemeClr w14:val="tx1"/>
            </w14:solidFill>
          </w14:textFill>
        </w:rPr>
      </w:pPr>
      <w:r>
        <w:rPr>
          <w:rFonts w:hint="default" w:ascii="宋体" w:hAnsi="宋体" w:eastAsia="宋体" w:cs="宋体"/>
          <w:b w:val="0"/>
          <w:bCs w:val="0"/>
          <w:strike w:val="0"/>
          <w:color w:val="000000" w:themeColor="text1"/>
          <w:sz w:val="24"/>
          <w:szCs w:val="24"/>
          <w:lang w:val="en-US" w:eastAsia="zh-CN"/>
          <w14:textFill>
            <w14:solidFill>
              <w14:schemeClr w14:val="tx1"/>
            </w14:solidFill>
          </w14:textFill>
        </w:rPr>
        <w:t>考量内容</w:t>
      </w:r>
      <w:r>
        <w:rPr>
          <w:rFonts w:hint="eastAsia" w:ascii="宋体" w:hAnsi="宋体" w:eastAsia="宋体" w:cs="宋体"/>
          <w:strike w:val="0"/>
          <w:color w:val="000000" w:themeColor="text1"/>
          <w:sz w:val="24"/>
          <w:lang w:val="en-US" w:eastAsia="zh-CN"/>
          <w14:textFill>
            <w14:solidFill>
              <w14:schemeClr w14:val="tx1"/>
            </w14:solidFill>
          </w14:textFill>
        </w:rPr>
        <w:t>：（1）供热系统规划设计文件；（2）供热系统工程项目投资立项可研批复文件；（3）现场实地踏勘。</w:t>
      </w:r>
    </w:p>
    <w:p w14:paraId="285B0F64">
      <w:pPr>
        <w:numPr>
          <w:ilvl w:val="-1"/>
          <w:numId w:val="0"/>
        </w:numPr>
        <w:snapToGrid w:val="0"/>
        <w:spacing w:after="0" w:afterLines="-2147483648" w:line="360" w:lineRule="auto"/>
        <w:ind w:left="0" w:firstLine="0"/>
        <w:jc w:val="left"/>
        <w:outlineLvl w:val="9"/>
        <w:rPr>
          <w:rFonts w:hint="eastAsia" w:ascii="宋体" w:hAnsi="宋体" w:eastAsia="宋体" w:cs="宋体"/>
          <w:strike w:val="0"/>
          <w:color w:val="000000" w:themeColor="text1"/>
          <w:sz w:val="24"/>
          <w:lang w:val="en-US" w:eastAsia="zh-CN"/>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B.6</w:t>
      </w:r>
      <w:r>
        <w:rPr>
          <w:rFonts w:hint="eastAsia" w:ascii="宋体" w:hAnsi="宋体" w:eastAsia="宋体" w:cs="宋体"/>
          <w:color w:val="000000" w:themeColor="text1"/>
          <w:sz w:val="24"/>
          <w:lang w:val="en-US" w:eastAsia="zh-CN"/>
          <w14:textFill>
            <w14:solidFill>
              <w14:schemeClr w14:val="tx1"/>
            </w14:solidFill>
          </w14:textFill>
        </w:rPr>
        <w:t>.5</w:t>
      </w:r>
      <w:r>
        <w:rPr>
          <w:rFonts w:hint="eastAsia" w:ascii="宋体" w:hAnsi="宋体" w:eastAsia="宋体" w:cs="宋体"/>
          <w:strike w:val="0"/>
          <w:color w:val="000000" w:themeColor="text1"/>
          <w:sz w:val="24"/>
          <w:lang w:val="en-US" w:eastAsia="zh-CN"/>
          <w14:textFill>
            <w14:solidFill>
              <w14:schemeClr w14:val="tx1"/>
            </w14:solidFill>
          </w14:textFill>
        </w:rPr>
        <w:t>本条款适用于城市供热系统</w:t>
      </w:r>
      <w:r>
        <w:rPr>
          <w:rFonts w:hint="eastAsia" w:ascii="宋体" w:hAnsi="宋体" w:eastAsia="宋体" w:cs="宋体"/>
          <w:strike w:val="0"/>
          <w:color w:val="000000" w:themeColor="text1"/>
          <w:sz w:val="24"/>
          <w14:textFill>
            <w14:solidFill>
              <w14:schemeClr w14:val="tx1"/>
            </w14:solidFill>
          </w14:textFill>
        </w:rPr>
        <w:t>工程项目</w:t>
      </w:r>
      <w:r>
        <w:rPr>
          <w:rFonts w:hint="eastAsia" w:ascii="宋体" w:hAnsi="宋体" w:eastAsia="宋体" w:cs="宋体"/>
          <w:strike w:val="0"/>
          <w:color w:val="000000" w:themeColor="text1"/>
          <w:sz w:val="24"/>
          <w:lang w:val="en-US" w:eastAsia="zh-CN"/>
          <w14:textFill>
            <w14:solidFill>
              <w14:schemeClr w14:val="tx1"/>
            </w14:solidFill>
          </w14:textFill>
        </w:rPr>
        <w:t>规划设计、运行阶段的评价。</w:t>
      </w:r>
    </w:p>
    <w:p w14:paraId="6CC3729F">
      <w:pPr>
        <w:numPr>
          <w:ilvl w:val="-1"/>
          <w:numId w:val="0"/>
        </w:numPr>
        <w:snapToGrid w:val="0"/>
        <w:spacing w:after="0" w:afterLines="-2147483648" w:line="360" w:lineRule="auto"/>
        <w:ind w:left="0" w:firstLine="480" w:firstLineChars="200"/>
        <w:jc w:val="left"/>
        <w:outlineLvl w:val="9"/>
        <w:rPr>
          <w:rFonts w:hint="eastAsia" w:ascii="宋体" w:hAnsi="宋体" w:eastAsia="宋体" w:cs="宋体"/>
          <w:strike w:val="0"/>
          <w:color w:val="000000" w:themeColor="text1"/>
          <w:sz w:val="24"/>
          <w:lang w:val="en-US" w:eastAsia="zh-CN"/>
          <w14:textFill>
            <w14:solidFill>
              <w14:schemeClr w14:val="tx1"/>
            </w14:solidFill>
          </w14:textFill>
        </w:rPr>
      </w:pPr>
      <w:r>
        <w:rPr>
          <w:rFonts w:hint="eastAsia" w:ascii="宋体" w:hAnsi="宋体" w:eastAsia="宋体" w:cs="宋体"/>
          <w:strike w:val="0"/>
          <w:color w:val="000000" w:themeColor="text1"/>
          <w:sz w:val="24"/>
          <w:lang w:val="en-US" w:eastAsia="zh-CN"/>
          <w14:textFill>
            <w14:solidFill>
              <w14:schemeClr w14:val="tx1"/>
            </w14:solidFill>
          </w14:textFill>
        </w:rPr>
        <w:t>确保在利用地下水和地热水资源进行供热运行中，不会对环境和水资源造成不可逆转的损害，即进行地下水源、地热水开采和使用过程中，要采取有效措施保证回灌水的质量和数量；不得污染饮用水资源；防止过度水资源开采和环境破坏，防止加剧已有的环境问题和生态损害。</w:t>
      </w:r>
    </w:p>
    <w:p w14:paraId="5A71870D">
      <w:pPr>
        <w:snapToGrid w:val="0"/>
        <w:spacing w:after="0" w:afterLines="-2147483648" w:line="360" w:lineRule="auto"/>
        <w:ind w:firstLine="480" w:firstLineChars="200"/>
        <w:jc w:val="left"/>
        <w:outlineLvl w:val="9"/>
        <w:rPr>
          <w:rFonts w:hint="eastAsia" w:ascii="宋体" w:hAnsi="宋体" w:eastAsia="宋体" w:cs="宋体"/>
          <w:color w:val="000000" w:themeColor="text1"/>
          <w:sz w:val="24"/>
          <w:lang w:val="en-US" w:eastAsia="zh-CN"/>
          <w14:textFill>
            <w14:solidFill>
              <w14:schemeClr w14:val="tx1"/>
            </w14:solidFill>
          </w14:textFill>
        </w:rPr>
      </w:pPr>
      <w:r>
        <w:rPr>
          <w:rFonts w:hint="default" w:ascii="宋体" w:hAnsi="宋体" w:eastAsia="宋体" w:cs="宋体"/>
          <w:b w:val="0"/>
          <w:bCs w:val="0"/>
          <w:strike w:val="0"/>
          <w:color w:val="000000" w:themeColor="text1"/>
          <w:sz w:val="24"/>
          <w:szCs w:val="24"/>
          <w:lang w:val="en-US" w:eastAsia="zh-CN"/>
          <w14:textFill>
            <w14:solidFill>
              <w14:schemeClr w14:val="tx1"/>
            </w14:solidFill>
          </w14:textFill>
        </w:rPr>
        <w:t>考量内容</w:t>
      </w:r>
      <w:r>
        <w:rPr>
          <w:rFonts w:hint="eastAsia" w:ascii="宋体" w:hAnsi="宋体" w:eastAsia="宋体" w:cs="宋体"/>
          <w:strike w:val="0"/>
          <w:color w:val="000000" w:themeColor="text1"/>
          <w:sz w:val="24"/>
          <w:lang w:val="en-US" w:eastAsia="zh-CN"/>
          <w14:textFill>
            <w14:solidFill>
              <w14:schemeClr w14:val="tx1"/>
            </w14:solidFill>
          </w14:textFill>
        </w:rPr>
        <w:t>：（1）供热系统规划设计文件；（2）供热系统工程项目投资立项可研批复文件；（3）现场实地踏勘。</w:t>
      </w:r>
    </w:p>
    <w:p w14:paraId="3BA57EA3">
      <w:pPr>
        <w:snapToGrid w:val="0"/>
        <w:spacing w:line="360" w:lineRule="auto"/>
        <w:jc w:val="left"/>
        <w:rPr>
          <w:rFonts w:hint="eastAsia" w:ascii="宋体" w:hAnsi="宋体" w:eastAsia="宋体" w:cs="宋体"/>
          <w:color w:val="000000" w:themeColor="text1"/>
          <w:sz w:val="24"/>
          <w:lang w:val="en-US" w:eastAsia="zh-CN"/>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B.6</w:t>
      </w:r>
      <w:r>
        <w:rPr>
          <w:rFonts w:hint="eastAsia" w:ascii="宋体" w:hAnsi="宋体" w:eastAsia="宋体" w:cs="宋体"/>
          <w:color w:val="000000" w:themeColor="text1"/>
          <w:sz w:val="24"/>
          <w:lang w:val="en-US" w:eastAsia="zh-CN"/>
          <w14:textFill>
            <w14:solidFill>
              <w14:schemeClr w14:val="tx1"/>
            </w14:solidFill>
          </w14:textFill>
        </w:rPr>
        <w:t>.</w:t>
      </w:r>
      <w:r>
        <w:rPr>
          <w:rFonts w:hint="eastAsia" w:ascii="宋体" w:hAnsi="宋体" w:cs="宋体"/>
          <w:color w:val="000000" w:themeColor="text1"/>
          <w:sz w:val="24"/>
          <w:lang w:val="en-US" w:eastAsia="zh-CN"/>
          <w14:textFill>
            <w14:solidFill>
              <w14:schemeClr w14:val="tx1"/>
            </w14:solidFill>
          </w14:textFill>
        </w:rPr>
        <w:t>6</w:t>
      </w:r>
      <w:r>
        <w:rPr>
          <w:rFonts w:hint="eastAsia" w:ascii="宋体" w:hAnsi="宋体" w:eastAsia="宋体" w:cs="宋体"/>
          <w:color w:val="000000" w:themeColor="text1"/>
          <w:sz w:val="24"/>
          <w:lang w:val="en-US" w:eastAsia="zh-CN"/>
          <w14:textFill>
            <w14:solidFill>
              <w14:schemeClr w14:val="tx1"/>
            </w14:solidFill>
          </w14:textFill>
        </w:rPr>
        <w:t>本条款适用于城市供热系统</w:t>
      </w:r>
      <w:r>
        <w:rPr>
          <w:rFonts w:hint="eastAsia" w:ascii="宋体" w:hAnsi="宋体" w:eastAsia="宋体" w:cs="宋体"/>
          <w:color w:val="000000" w:themeColor="text1"/>
          <w:sz w:val="24"/>
          <w14:textFill>
            <w14:solidFill>
              <w14:schemeClr w14:val="tx1"/>
            </w14:solidFill>
          </w14:textFill>
        </w:rPr>
        <w:t>工程项目</w:t>
      </w:r>
      <w:r>
        <w:rPr>
          <w:rFonts w:hint="eastAsia" w:ascii="宋体" w:hAnsi="宋体" w:eastAsia="宋体" w:cs="宋体"/>
          <w:color w:val="000000" w:themeColor="text1"/>
          <w:sz w:val="24"/>
          <w:lang w:val="en-US" w:eastAsia="zh-CN"/>
          <w14:textFill>
            <w14:solidFill>
              <w14:schemeClr w14:val="tx1"/>
            </w14:solidFill>
          </w14:textFill>
        </w:rPr>
        <w:t>规划设计阶段的评价。</w:t>
      </w:r>
    </w:p>
    <w:p w14:paraId="087239BB">
      <w:pPr>
        <w:snapToGrid w:val="0"/>
        <w:spacing w:line="360" w:lineRule="auto"/>
        <w:ind w:firstLine="480" w:firstLineChars="200"/>
        <w:jc w:val="left"/>
        <w:rPr>
          <w:rFonts w:hint="eastAsia" w:ascii="宋体" w:hAnsi="宋体" w:eastAsia="宋体" w:cs="宋体"/>
          <w:color w:val="000000" w:themeColor="text1"/>
          <w:sz w:val="24"/>
          <w:lang w:val="en-US" w:eastAsia="zh-CN"/>
          <w14:textFill>
            <w14:solidFill>
              <w14:schemeClr w14:val="tx1"/>
            </w14:solidFill>
          </w14:textFill>
        </w:rPr>
      </w:pPr>
      <w:r>
        <w:rPr>
          <w:rFonts w:hint="eastAsia" w:ascii="宋体" w:hAnsi="宋体" w:eastAsia="宋体" w:cs="宋体"/>
          <w:color w:val="000000" w:themeColor="text1"/>
          <w:sz w:val="24"/>
          <w:lang w:val="en-US" w:eastAsia="zh-CN"/>
          <w14:textFill>
            <w14:solidFill>
              <w14:schemeClr w14:val="tx1"/>
            </w14:solidFill>
          </w14:textFill>
        </w:rPr>
        <w:t>本条款给出了确保城市供热系统规划和建设合规性和可持续发展的一些原则，旨在促进能源的高效利用和环境保护。（1）选择供热能源时，应考虑当地的资源条件，可利用可再生能源资源，应方便获取天然气、电力等传统能源。能源供应必须能够保证供热系统的连续运行，不会因为能源短缺而导致供热中断。能源成本应在可接受的范围内，确保供热系统的经济性，使得供热服务对于用户来说是可负担的。能源的使用应尽量减少对环境的影响，减少温室气体排放，降低污染物的排放等。（2）为了减少空气污染和提高能源效率，鼓励使用集中供热系统，避免新建以燃煤为燃料的分散式供热锅炉。</w:t>
      </w:r>
    </w:p>
    <w:p w14:paraId="1A42B604">
      <w:pPr>
        <w:snapToGrid w:val="0"/>
        <w:spacing w:line="360" w:lineRule="auto"/>
        <w:ind w:firstLine="480" w:firstLineChars="200"/>
        <w:jc w:val="left"/>
        <w:rPr>
          <w:rFonts w:hint="default" w:ascii="宋体" w:hAnsi="宋体" w:eastAsia="宋体" w:cs="宋体"/>
          <w:color w:val="000000" w:themeColor="text1"/>
          <w:sz w:val="24"/>
          <w:lang w:val="en-US" w:eastAsia="zh-CN"/>
          <w14:textFill>
            <w14:solidFill>
              <w14:schemeClr w14:val="tx1"/>
            </w14:solidFill>
          </w14:textFill>
        </w:rPr>
      </w:pPr>
      <w:r>
        <w:rPr>
          <w:rFonts w:hint="eastAsia" w:ascii="宋体" w:hAnsi="宋体" w:eastAsia="宋体" w:cs="宋体"/>
          <w:color w:val="000000" w:themeColor="text1"/>
          <w:sz w:val="24"/>
          <w:lang w:val="en-US" w:eastAsia="zh-CN"/>
          <w14:textFill>
            <w14:solidFill>
              <w14:schemeClr w14:val="tx1"/>
            </w14:solidFill>
          </w14:textFill>
        </w:rPr>
        <w:t>考量内容：（1）地方政策规范要求文件（2）供热系统规划设计文件；（3）供热系统工程项目投资立项可研批复文件；（4）区域能源规划。</w:t>
      </w:r>
    </w:p>
    <w:p w14:paraId="0E142F76">
      <w:pPr>
        <w:snapToGrid w:val="0"/>
        <w:spacing w:line="360" w:lineRule="auto"/>
        <w:jc w:val="left"/>
        <w:rPr>
          <w:rFonts w:hint="eastAsia" w:ascii="宋体" w:hAnsi="宋体" w:eastAsia="宋体" w:cs="宋体"/>
          <w:color w:val="000000" w:themeColor="text1"/>
          <w:sz w:val="24"/>
          <w:lang w:val="en-US" w:eastAsia="zh-CN"/>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B.6</w:t>
      </w:r>
      <w:r>
        <w:rPr>
          <w:rFonts w:hint="eastAsia" w:ascii="宋体" w:hAnsi="宋体" w:eastAsia="宋体" w:cs="宋体"/>
          <w:color w:val="000000" w:themeColor="text1"/>
          <w:sz w:val="24"/>
          <w:lang w:val="en-US" w:eastAsia="zh-CN"/>
          <w14:textFill>
            <w14:solidFill>
              <w14:schemeClr w14:val="tx1"/>
            </w14:solidFill>
          </w14:textFill>
        </w:rPr>
        <w:t>.</w:t>
      </w:r>
      <w:r>
        <w:rPr>
          <w:rFonts w:hint="eastAsia" w:ascii="宋体" w:hAnsi="宋体" w:cs="宋体"/>
          <w:color w:val="000000" w:themeColor="text1"/>
          <w:sz w:val="24"/>
          <w:lang w:val="en-US" w:eastAsia="zh-CN"/>
          <w14:textFill>
            <w14:solidFill>
              <w14:schemeClr w14:val="tx1"/>
            </w14:solidFill>
          </w14:textFill>
        </w:rPr>
        <w:t>7</w:t>
      </w:r>
      <w:r>
        <w:rPr>
          <w:rFonts w:hint="eastAsia" w:ascii="宋体" w:hAnsi="宋体" w:eastAsia="宋体" w:cs="宋体"/>
          <w:color w:val="000000" w:themeColor="text1"/>
          <w:sz w:val="24"/>
          <w:lang w:val="en-US" w:eastAsia="zh-CN"/>
          <w14:textFill>
            <w14:solidFill>
              <w14:schemeClr w14:val="tx1"/>
            </w14:solidFill>
          </w14:textFill>
        </w:rPr>
        <w:t>本条款适用于城市供热系统</w:t>
      </w:r>
      <w:r>
        <w:rPr>
          <w:rFonts w:hint="eastAsia" w:ascii="宋体" w:hAnsi="宋体" w:eastAsia="宋体" w:cs="宋体"/>
          <w:color w:val="000000" w:themeColor="text1"/>
          <w:sz w:val="24"/>
          <w14:textFill>
            <w14:solidFill>
              <w14:schemeClr w14:val="tx1"/>
            </w14:solidFill>
          </w14:textFill>
        </w:rPr>
        <w:t>工程项目</w:t>
      </w:r>
      <w:r>
        <w:rPr>
          <w:rFonts w:hint="eastAsia" w:ascii="宋体" w:hAnsi="宋体" w:eastAsia="宋体" w:cs="宋体"/>
          <w:color w:val="000000" w:themeColor="text1"/>
          <w:sz w:val="24"/>
          <w:lang w:val="en-US" w:eastAsia="zh-CN"/>
          <w14:textFill>
            <w14:solidFill>
              <w14:schemeClr w14:val="tx1"/>
            </w14:solidFill>
          </w14:textFill>
        </w:rPr>
        <w:t>运行阶段的评价。</w:t>
      </w:r>
    </w:p>
    <w:p w14:paraId="7C101783">
      <w:pPr>
        <w:snapToGrid w:val="0"/>
        <w:spacing w:after="0" w:afterLines="-2147483648" w:line="360" w:lineRule="auto"/>
        <w:ind w:firstLine="480" w:firstLineChars="200"/>
        <w:jc w:val="left"/>
        <w:rPr>
          <w:rFonts w:hint="eastAsia" w:ascii="宋体" w:hAnsi="宋体" w:eastAsia="宋体" w:cs="宋体"/>
          <w:color w:val="000000" w:themeColor="text1"/>
          <w:sz w:val="24"/>
          <w:lang w:val="en-US" w:eastAsia="zh-CN"/>
          <w14:textFill>
            <w14:solidFill>
              <w14:schemeClr w14:val="tx1"/>
            </w14:solidFill>
          </w14:textFill>
        </w:rPr>
      </w:pPr>
      <w:r>
        <w:rPr>
          <w:rFonts w:hint="eastAsia" w:ascii="宋体" w:hAnsi="宋体" w:eastAsia="宋体" w:cs="宋体"/>
          <w:color w:val="000000" w:themeColor="text1"/>
          <w:sz w:val="24"/>
          <w:lang w:val="en-US" w:eastAsia="zh-CN"/>
          <w14:textFill>
            <w14:solidFill>
              <w14:schemeClr w14:val="tx1"/>
            </w14:solidFill>
          </w14:textFill>
        </w:rPr>
        <w:t>在运行阶段对供热系统能源消耗和运行效果进行监测和评价，可以对供热系统的能源消耗和运行效果进行全面的了解，并据此进行优化和改进</w:t>
      </w:r>
      <w:r>
        <w:rPr>
          <w:rFonts w:hint="eastAsia" w:ascii="宋体" w:hAnsi="宋体" w:eastAsia="宋体" w:cs="宋体"/>
          <w:color w:val="000000" w:themeColor="text1"/>
          <w:sz w:val="24"/>
          <w:lang w:eastAsia="zh-CN"/>
          <w14:textFill>
            <w14:solidFill>
              <w14:schemeClr w14:val="tx1"/>
            </w14:solidFill>
          </w14:textFill>
        </w:rPr>
        <w:t>。</w:t>
      </w:r>
      <w:r>
        <w:rPr>
          <w:rFonts w:hint="eastAsia" w:ascii="宋体" w:hAnsi="宋体" w:eastAsia="宋体" w:cs="宋体"/>
          <w:color w:val="000000" w:themeColor="text1"/>
          <w:sz w:val="24"/>
          <w:lang w:val="en-US" w:eastAsia="zh-CN"/>
          <w14:textFill>
            <w14:solidFill>
              <w14:schemeClr w14:val="tx1"/>
            </w14:solidFill>
          </w14:textFill>
        </w:rPr>
        <w:t>（1）监测热源的单位面积供热量、单位供暖温度日数单位面积供热量、单位供热量能耗等指标，对热力站的供热量、耗电量、耗水量等指标进行监测，评估管网的热损失率和管网温降等指标，对用户终端的能源消耗进行实时监测和数据分析；（2）监测供热系统的综合能耗，包括单位面积综合能耗、单位供热量综合能耗等。评估系统的能源利用效率，如热源燃料利用效率、热力站单位面积供热量等。监测和评价供热系统的补水比、供暖建筑单位面积补水量等。（3）评估热源设备的运行热效率、排烟温度、过量空气系数等性能指标。检查热力站换热设备的传热效率、循环泵的运行状态等。对供热管网的输送效率、沿程温降等进行评估。</w:t>
      </w:r>
    </w:p>
    <w:p w14:paraId="726138D2">
      <w:pPr>
        <w:snapToGrid w:val="0"/>
        <w:spacing w:line="360" w:lineRule="auto"/>
        <w:ind w:firstLine="480" w:firstLineChars="200"/>
        <w:jc w:val="left"/>
        <w:rPr>
          <w:rFonts w:hint="default" w:ascii="宋体" w:hAnsi="宋体" w:eastAsia="宋体" w:cs="宋体"/>
          <w:color w:val="000000" w:themeColor="text1"/>
          <w:sz w:val="24"/>
          <w:lang w:val="en-US" w:eastAsia="zh-CN"/>
          <w14:textFill>
            <w14:solidFill>
              <w14:schemeClr w14:val="tx1"/>
            </w14:solidFill>
          </w14:textFill>
        </w:rPr>
      </w:pPr>
      <w:r>
        <w:rPr>
          <w:rFonts w:hint="eastAsia" w:ascii="宋体" w:hAnsi="宋体" w:eastAsia="宋体" w:cs="宋体"/>
          <w:color w:val="000000" w:themeColor="text1"/>
          <w:sz w:val="24"/>
          <w:lang w:val="en-US" w:eastAsia="zh-CN"/>
          <w14:textFill>
            <w14:solidFill>
              <w14:schemeClr w14:val="tx1"/>
            </w14:solidFill>
          </w14:textFill>
        </w:rPr>
        <w:t>考量内容：（1）智慧供热管理系统实时监测记录；（2）内部运行维护记录；（3）能源消耗台账等。</w:t>
      </w:r>
    </w:p>
    <w:p w14:paraId="12A5CE2C">
      <w:pPr>
        <w:snapToGrid w:val="0"/>
        <w:spacing w:line="360" w:lineRule="auto"/>
        <w:jc w:val="left"/>
        <w:rPr>
          <w:rFonts w:hint="eastAsia" w:ascii="宋体" w:hAnsi="宋体" w:eastAsia="宋体" w:cs="宋体"/>
          <w:color w:val="000000" w:themeColor="text1"/>
          <w:sz w:val="24"/>
          <w:lang w:val="en-US" w:eastAsia="zh-CN"/>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B.6</w:t>
      </w:r>
      <w:r>
        <w:rPr>
          <w:rFonts w:hint="eastAsia" w:ascii="宋体" w:hAnsi="宋体" w:eastAsia="宋体" w:cs="宋体"/>
          <w:color w:val="000000" w:themeColor="text1"/>
          <w:sz w:val="24"/>
          <w:lang w:val="en-US" w:eastAsia="zh-CN"/>
          <w14:textFill>
            <w14:solidFill>
              <w14:schemeClr w14:val="tx1"/>
            </w14:solidFill>
          </w14:textFill>
        </w:rPr>
        <w:t>.</w:t>
      </w:r>
      <w:r>
        <w:rPr>
          <w:rFonts w:hint="eastAsia" w:ascii="宋体" w:hAnsi="宋体" w:cs="宋体"/>
          <w:color w:val="000000" w:themeColor="text1"/>
          <w:sz w:val="24"/>
          <w:lang w:val="en-US" w:eastAsia="zh-CN"/>
          <w14:textFill>
            <w14:solidFill>
              <w14:schemeClr w14:val="tx1"/>
            </w14:solidFill>
          </w14:textFill>
        </w:rPr>
        <w:t>8</w:t>
      </w:r>
      <w:r>
        <w:rPr>
          <w:rFonts w:hint="eastAsia" w:ascii="宋体" w:hAnsi="宋体" w:eastAsia="宋体" w:cs="宋体"/>
          <w:color w:val="000000" w:themeColor="text1"/>
          <w:sz w:val="24"/>
          <w:lang w:val="en-US" w:eastAsia="zh-CN"/>
          <w14:textFill>
            <w14:solidFill>
              <w14:schemeClr w14:val="tx1"/>
            </w14:solidFill>
          </w14:textFill>
        </w:rPr>
        <w:t>本条款适用于城市供热系统</w:t>
      </w:r>
      <w:r>
        <w:rPr>
          <w:rFonts w:hint="eastAsia" w:ascii="宋体" w:hAnsi="宋体" w:eastAsia="宋体" w:cs="宋体"/>
          <w:color w:val="000000" w:themeColor="text1"/>
          <w:sz w:val="24"/>
          <w14:textFill>
            <w14:solidFill>
              <w14:schemeClr w14:val="tx1"/>
            </w14:solidFill>
          </w14:textFill>
        </w:rPr>
        <w:t>工程项目</w:t>
      </w:r>
      <w:r>
        <w:rPr>
          <w:rFonts w:hint="eastAsia" w:ascii="宋体" w:hAnsi="宋体" w:eastAsia="宋体" w:cs="宋体"/>
          <w:color w:val="000000" w:themeColor="text1"/>
          <w:sz w:val="24"/>
          <w:lang w:val="en-US" w:eastAsia="zh-CN"/>
          <w14:textFill>
            <w14:solidFill>
              <w14:schemeClr w14:val="tx1"/>
            </w14:solidFill>
          </w14:textFill>
        </w:rPr>
        <w:t>运行阶段的评价。</w:t>
      </w:r>
    </w:p>
    <w:p w14:paraId="63C5F108">
      <w:pPr>
        <w:snapToGrid w:val="0"/>
        <w:spacing w:after="0" w:afterLines="-2147483648" w:line="360" w:lineRule="auto"/>
        <w:ind w:firstLine="480" w:firstLineChars="200"/>
        <w:jc w:val="left"/>
        <w:outlineLvl w:val="9"/>
        <w:rPr>
          <w:rFonts w:hint="default" w:ascii="宋体" w:hAnsi="宋体" w:eastAsia="宋体" w:cs="宋体"/>
          <w:color w:val="000000" w:themeColor="text1"/>
          <w:sz w:val="24"/>
          <w:lang w:val="en-US" w:eastAsia="zh-CN"/>
          <w14:textFill>
            <w14:solidFill>
              <w14:schemeClr w14:val="tx1"/>
            </w14:solidFill>
          </w14:textFill>
        </w:rPr>
      </w:pPr>
      <w:r>
        <w:rPr>
          <w:rFonts w:hint="eastAsia" w:ascii="宋体" w:hAnsi="宋体" w:eastAsia="宋体" w:cs="宋体"/>
          <w:color w:val="000000" w:themeColor="text1"/>
          <w:sz w:val="24"/>
          <w:lang w:val="en-US" w:eastAsia="zh-CN"/>
          <w14:textFill>
            <w14:solidFill>
              <w14:schemeClr w14:val="tx1"/>
            </w14:solidFill>
          </w14:textFill>
        </w:rPr>
        <w:t>典型用户终端是指建筑中朝向、楼层位置、功能用途等原因导致室内热负荷过大、过小、适中等有代表性户式，</w:t>
      </w:r>
      <w:r>
        <w:rPr>
          <w:rFonts w:hint="default" w:ascii="宋体" w:hAnsi="宋体" w:eastAsia="宋体" w:cs="宋体"/>
          <w:color w:val="000000" w:themeColor="text1"/>
          <w:sz w:val="24"/>
          <w:lang w:val="en-US" w:eastAsia="zh-CN"/>
          <w14:textFill>
            <w14:solidFill>
              <w14:schemeClr w14:val="tx1"/>
            </w14:solidFill>
          </w14:textFill>
        </w:rPr>
        <w:t>通过在典型用户终端安装室温采集装置，并结合气候补偿系统和分时分区控制系统，可以实现根据室内外温度变化和用户需求进行有效调节的目标。这将有助于提高能源利用效率，降低能耗成本，同时保持室内环境的舒适度。</w:t>
      </w:r>
    </w:p>
    <w:p w14:paraId="3D52D193">
      <w:pPr>
        <w:snapToGrid w:val="0"/>
        <w:spacing w:after="0" w:afterLines="-2147483648" w:line="360" w:lineRule="auto"/>
        <w:ind w:firstLine="480" w:firstLineChars="200"/>
        <w:jc w:val="left"/>
        <w:rPr>
          <w:rFonts w:hint="default" w:ascii="宋体" w:hAnsi="宋体" w:eastAsia="宋体" w:cs="宋体"/>
          <w:color w:val="000000" w:themeColor="text1"/>
          <w:sz w:val="24"/>
          <w:lang w:val="en-US" w:eastAsia="zh-CN"/>
          <w14:textFill>
            <w14:solidFill>
              <w14:schemeClr w14:val="tx1"/>
            </w14:solidFill>
          </w14:textFill>
        </w:rPr>
      </w:pPr>
      <w:r>
        <w:rPr>
          <w:rFonts w:hint="eastAsia" w:ascii="宋体" w:hAnsi="宋体" w:eastAsia="宋体" w:cs="宋体"/>
          <w:color w:val="000000" w:themeColor="text1"/>
          <w:sz w:val="24"/>
          <w:lang w:val="en-US" w:eastAsia="zh-CN"/>
          <w14:textFill>
            <w14:solidFill>
              <w14:schemeClr w14:val="tx1"/>
            </w14:solidFill>
          </w14:textFill>
        </w:rPr>
        <w:t>考量内容：（1）智慧供热管理系统实时监测记录；（2）内部运行维护记录；（3）热线或居民投诉意见记录；（4）第三方检测和监管机构的检查记录等。</w:t>
      </w:r>
    </w:p>
    <w:p w14:paraId="52ACC4AF">
      <w:pPr>
        <w:snapToGrid w:val="0"/>
        <w:spacing w:line="360" w:lineRule="auto"/>
        <w:jc w:val="left"/>
        <w:rPr>
          <w:rFonts w:hint="eastAsia" w:ascii="宋体" w:hAnsi="宋体" w:eastAsia="宋体" w:cs="宋体"/>
          <w:color w:val="000000" w:themeColor="text1"/>
          <w:sz w:val="24"/>
          <w:lang w:val="en-US" w:eastAsia="zh-CN"/>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B.6</w:t>
      </w:r>
      <w:r>
        <w:rPr>
          <w:rFonts w:hint="eastAsia" w:ascii="宋体" w:hAnsi="宋体" w:eastAsia="宋体" w:cs="宋体"/>
          <w:color w:val="000000" w:themeColor="text1"/>
          <w:sz w:val="24"/>
          <w:lang w:val="en-US" w:eastAsia="zh-CN"/>
          <w14:textFill>
            <w14:solidFill>
              <w14:schemeClr w14:val="tx1"/>
            </w14:solidFill>
          </w14:textFill>
        </w:rPr>
        <w:t>.</w:t>
      </w:r>
      <w:r>
        <w:rPr>
          <w:rFonts w:hint="eastAsia" w:ascii="宋体" w:hAnsi="宋体" w:cs="宋体"/>
          <w:color w:val="000000" w:themeColor="text1"/>
          <w:sz w:val="24"/>
          <w:lang w:val="en-US" w:eastAsia="zh-CN"/>
          <w14:textFill>
            <w14:solidFill>
              <w14:schemeClr w14:val="tx1"/>
            </w14:solidFill>
          </w14:textFill>
        </w:rPr>
        <w:t>9</w:t>
      </w:r>
      <w:r>
        <w:rPr>
          <w:rFonts w:hint="eastAsia" w:ascii="宋体" w:hAnsi="宋体" w:eastAsia="宋体" w:cs="宋体"/>
          <w:color w:val="000000" w:themeColor="text1"/>
          <w:sz w:val="24"/>
          <w:lang w:val="en-US" w:eastAsia="zh-CN"/>
          <w14:textFill>
            <w14:solidFill>
              <w14:schemeClr w14:val="tx1"/>
            </w14:solidFill>
          </w14:textFill>
        </w:rPr>
        <w:t>本条款适用于城市供热系统</w:t>
      </w:r>
      <w:r>
        <w:rPr>
          <w:rFonts w:hint="eastAsia" w:ascii="宋体" w:hAnsi="宋体" w:eastAsia="宋体" w:cs="宋体"/>
          <w:color w:val="000000" w:themeColor="text1"/>
          <w:sz w:val="24"/>
          <w14:textFill>
            <w14:solidFill>
              <w14:schemeClr w14:val="tx1"/>
            </w14:solidFill>
          </w14:textFill>
        </w:rPr>
        <w:t>工程项目</w:t>
      </w:r>
      <w:r>
        <w:rPr>
          <w:rFonts w:hint="eastAsia" w:ascii="宋体" w:hAnsi="宋体" w:eastAsia="宋体" w:cs="宋体"/>
          <w:color w:val="000000" w:themeColor="text1"/>
          <w:sz w:val="24"/>
          <w:lang w:val="en-US" w:eastAsia="zh-CN"/>
          <w14:textFill>
            <w14:solidFill>
              <w14:schemeClr w14:val="tx1"/>
            </w14:solidFill>
          </w14:textFill>
        </w:rPr>
        <w:t>在规划设计阶段、施工建造阶段、运行阶段的评价。</w:t>
      </w:r>
    </w:p>
    <w:p w14:paraId="741DA25A">
      <w:pPr>
        <w:numPr>
          <w:ilvl w:val="-1"/>
          <w:numId w:val="0"/>
        </w:numPr>
        <w:snapToGrid w:val="0"/>
        <w:spacing w:after="0" w:afterLines="-2147483648" w:line="360" w:lineRule="auto"/>
        <w:ind w:left="0" w:leftChars="0" w:firstLine="480" w:firstLineChars="200"/>
        <w:jc w:val="left"/>
        <w:rPr>
          <w:rFonts w:hint="eastAsia" w:ascii="宋体" w:hAnsi="宋体" w:eastAsia="宋体" w:cs="宋体"/>
          <w:color w:val="000000" w:themeColor="text1"/>
          <w:sz w:val="24"/>
          <w:lang w:val="en-US" w:eastAsia="zh-CN"/>
          <w14:textFill>
            <w14:solidFill>
              <w14:schemeClr w14:val="tx1"/>
            </w14:solidFill>
          </w14:textFill>
        </w:rPr>
      </w:pPr>
      <w:r>
        <w:rPr>
          <w:rFonts w:hint="eastAsia" w:ascii="宋体" w:hAnsi="宋体" w:eastAsia="宋体" w:cs="宋体"/>
          <w:color w:val="000000" w:themeColor="text1"/>
          <w:sz w:val="24"/>
          <w:lang w:val="en-US" w:eastAsia="zh-CN"/>
          <w14:textFill>
            <w14:solidFill>
              <w14:schemeClr w14:val="tx1"/>
            </w14:solidFill>
          </w14:textFill>
        </w:rPr>
        <w:t>供热系统改造时，应从能源消耗总量、节能改造效果、设备稳定性与节能要求以及既有公共建筑供热计量改造等方面进行全面评价，客观地反映改造的整体效果，为后续的节能工作提供有力支持。（1）改造后节能率的计算方法为：节能率 = (改造前能耗 - 改造后能耗)/改造前能耗}*100%。该指标应基于实际测量和计算得出节能率，节能率大于15%，以验证改造效果的有效性。（2） 应考虑改造后供热质量和调节控制水平的提升，以及供热系统运行效率和能耗指标与改造前的对比分析。（3）设备的稳定运行应通过定期的维护保养和有效的使用节能设施来保证。节能应通过能耗测试和能效评价来验证，包括锅炉效率、循环水泵运行效率等指标。（4）改造应符合标准规范的要求。在建筑热力入口(或热力站)安装热量表，在室内安装室温调控装置，供热系统安装水力平衡装置和分时分区供热控制装置，以实现供热计量和节能。</w:t>
      </w:r>
    </w:p>
    <w:p w14:paraId="31A16F69">
      <w:pPr>
        <w:snapToGrid w:val="0"/>
        <w:spacing w:line="360" w:lineRule="auto"/>
        <w:ind w:firstLine="480" w:firstLineChars="200"/>
        <w:jc w:val="left"/>
        <w:rPr>
          <w:rFonts w:hint="default" w:ascii="宋体" w:hAnsi="宋体" w:eastAsia="宋体" w:cs="宋体"/>
          <w:color w:val="000000" w:themeColor="text1"/>
          <w:sz w:val="24"/>
          <w:lang w:val="en-US" w:eastAsia="zh-CN"/>
          <w14:textFill>
            <w14:solidFill>
              <w14:schemeClr w14:val="tx1"/>
            </w14:solidFill>
          </w14:textFill>
        </w:rPr>
      </w:pPr>
      <w:r>
        <w:rPr>
          <w:rFonts w:hint="eastAsia" w:ascii="宋体" w:hAnsi="宋体" w:eastAsia="宋体" w:cs="宋体"/>
          <w:color w:val="000000" w:themeColor="text1"/>
          <w:sz w:val="24"/>
          <w:lang w:val="en-US" w:eastAsia="zh-CN"/>
          <w14:textFill>
            <w14:solidFill>
              <w14:schemeClr w14:val="tx1"/>
            </w14:solidFill>
          </w14:textFill>
        </w:rPr>
        <w:t>考量内容：（1）地方政策规范要求文件；（2）供热系统改造规划设计文件；（3）竣工移交资料；（4）智慧供热管理系统实时监测记录；（5）内部运行维护记录。</w:t>
      </w:r>
    </w:p>
    <w:p w14:paraId="6DF64186">
      <w:pPr>
        <w:snapToGrid w:val="0"/>
        <w:spacing w:line="360" w:lineRule="auto"/>
        <w:jc w:val="left"/>
        <w:rPr>
          <w:rFonts w:hint="eastAsia" w:ascii="宋体" w:hAnsi="宋体" w:eastAsia="宋体" w:cs="宋体"/>
          <w:color w:val="000000" w:themeColor="text1"/>
          <w:sz w:val="24"/>
          <w:lang w:val="en-US" w:eastAsia="zh-CN"/>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B.6</w:t>
      </w:r>
      <w:r>
        <w:rPr>
          <w:rFonts w:hint="eastAsia" w:ascii="宋体" w:hAnsi="宋体" w:eastAsia="宋体" w:cs="宋体"/>
          <w:color w:val="000000" w:themeColor="text1"/>
          <w:sz w:val="24"/>
          <w:lang w:val="en-US" w:eastAsia="zh-CN"/>
          <w14:textFill>
            <w14:solidFill>
              <w14:schemeClr w14:val="tx1"/>
            </w14:solidFill>
          </w14:textFill>
        </w:rPr>
        <w:t>.</w:t>
      </w:r>
      <w:r>
        <w:rPr>
          <w:rFonts w:hint="eastAsia" w:ascii="宋体" w:hAnsi="宋体" w:cs="宋体"/>
          <w:color w:val="000000" w:themeColor="text1"/>
          <w:sz w:val="24"/>
          <w:lang w:val="en-US" w:eastAsia="zh-CN"/>
          <w14:textFill>
            <w14:solidFill>
              <w14:schemeClr w14:val="tx1"/>
            </w14:solidFill>
          </w14:textFill>
        </w:rPr>
        <w:t xml:space="preserve">10 </w:t>
      </w:r>
      <w:r>
        <w:rPr>
          <w:rFonts w:hint="eastAsia" w:ascii="宋体" w:hAnsi="宋体" w:eastAsia="宋体" w:cs="宋体"/>
          <w:color w:val="000000" w:themeColor="text1"/>
          <w:sz w:val="24"/>
          <w:lang w:val="en-US" w:eastAsia="zh-CN"/>
          <w14:textFill>
            <w14:solidFill>
              <w14:schemeClr w14:val="tx1"/>
            </w14:solidFill>
          </w14:textFill>
        </w:rPr>
        <w:t>本条款适用于城市供热系统</w:t>
      </w:r>
      <w:r>
        <w:rPr>
          <w:rFonts w:hint="eastAsia" w:ascii="宋体" w:hAnsi="宋体" w:eastAsia="宋体" w:cs="宋体"/>
          <w:color w:val="000000" w:themeColor="text1"/>
          <w:sz w:val="24"/>
          <w14:textFill>
            <w14:solidFill>
              <w14:schemeClr w14:val="tx1"/>
            </w14:solidFill>
          </w14:textFill>
        </w:rPr>
        <w:t>工程项目</w:t>
      </w:r>
      <w:r>
        <w:rPr>
          <w:rFonts w:hint="eastAsia" w:ascii="宋体" w:hAnsi="宋体" w:eastAsia="宋体" w:cs="宋体"/>
          <w:color w:val="000000" w:themeColor="text1"/>
          <w:sz w:val="24"/>
          <w:lang w:val="en-US" w:eastAsia="zh-CN"/>
          <w14:textFill>
            <w14:solidFill>
              <w14:schemeClr w14:val="tx1"/>
            </w14:solidFill>
          </w14:textFill>
        </w:rPr>
        <w:t>规划设计阶段、运行阶段的评价。</w:t>
      </w:r>
    </w:p>
    <w:p w14:paraId="21FA5913">
      <w:pPr>
        <w:snapToGrid w:val="0"/>
        <w:spacing w:after="0" w:afterLines="-2147483648" w:line="360" w:lineRule="auto"/>
        <w:ind w:firstLine="480" w:firstLineChars="200"/>
        <w:jc w:val="left"/>
        <w:outlineLvl w:val="9"/>
        <w:rPr>
          <w:rFonts w:hint="default" w:ascii="宋体" w:hAnsi="宋体" w:eastAsia="宋体" w:cs="宋体"/>
          <w:color w:val="000000" w:themeColor="text1"/>
          <w:sz w:val="24"/>
          <w:lang w:val="en-US" w:eastAsia="zh-CN"/>
          <w14:textFill>
            <w14:solidFill>
              <w14:schemeClr w14:val="tx1"/>
            </w14:solidFill>
          </w14:textFill>
        </w:rPr>
      </w:pPr>
      <w:r>
        <w:rPr>
          <w:rFonts w:hint="default" w:ascii="宋体" w:hAnsi="宋体" w:eastAsia="宋体" w:cs="宋体"/>
          <w:color w:val="000000" w:themeColor="text1"/>
          <w:sz w:val="24"/>
          <w:lang w:val="en-US" w:eastAsia="zh-CN"/>
          <w14:textFill>
            <w14:solidFill>
              <w14:schemeClr w14:val="tx1"/>
            </w14:solidFill>
          </w14:textFill>
        </w:rPr>
        <w:t>锅炉烟气余热深度利用是一种提高供热系统能源利用效率的重要技术。采用这项技术</w:t>
      </w:r>
      <w:r>
        <w:rPr>
          <w:rFonts w:hint="eastAsia" w:ascii="宋体" w:hAnsi="宋体" w:eastAsia="宋体" w:cs="宋体"/>
          <w:color w:val="000000" w:themeColor="text1"/>
          <w:sz w:val="24"/>
          <w:lang w:val="en-US" w:eastAsia="zh-CN"/>
          <w14:textFill>
            <w14:solidFill>
              <w14:schemeClr w14:val="tx1"/>
            </w14:solidFill>
          </w14:textFill>
        </w:rPr>
        <w:t>及</w:t>
      </w:r>
      <w:r>
        <w:rPr>
          <w:rFonts w:hint="default" w:ascii="宋体" w:hAnsi="宋体" w:eastAsia="宋体" w:cs="宋体"/>
          <w:color w:val="000000" w:themeColor="text1"/>
          <w:sz w:val="24"/>
          <w:lang w:val="en-US" w:eastAsia="zh-CN"/>
          <w14:textFill>
            <w14:solidFill>
              <w14:schemeClr w14:val="tx1"/>
            </w14:solidFill>
          </w14:textFill>
        </w:rPr>
        <w:t>多种节能技术来优化供热系统的性能</w:t>
      </w:r>
      <w:r>
        <w:rPr>
          <w:rFonts w:hint="eastAsia" w:ascii="宋体" w:hAnsi="宋体" w:eastAsia="宋体" w:cs="宋体"/>
          <w:color w:val="000000" w:themeColor="text1"/>
          <w:sz w:val="24"/>
          <w:lang w:val="en-US" w:eastAsia="zh-CN"/>
          <w14:textFill>
            <w14:solidFill>
              <w14:schemeClr w14:val="tx1"/>
            </w14:solidFill>
          </w14:textFill>
        </w:rPr>
        <w:t>，</w:t>
      </w:r>
      <w:r>
        <w:rPr>
          <w:rFonts w:hint="default" w:ascii="宋体" w:hAnsi="宋体" w:eastAsia="宋体" w:cs="宋体"/>
          <w:color w:val="000000" w:themeColor="text1"/>
          <w:sz w:val="24"/>
          <w:lang w:val="en-US" w:eastAsia="zh-CN"/>
          <w14:textFill>
            <w14:solidFill>
              <w14:schemeClr w14:val="tx1"/>
            </w14:solidFill>
          </w14:textFill>
        </w:rPr>
        <w:t>可以进一步提高供热系统的能源利用效率</w:t>
      </w:r>
      <w:r>
        <w:rPr>
          <w:rFonts w:hint="eastAsia" w:ascii="宋体" w:hAnsi="宋体" w:eastAsia="宋体" w:cs="宋体"/>
          <w:color w:val="000000" w:themeColor="text1"/>
          <w:sz w:val="24"/>
          <w:lang w:val="en-US" w:eastAsia="zh-CN"/>
          <w14:textFill>
            <w14:solidFill>
              <w14:schemeClr w14:val="tx1"/>
            </w14:solidFill>
          </w14:textFill>
        </w:rPr>
        <w:t>，</w:t>
      </w:r>
      <w:r>
        <w:rPr>
          <w:rFonts w:hint="default" w:ascii="宋体" w:hAnsi="宋体" w:eastAsia="宋体" w:cs="宋体"/>
          <w:color w:val="000000" w:themeColor="text1"/>
          <w:sz w:val="24"/>
          <w:lang w:val="en-US" w:eastAsia="zh-CN"/>
          <w14:textFill>
            <w14:solidFill>
              <w14:schemeClr w14:val="tx1"/>
            </w14:solidFill>
          </w14:textFill>
        </w:rPr>
        <w:t>降低运行成本，并减少对环境的影响。</w:t>
      </w:r>
    </w:p>
    <w:p w14:paraId="208862E8">
      <w:pPr>
        <w:snapToGrid w:val="0"/>
        <w:spacing w:line="360" w:lineRule="auto"/>
        <w:ind w:firstLine="480" w:firstLineChars="200"/>
        <w:jc w:val="left"/>
        <w:rPr>
          <w:rFonts w:hint="default" w:ascii="宋体" w:hAnsi="宋体" w:eastAsia="宋体" w:cs="宋体"/>
          <w:color w:val="000000" w:themeColor="text1"/>
          <w:sz w:val="24"/>
          <w:lang w:val="en-US" w:eastAsia="zh-CN"/>
          <w14:textFill>
            <w14:solidFill>
              <w14:schemeClr w14:val="tx1"/>
            </w14:solidFill>
          </w14:textFill>
        </w:rPr>
      </w:pPr>
      <w:r>
        <w:rPr>
          <w:rFonts w:hint="eastAsia" w:ascii="宋体" w:hAnsi="宋体" w:eastAsia="宋体" w:cs="宋体"/>
          <w:color w:val="000000" w:themeColor="text1"/>
          <w:sz w:val="24"/>
          <w:lang w:val="en-US" w:eastAsia="zh-CN"/>
          <w14:textFill>
            <w14:solidFill>
              <w14:schemeClr w14:val="tx1"/>
            </w14:solidFill>
          </w14:textFill>
        </w:rPr>
        <w:t>考量内容：（1）供热系统改造规划设计文件；（2）智慧供热管理系统实时监测记录；（3）内部运行维护记录。</w:t>
      </w:r>
    </w:p>
    <w:p w14:paraId="4E8A7F6A">
      <w:pPr>
        <w:snapToGrid w:val="0"/>
        <w:spacing w:line="360" w:lineRule="auto"/>
        <w:jc w:val="left"/>
        <w:rPr>
          <w:rFonts w:hint="eastAsia" w:ascii="宋体" w:hAnsi="宋体" w:eastAsia="宋体" w:cs="宋体"/>
          <w:color w:val="000000" w:themeColor="text1"/>
          <w:sz w:val="24"/>
          <w:lang w:val="en-US" w:eastAsia="zh-CN"/>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B.6</w:t>
      </w:r>
      <w:r>
        <w:rPr>
          <w:rFonts w:hint="eastAsia" w:ascii="宋体" w:hAnsi="宋体" w:eastAsia="宋体" w:cs="宋体"/>
          <w:color w:val="000000" w:themeColor="text1"/>
          <w:sz w:val="24"/>
          <w:lang w:val="en-US" w:eastAsia="zh-CN"/>
          <w14:textFill>
            <w14:solidFill>
              <w14:schemeClr w14:val="tx1"/>
            </w14:solidFill>
          </w14:textFill>
        </w:rPr>
        <w:t>.</w:t>
      </w:r>
      <w:r>
        <w:rPr>
          <w:rFonts w:hint="eastAsia" w:ascii="宋体" w:hAnsi="宋体" w:cs="宋体"/>
          <w:color w:val="000000" w:themeColor="text1"/>
          <w:sz w:val="24"/>
          <w:lang w:val="en-US" w:eastAsia="zh-CN"/>
          <w14:textFill>
            <w14:solidFill>
              <w14:schemeClr w14:val="tx1"/>
            </w14:solidFill>
          </w14:textFill>
        </w:rPr>
        <w:t>11</w:t>
      </w:r>
      <w:r>
        <w:rPr>
          <w:rFonts w:hint="eastAsia" w:ascii="宋体" w:hAnsi="宋体" w:eastAsia="宋体" w:cs="宋体"/>
          <w:color w:val="000000" w:themeColor="text1"/>
          <w:sz w:val="24"/>
          <w:lang w:val="en-US" w:eastAsia="zh-CN"/>
          <w14:textFill>
            <w14:solidFill>
              <w14:schemeClr w14:val="tx1"/>
            </w14:solidFill>
          </w14:textFill>
        </w:rPr>
        <w:t>本条款适用于城市供热系统</w:t>
      </w:r>
      <w:r>
        <w:rPr>
          <w:rFonts w:hint="eastAsia" w:ascii="宋体" w:hAnsi="宋体" w:eastAsia="宋体" w:cs="宋体"/>
          <w:color w:val="000000" w:themeColor="text1"/>
          <w:sz w:val="24"/>
          <w14:textFill>
            <w14:solidFill>
              <w14:schemeClr w14:val="tx1"/>
            </w14:solidFill>
          </w14:textFill>
        </w:rPr>
        <w:t>工程项目</w:t>
      </w:r>
      <w:r>
        <w:rPr>
          <w:rFonts w:hint="eastAsia" w:ascii="宋体" w:hAnsi="宋体" w:eastAsia="宋体" w:cs="宋体"/>
          <w:color w:val="000000" w:themeColor="text1"/>
          <w:sz w:val="24"/>
          <w:lang w:val="en-US" w:eastAsia="zh-CN"/>
          <w14:textFill>
            <w14:solidFill>
              <w14:schemeClr w14:val="tx1"/>
            </w14:solidFill>
          </w14:textFill>
        </w:rPr>
        <w:t>规划设计阶段、施工建造阶段、运行阶段的评价。</w:t>
      </w:r>
    </w:p>
    <w:p w14:paraId="70267425">
      <w:pPr>
        <w:snapToGrid w:val="0"/>
        <w:spacing w:line="360" w:lineRule="auto"/>
        <w:ind w:firstLine="480" w:firstLineChars="200"/>
        <w:jc w:val="left"/>
        <w:rPr>
          <w:rFonts w:hint="eastAsia" w:ascii="宋体" w:hAnsi="宋体" w:eastAsia="宋体" w:cs="宋体"/>
          <w:color w:val="000000" w:themeColor="text1"/>
          <w:sz w:val="24"/>
          <w:lang w:val="en-US" w:eastAsia="zh-CN"/>
          <w14:textFill>
            <w14:solidFill>
              <w14:schemeClr w14:val="tx1"/>
            </w14:solidFill>
          </w14:textFill>
        </w:rPr>
      </w:pPr>
      <w:r>
        <w:rPr>
          <w:rFonts w:hint="eastAsia" w:ascii="宋体" w:hAnsi="宋体" w:eastAsia="宋体" w:cs="宋体"/>
          <w:color w:val="000000" w:themeColor="text1"/>
          <w:sz w:val="24"/>
          <w:lang w:val="en-US" w:eastAsia="zh-CN"/>
          <w14:textFill>
            <w14:solidFill>
              <w14:schemeClr w14:val="tx1"/>
            </w14:solidFill>
          </w14:textFill>
        </w:rPr>
        <w:t>通过整合可再生能源与常规能源供热系统、优先利用各类余热资源、采用热电联产等方式以及开发利用可再生能源，可以推动供暖领域的绿色转型，实现节能减排目标与供暖领域可持续发展。（1）将分散的锅炉房整合并联网，可以形成更加高效的供热网络。这种整合应包括与新能源和可再生能源的耦合供热方式，以替代传统的分散供热模式，提高能源利用效率。（2）通过回收和利用这些余热资源，可以显著降低能源消耗和成本。（3）热电联产同时生产电能和热能，可以更有效地利用燃料，减少能源浪费。（4）热泵技术适合建筑、工业领域不同场景应用，浅层地热能、中深层地热能、空气能热泵技术可以实现能源的多元化供应。（5）可再生能源具有清洁、可持续的特点，可以有效地替代化石能源供热，减少环境污染。</w:t>
      </w:r>
    </w:p>
    <w:p w14:paraId="702ECF89">
      <w:pPr>
        <w:snapToGrid w:val="0"/>
        <w:spacing w:line="360" w:lineRule="auto"/>
        <w:ind w:firstLine="480" w:firstLineChars="200"/>
        <w:jc w:val="left"/>
        <w:rPr>
          <w:rFonts w:hint="default" w:ascii="宋体" w:hAnsi="宋体" w:eastAsia="宋体" w:cs="宋体"/>
          <w:color w:val="000000" w:themeColor="text1"/>
          <w:sz w:val="24"/>
          <w:lang w:val="en-US" w:eastAsia="zh-CN"/>
          <w14:textFill>
            <w14:solidFill>
              <w14:schemeClr w14:val="tx1"/>
            </w14:solidFill>
          </w14:textFill>
        </w:rPr>
      </w:pPr>
      <w:r>
        <w:rPr>
          <w:rFonts w:hint="eastAsia" w:ascii="宋体" w:hAnsi="宋体" w:eastAsia="宋体" w:cs="宋体"/>
          <w:color w:val="000000" w:themeColor="text1"/>
          <w:sz w:val="24"/>
          <w:lang w:val="en-US" w:eastAsia="zh-CN"/>
          <w14:textFill>
            <w14:solidFill>
              <w14:schemeClr w14:val="tx1"/>
            </w14:solidFill>
          </w14:textFill>
        </w:rPr>
        <w:t>考量内容：（1）地方政策规范要求文件；（2）供热系统规划设计文件；（3）供热系统工程项目立项可研报告；（4）竣工移交资料；（5）智慧供热管理系统实时监测记录；（6）内部运行维护记录。</w:t>
      </w:r>
    </w:p>
    <w:p w14:paraId="15B12438">
      <w:pPr>
        <w:snapToGrid w:val="0"/>
        <w:spacing w:line="360" w:lineRule="auto"/>
        <w:jc w:val="left"/>
        <w:rPr>
          <w:rFonts w:hint="eastAsia" w:ascii="宋体" w:hAnsi="宋体" w:eastAsia="宋体" w:cs="宋体"/>
          <w:color w:val="000000" w:themeColor="text1"/>
          <w:sz w:val="24"/>
          <w:lang w:val="en-US" w:eastAsia="zh-CN"/>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B.6</w:t>
      </w:r>
      <w:r>
        <w:rPr>
          <w:rFonts w:hint="eastAsia" w:ascii="宋体" w:hAnsi="宋体" w:eastAsia="宋体" w:cs="宋体"/>
          <w:color w:val="000000" w:themeColor="text1"/>
          <w:sz w:val="24"/>
          <w:lang w:val="en-US" w:eastAsia="zh-CN"/>
          <w14:textFill>
            <w14:solidFill>
              <w14:schemeClr w14:val="tx1"/>
            </w14:solidFill>
          </w14:textFill>
        </w:rPr>
        <w:t>.</w:t>
      </w:r>
      <w:r>
        <w:rPr>
          <w:rFonts w:hint="eastAsia" w:ascii="宋体" w:hAnsi="宋体" w:cs="宋体"/>
          <w:color w:val="000000" w:themeColor="text1"/>
          <w:sz w:val="24"/>
          <w:lang w:val="en-US" w:eastAsia="zh-CN"/>
          <w14:textFill>
            <w14:solidFill>
              <w14:schemeClr w14:val="tx1"/>
            </w14:solidFill>
          </w14:textFill>
        </w:rPr>
        <w:t>1</w:t>
      </w:r>
      <w:r>
        <w:rPr>
          <w:rFonts w:hint="eastAsia" w:ascii="宋体" w:hAnsi="宋体" w:eastAsia="宋体" w:cs="宋体"/>
          <w:color w:val="000000" w:themeColor="text1"/>
          <w:sz w:val="24"/>
          <w:lang w:val="en-US" w:eastAsia="zh-CN"/>
          <w14:textFill>
            <w14:solidFill>
              <w14:schemeClr w14:val="tx1"/>
            </w14:solidFill>
          </w14:textFill>
        </w:rPr>
        <w:t>2本条款适用于城市供热系统</w:t>
      </w:r>
      <w:r>
        <w:rPr>
          <w:rFonts w:hint="eastAsia" w:ascii="宋体" w:hAnsi="宋体" w:eastAsia="宋体" w:cs="宋体"/>
          <w:color w:val="000000" w:themeColor="text1"/>
          <w:sz w:val="24"/>
          <w14:textFill>
            <w14:solidFill>
              <w14:schemeClr w14:val="tx1"/>
            </w14:solidFill>
          </w14:textFill>
        </w:rPr>
        <w:t>工程项目</w:t>
      </w:r>
      <w:r>
        <w:rPr>
          <w:rFonts w:hint="eastAsia" w:ascii="宋体" w:hAnsi="宋体" w:eastAsia="宋体" w:cs="宋体"/>
          <w:color w:val="000000" w:themeColor="text1"/>
          <w:sz w:val="24"/>
          <w:lang w:val="en-US" w:eastAsia="zh-CN"/>
          <w14:textFill>
            <w14:solidFill>
              <w14:schemeClr w14:val="tx1"/>
            </w14:solidFill>
          </w14:textFill>
        </w:rPr>
        <w:t>规划设计阶段、施工建造阶段、运行阶段的评价。</w:t>
      </w:r>
    </w:p>
    <w:p w14:paraId="6DE449DF">
      <w:pPr>
        <w:snapToGrid w:val="0"/>
        <w:spacing w:after="0" w:afterLines="-2147483648" w:line="360" w:lineRule="auto"/>
        <w:ind w:firstLine="480" w:firstLineChars="200"/>
        <w:jc w:val="left"/>
        <w:outlineLvl w:val="9"/>
        <w:rPr>
          <w:rFonts w:hint="default" w:ascii="宋体" w:hAnsi="宋体" w:eastAsia="宋体" w:cs="宋体"/>
          <w:color w:val="000000" w:themeColor="text1"/>
          <w:sz w:val="24"/>
          <w:lang w:val="en-US" w:eastAsia="zh-CN"/>
          <w14:textFill>
            <w14:solidFill>
              <w14:schemeClr w14:val="tx1"/>
            </w14:solidFill>
          </w14:textFill>
        </w:rPr>
      </w:pPr>
      <w:r>
        <w:rPr>
          <w:rFonts w:hint="default" w:ascii="宋体" w:hAnsi="宋体" w:eastAsia="宋体" w:cs="宋体"/>
          <w:color w:val="000000" w:themeColor="text1"/>
          <w:sz w:val="24"/>
          <w:lang w:val="en-US" w:eastAsia="zh-CN"/>
          <w14:textFill>
            <w14:solidFill>
              <w14:schemeClr w14:val="tx1"/>
            </w14:solidFill>
          </w14:textFill>
        </w:rPr>
        <w:t>在生物质供暖系统中，</w:t>
      </w:r>
      <w:r>
        <w:rPr>
          <w:rFonts w:hint="eastAsia" w:ascii="宋体" w:hAnsi="宋体" w:eastAsia="宋体" w:cs="宋体"/>
          <w:color w:val="000000" w:themeColor="text1"/>
          <w:sz w:val="24"/>
          <w:lang w:val="en-US" w:eastAsia="zh-CN"/>
          <w14:textFill>
            <w14:solidFill>
              <w14:schemeClr w14:val="tx1"/>
            </w14:solidFill>
          </w14:textFill>
        </w:rPr>
        <w:t>应</w:t>
      </w:r>
      <w:r>
        <w:rPr>
          <w:rFonts w:hint="default" w:ascii="宋体" w:hAnsi="宋体" w:eastAsia="宋体" w:cs="宋体"/>
          <w:color w:val="000000" w:themeColor="text1"/>
          <w:sz w:val="24"/>
          <w:lang w:val="en-US" w:eastAsia="zh-CN"/>
          <w14:textFill>
            <w14:solidFill>
              <w14:schemeClr w14:val="tx1"/>
            </w14:solidFill>
          </w14:textFill>
        </w:rPr>
        <w:t>确保系统的环保和节能效率，防止其他物料可能带来的热值不稳定和污染物排放增加</w:t>
      </w:r>
      <w:r>
        <w:rPr>
          <w:rFonts w:hint="eastAsia" w:ascii="宋体" w:hAnsi="宋体" w:eastAsia="宋体" w:cs="宋体"/>
          <w:color w:val="000000" w:themeColor="text1"/>
          <w:sz w:val="24"/>
          <w:lang w:val="en-US" w:eastAsia="zh-CN"/>
          <w14:textFill>
            <w14:solidFill>
              <w14:schemeClr w14:val="tx1"/>
            </w14:solidFill>
          </w14:textFill>
        </w:rPr>
        <w:t>；</w:t>
      </w:r>
      <w:r>
        <w:rPr>
          <w:rFonts w:hint="default" w:ascii="宋体" w:hAnsi="宋体" w:eastAsia="宋体" w:cs="宋体"/>
          <w:color w:val="000000" w:themeColor="text1"/>
          <w:sz w:val="24"/>
          <w:lang w:val="en-US" w:eastAsia="zh-CN"/>
          <w14:textFill>
            <w14:solidFill>
              <w14:schemeClr w14:val="tx1"/>
            </w14:solidFill>
          </w14:textFill>
        </w:rPr>
        <w:t>所有设备和系统都必须遵守相应的安全标准和操作程序，以防止事故</w:t>
      </w:r>
      <w:r>
        <w:rPr>
          <w:rFonts w:hint="eastAsia" w:ascii="宋体" w:hAnsi="宋体" w:eastAsia="宋体" w:cs="宋体"/>
          <w:color w:val="000000" w:themeColor="text1"/>
          <w:sz w:val="24"/>
          <w:lang w:val="en-US" w:eastAsia="zh-CN"/>
          <w14:textFill>
            <w14:solidFill>
              <w14:schemeClr w14:val="tx1"/>
            </w14:solidFill>
          </w14:textFill>
        </w:rPr>
        <w:t>发生，</w:t>
      </w:r>
      <w:r>
        <w:rPr>
          <w:rFonts w:hint="default" w:ascii="宋体" w:hAnsi="宋体" w:eastAsia="宋体" w:cs="宋体"/>
          <w:color w:val="000000" w:themeColor="text1"/>
          <w:sz w:val="24"/>
          <w:lang w:val="en-US" w:eastAsia="zh-CN"/>
          <w14:textFill>
            <w14:solidFill>
              <w14:schemeClr w14:val="tx1"/>
            </w14:solidFill>
          </w14:textFill>
        </w:rPr>
        <w:t>保障用户安全</w:t>
      </w:r>
      <w:r>
        <w:rPr>
          <w:rFonts w:hint="eastAsia" w:ascii="宋体" w:hAnsi="宋体" w:eastAsia="宋体" w:cs="宋体"/>
          <w:color w:val="000000" w:themeColor="text1"/>
          <w:sz w:val="24"/>
          <w:lang w:val="en-US" w:eastAsia="zh-CN"/>
          <w14:textFill>
            <w14:solidFill>
              <w14:schemeClr w14:val="tx1"/>
            </w14:solidFill>
          </w14:textFill>
        </w:rPr>
        <w:t>。</w:t>
      </w:r>
      <w:r>
        <w:rPr>
          <w:rFonts w:hint="default" w:ascii="宋体" w:hAnsi="宋体" w:eastAsia="宋体" w:cs="宋体"/>
          <w:color w:val="000000" w:themeColor="text1"/>
          <w:sz w:val="24"/>
          <w:lang w:val="en-US" w:eastAsia="zh-CN"/>
          <w14:textFill>
            <w14:solidFill>
              <w14:schemeClr w14:val="tx1"/>
            </w14:solidFill>
          </w14:textFill>
        </w:rPr>
        <w:t>为了降低污染物排放，生物质供暖系统应配备先进的脱硝和除尘设施</w:t>
      </w:r>
      <w:r>
        <w:rPr>
          <w:rFonts w:hint="eastAsia" w:ascii="宋体" w:hAnsi="宋体" w:eastAsia="宋体" w:cs="宋体"/>
          <w:color w:val="000000" w:themeColor="text1"/>
          <w:sz w:val="24"/>
          <w:lang w:val="en-US" w:eastAsia="zh-CN"/>
          <w14:textFill>
            <w14:solidFill>
              <w14:schemeClr w14:val="tx1"/>
            </w14:solidFill>
          </w14:textFill>
        </w:rPr>
        <w:t>，</w:t>
      </w:r>
      <w:r>
        <w:rPr>
          <w:rFonts w:hint="default" w:ascii="宋体" w:hAnsi="宋体" w:eastAsia="宋体" w:cs="宋体"/>
          <w:color w:val="000000" w:themeColor="text1"/>
          <w:sz w:val="24"/>
          <w:lang w:val="en-US" w:eastAsia="zh-CN"/>
          <w14:textFill>
            <w14:solidFill>
              <w14:schemeClr w14:val="tx1"/>
            </w14:solidFill>
          </w14:textFill>
        </w:rPr>
        <w:t>所有排放均应符合国家和地方的环保标准，包括但不限于烟尘、二氧化硫、氮氧化物等污染物的排放限值</w:t>
      </w:r>
      <w:r>
        <w:rPr>
          <w:rFonts w:hint="eastAsia" w:ascii="宋体" w:hAnsi="宋体" w:eastAsia="宋体" w:cs="宋体"/>
          <w:color w:val="000000" w:themeColor="text1"/>
          <w:sz w:val="24"/>
          <w:lang w:val="en-US" w:eastAsia="zh-CN"/>
          <w14:textFill>
            <w14:solidFill>
              <w14:schemeClr w14:val="tx1"/>
            </w14:solidFill>
          </w14:textFill>
        </w:rPr>
        <w:t>。若生物质</w:t>
      </w:r>
      <w:r>
        <w:rPr>
          <w:rFonts w:hint="default" w:ascii="宋体" w:hAnsi="宋体" w:eastAsia="宋体" w:cs="宋体"/>
          <w:color w:val="000000" w:themeColor="text1"/>
          <w:sz w:val="24"/>
          <w:lang w:val="en-US" w:eastAsia="zh-CN"/>
          <w14:textFill>
            <w14:solidFill>
              <w14:schemeClr w14:val="tx1"/>
            </w14:solidFill>
          </w14:textFill>
        </w:rPr>
        <w:t>供暖系统实现超低排放</w:t>
      </w:r>
      <w:r>
        <w:rPr>
          <w:rFonts w:hint="eastAsia" w:ascii="宋体" w:hAnsi="宋体" w:eastAsia="宋体" w:cs="宋体"/>
          <w:color w:val="000000" w:themeColor="text1"/>
          <w:sz w:val="24"/>
          <w:lang w:val="en-US" w:eastAsia="zh-CN"/>
          <w14:textFill>
            <w14:solidFill>
              <w14:schemeClr w14:val="tx1"/>
            </w14:solidFill>
          </w14:textFill>
        </w:rPr>
        <w:t>则</w:t>
      </w:r>
      <w:r>
        <w:rPr>
          <w:rFonts w:hint="default" w:ascii="宋体" w:hAnsi="宋体" w:eastAsia="宋体" w:cs="宋体"/>
          <w:color w:val="000000" w:themeColor="text1"/>
          <w:sz w:val="24"/>
          <w:lang w:val="en-US" w:eastAsia="zh-CN"/>
          <w14:textFill>
            <w14:solidFill>
              <w14:schemeClr w14:val="tx1"/>
            </w14:solidFill>
          </w14:textFill>
        </w:rPr>
        <w:t>进一步减少对环境的影响，促进绿色和可持续发展。</w:t>
      </w:r>
    </w:p>
    <w:p w14:paraId="09810F6C">
      <w:pPr>
        <w:snapToGrid w:val="0"/>
        <w:spacing w:line="360" w:lineRule="auto"/>
        <w:ind w:firstLine="480" w:firstLineChars="200"/>
        <w:jc w:val="left"/>
        <w:rPr>
          <w:rFonts w:hint="default" w:ascii="宋体" w:hAnsi="宋体" w:eastAsia="宋体" w:cs="宋体"/>
          <w:color w:val="000000" w:themeColor="text1"/>
          <w:sz w:val="24"/>
          <w:lang w:val="en-US" w:eastAsia="zh-CN"/>
          <w14:textFill>
            <w14:solidFill>
              <w14:schemeClr w14:val="tx1"/>
            </w14:solidFill>
          </w14:textFill>
        </w:rPr>
      </w:pPr>
      <w:r>
        <w:rPr>
          <w:rFonts w:hint="eastAsia" w:ascii="宋体" w:hAnsi="宋体" w:eastAsia="宋体" w:cs="宋体"/>
          <w:color w:val="000000" w:themeColor="text1"/>
          <w:sz w:val="24"/>
          <w:lang w:val="en-US" w:eastAsia="zh-CN"/>
          <w14:textFill>
            <w14:solidFill>
              <w14:schemeClr w14:val="tx1"/>
            </w14:solidFill>
          </w14:textFill>
        </w:rPr>
        <w:t>考量内容：（1）地方政策规范要求文件；（2）供热系统规划设计文件；（3）供热系统工程项目立项可研报告；（4）竣工移交资料；（5）智慧供热管理系统实时监测记录；（6）内部运行维护记录。</w:t>
      </w:r>
    </w:p>
    <w:p w14:paraId="30FBE6B9">
      <w:pPr>
        <w:widowControl/>
        <w:snapToGrid w:val="0"/>
        <w:spacing w:line="360" w:lineRule="auto"/>
        <w:jc w:val="left"/>
        <w:rPr>
          <w:rFonts w:hint="eastAsia" w:ascii="宋体" w:hAnsi="宋体" w:eastAsia="宋体" w:cs="宋体"/>
          <w:color w:val="000000" w:themeColor="text1"/>
          <w:kern w:val="2"/>
          <w:sz w:val="24"/>
          <w:lang w:bidi="ar"/>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B.6</w:t>
      </w:r>
      <w:r>
        <w:rPr>
          <w:rFonts w:hint="eastAsia" w:ascii="宋体" w:hAnsi="宋体" w:eastAsia="宋体" w:cs="宋体"/>
          <w:color w:val="000000" w:themeColor="text1"/>
          <w:sz w:val="24"/>
          <w:lang w:val="en-US" w:eastAsia="zh-CN"/>
          <w14:textFill>
            <w14:solidFill>
              <w14:schemeClr w14:val="tx1"/>
            </w14:solidFill>
          </w14:textFill>
        </w:rPr>
        <w:t>.</w:t>
      </w:r>
      <w:r>
        <w:rPr>
          <w:rFonts w:hint="eastAsia" w:ascii="宋体" w:hAnsi="宋体" w:cs="宋体"/>
          <w:color w:val="000000" w:themeColor="text1"/>
          <w:sz w:val="24"/>
          <w:lang w:val="en-US" w:eastAsia="zh-CN"/>
          <w14:textFill>
            <w14:solidFill>
              <w14:schemeClr w14:val="tx1"/>
            </w14:solidFill>
          </w14:textFill>
        </w:rPr>
        <w:t>13</w:t>
      </w:r>
      <w:r>
        <w:rPr>
          <w:rFonts w:hint="eastAsia" w:ascii="宋体" w:hAnsi="宋体" w:eastAsia="宋体" w:cs="宋体"/>
          <w:color w:val="000000" w:themeColor="text1"/>
          <w:sz w:val="24"/>
          <w14:textFill>
            <w14:solidFill>
              <w14:schemeClr w14:val="tx1"/>
            </w14:solidFill>
          </w14:textFill>
        </w:rPr>
        <w:t>本条款适用于</w:t>
      </w:r>
      <w:r>
        <w:rPr>
          <w:rFonts w:hint="eastAsia" w:ascii="宋体" w:hAnsi="宋体" w:eastAsia="宋体" w:cs="宋体"/>
          <w:color w:val="000000" w:themeColor="text1"/>
          <w:sz w:val="24"/>
          <w:lang w:val="en-US" w:eastAsia="zh-CN"/>
          <w14:textFill>
            <w14:solidFill>
              <w14:schemeClr w14:val="tx1"/>
            </w14:solidFill>
          </w14:textFill>
        </w:rPr>
        <w:t>城市供热系统</w:t>
      </w:r>
      <w:r>
        <w:rPr>
          <w:rFonts w:hint="eastAsia" w:ascii="宋体" w:hAnsi="宋体" w:eastAsia="宋体" w:cs="宋体"/>
          <w:color w:val="000000" w:themeColor="text1"/>
          <w:sz w:val="24"/>
          <w14:textFill>
            <w14:solidFill>
              <w14:schemeClr w14:val="tx1"/>
            </w14:solidFill>
          </w14:textFill>
        </w:rPr>
        <w:t>工程项目</w:t>
      </w:r>
      <w:r>
        <w:rPr>
          <w:rFonts w:hint="eastAsia" w:ascii="宋体" w:hAnsi="宋体" w:eastAsia="宋体" w:cs="宋体"/>
          <w:color w:val="000000" w:themeColor="text1"/>
          <w:sz w:val="24"/>
          <w:lang w:val="en-US" w:eastAsia="zh-CN"/>
          <w14:textFill>
            <w14:solidFill>
              <w14:schemeClr w14:val="tx1"/>
            </w14:solidFill>
          </w14:textFill>
        </w:rPr>
        <w:t>运行</w:t>
      </w:r>
      <w:r>
        <w:rPr>
          <w:rFonts w:hint="eastAsia" w:ascii="宋体" w:hAnsi="宋体" w:eastAsia="宋体" w:cs="宋体"/>
          <w:color w:val="000000" w:themeColor="text1"/>
          <w:sz w:val="24"/>
          <w14:textFill>
            <w14:solidFill>
              <w14:schemeClr w14:val="tx1"/>
            </w14:solidFill>
          </w14:textFill>
        </w:rPr>
        <w:t>阶段的评价。</w:t>
      </w:r>
    </w:p>
    <w:p w14:paraId="1EA884DC">
      <w:pPr>
        <w:snapToGrid w:val="0"/>
        <w:spacing w:after="0" w:afterLines="-2147483648" w:line="360" w:lineRule="auto"/>
        <w:ind w:firstLine="480" w:firstLineChars="200"/>
        <w:jc w:val="left"/>
        <w:rPr>
          <w:rFonts w:hint="eastAsia" w:ascii="宋体" w:hAnsi="宋体" w:eastAsia="宋体" w:cs="宋体"/>
          <w:color w:val="000000" w:themeColor="text1"/>
          <w:sz w:val="24"/>
          <w:lang w:val="en-US" w:eastAsia="zh-CN"/>
          <w14:textFill>
            <w14:solidFill>
              <w14:schemeClr w14:val="tx1"/>
            </w14:solidFill>
          </w14:textFill>
        </w:rPr>
      </w:pPr>
      <w:r>
        <w:rPr>
          <w:rFonts w:hint="eastAsia" w:ascii="宋体" w:hAnsi="宋体" w:eastAsia="宋体" w:cs="宋体"/>
          <w:color w:val="000000" w:themeColor="text1"/>
          <w:sz w:val="24"/>
          <w:lang w:val="en-US" w:eastAsia="zh-CN"/>
          <w14:textFill>
            <w14:solidFill>
              <w14:schemeClr w14:val="tx1"/>
            </w14:solidFill>
          </w14:textFill>
        </w:rPr>
        <w:t>供热服务质量重点应能够提供适宜的室内温度，以及保障室内稳定和均匀的热舒适度。这包括对供热系统的温度控制能力，以及对热分布均匀性等方面进行监测，确保系统能够持续稳定地运行。检查供热服务提供方是否建立了有效的用户满意度反馈机制，对供热系统故障率、维修及时性、备用设备可用性等方面的考察，评估这些渠道的畅通性、响应速度和处理效率，评估供热系统的综合性能和用户满意度。通过对比分析不同渠道的用户反馈数据，了解供热服务在各个方面的优势和不足，为改进供热服务提供依据。</w:t>
      </w:r>
    </w:p>
    <w:p w14:paraId="3C74373E">
      <w:pPr>
        <w:snapToGrid w:val="0"/>
        <w:spacing w:line="360" w:lineRule="auto"/>
        <w:ind w:firstLine="480" w:firstLineChars="200"/>
        <w:jc w:val="left"/>
        <w:rPr>
          <w:rFonts w:hint="eastAsia" w:ascii="宋体" w:hAnsi="宋体" w:eastAsia="宋体" w:cs="宋体"/>
          <w:color w:val="000000" w:themeColor="text1"/>
          <w:sz w:val="24"/>
          <w:lang w:val="en-US" w:eastAsia="zh-CN"/>
          <w14:textFill>
            <w14:solidFill>
              <w14:schemeClr w14:val="tx1"/>
            </w14:solidFill>
          </w14:textFill>
        </w:rPr>
      </w:pPr>
      <w:r>
        <w:rPr>
          <w:rFonts w:hint="eastAsia" w:ascii="宋体" w:hAnsi="宋体" w:eastAsia="宋体" w:cs="宋体"/>
          <w:color w:val="000000" w:themeColor="text1"/>
          <w:sz w:val="24"/>
          <w:lang w:val="en-US" w:eastAsia="zh-CN"/>
          <w14:textFill>
            <w14:solidFill>
              <w14:schemeClr w14:val="tx1"/>
            </w14:solidFill>
          </w14:textFill>
        </w:rPr>
        <w:t>考量内容：（1）智慧供热管理系统实时监测记录；（2）内部运行维护记录；（3）热线或居民投诉意见记录、满意度调查；（4）第三方检测和监管机构的检查记录等。</w:t>
      </w:r>
    </w:p>
    <w:p w14:paraId="11C00A87">
      <w:pPr>
        <w:snapToGrid w:val="0"/>
        <w:spacing w:line="360" w:lineRule="auto"/>
        <w:jc w:val="left"/>
        <w:rPr>
          <w:rFonts w:hint="eastAsia" w:ascii="宋体" w:hAnsi="宋体" w:eastAsia="宋体" w:cs="宋体"/>
          <w:color w:val="000000" w:themeColor="text1"/>
          <w:sz w:val="24"/>
          <w:lang w:val="en-US" w:eastAsia="zh-CN"/>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B.6</w:t>
      </w:r>
      <w:r>
        <w:rPr>
          <w:rFonts w:hint="eastAsia" w:ascii="宋体" w:hAnsi="宋体" w:eastAsia="宋体" w:cs="宋体"/>
          <w:color w:val="000000" w:themeColor="text1"/>
          <w:sz w:val="24"/>
          <w:lang w:val="en-US" w:eastAsia="zh-CN"/>
          <w14:textFill>
            <w14:solidFill>
              <w14:schemeClr w14:val="tx1"/>
            </w14:solidFill>
          </w14:textFill>
        </w:rPr>
        <w:t>.</w:t>
      </w:r>
      <w:r>
        <w:rPr>
          <w:rFonts w:hint="eastAsia" w:ascii="宋体" w:hAnsi="宋体" w:cs="宋体"/>
          <w:color w:val="000000" w:themeColor="text1"/>
          <w:sz w:val="24"/>
          <w:lang w:val="en-US" w:eastAsia="zh-CN"/>
          <w14:textFill>
            <w14:solidFill>
              <w14:schemeClr w14:val="tx1"/>
            </w14:solidFill>
          </w14:textFill>
        </w:rPr>
        <w:t>14</w:t>
      </w:r>
      <w:r>
        <w:rPr>
          <w:rFonts w:hint="eastAsia" w:ascii="宋体" w:hAnsi="宋体" w:eastAsia="宋体" w:cs="宋体"/>
          <w:color w:val="000000" w:themeColor="text1"/>
          <w:sz w:val="24"/>
          <w:lang w:val="en-US" w:eastAsia="zh-CN"/>
          <w14:textFill>
            <w14:solidFill>
              <w14:schemeClr w14:val="tx1"/>
            </w14:solidFill>
          </w14:textFill>
        </w:rPr>
        <w:t>本条款适用于城市供热系统</w:t>
      </w:r>
      <w:r>
        <w:rPr>
          <w:rFonts w:hint="eastAsia" w:ascii="宋体" w:hAnsi="宋体" w:eastAsia="宋体" w:cs="宋体"/>
          <w:color w:val="000000" w:themeColor="text1"/>
          <w:sz w:val="24"/>
          <w14:textFill>
            <w14:solidFill>
              <w14:schemeClr w14:val="tx1"/>
            </w14:solidFill>
          </w14:textFill>
        </w:rPr>
        <w:t>工程项目</w:t>
      </w:r>
      <w:r>
        <w:rPr>
          <w:rFonts w:hint="eastAsia" w:ascii="宋体" w:hAnsi="宋体" w:eastAsia="宋体" w:cs="宋体"/>
          <w:color w:val="000000" w:themeColor="text1"/>
          <w:sz w:val="24"/>
          <w:lang w:val="en-US" w:eastAsia="zh-CN"/>
          <w14:textFill>
            <w14:solidFill>
              <w14:schemeClr w14:val="tx1"/>
            </w14:solidFill>
          </w14:textFill>
        </w:rPr>
        <w:t>运行阶段的评价。</w:t>
      </w:r>
    </w:p>
    <w:p w14:paraId="2C601C1D">
      <w:pPr>
        <w:snapToGrid w:val="0"/>
        <w:spacing w:after="0" w:afterLines="-2147483648" w:line="360" w:lineRule="auto"/>
        <w:ind w:firstLine="480" w:firstLineChars="200"/>
        <w:jc w:val="left"/>
        <w:outlineLvl w:val="9"/>
        <w:rPr>
          <w:rFonts w:hint="eastAsia" w:ascii="宋体" w:hAnsi="宋体" w:eastAsia="宋体" w:cs="宋体"/>
          <w:color w:val="000000" w:themeColor="text1"/>
          <w:sz w:val="24"/>
          <w:lang w:val="en-US" w:eastAsia="zh-CN"/>
          <w14:textFill>
            <w14:solidFill>
              <w14:schemeClr w14:val="tx1"/>
            </w14:solidFill>
          </w14:textFill>
        </w:rPr>
      </w:pPr>
      <w:r>
        <w:rPr>
          <w:rFonts w:hint="eastAsia" w:ascii="宋体" w:hAnsi="宋体" w:eastAsia="宋体" w:cs="宋体"/>
          <w:color w:val="000000" w:themeColor="text1"/>
          <w:sz w:val="24"/>
          <w:lang w:val="en-US" w:eastAsia="zh-CN"/>
          <w14:textFill>
            <w14:solidFill>
              <w14:schemeClr w14:val="tx1"/>
            </w14:solidFill>
          </w14:textFill>
        </w:rPr>
        <w:t>供热系统的运行成本，包括燃料费用、电力消耗、维护费用等各项支出。对于已经实施或计划实施的节能改造项目，通过计算改造项目的初始投资、预计节能效果以及由此带来的经济效益，进而确定改造项目的投资回报周期。评估设备的使用寿命，可以提前规划设备的更新和替换，避免因设备故障导致的供热中断和额外成本。对企业供热系统的整体经济性和可持续性进行分析，以确保供热系统在满足用户需求的同时，实现经济效益和环境效益的双赢。</w:t>
      </w:r>
    </w:p>
    <w:p w14:paraId="053225BF">
      <w:pPr>
        <w:snapToGrid w:val="0"/>
        <w:spacing w:line="360" w:lineRule="auto"/>
        <w:ind w:firstLine="480" w:firstLineChars="200"/>
        <w:jc w:val="left"/>
        <w:rPr>
          <w:rFonts w:hint="default" w:ascii="宋体" w:hAnsi="宋体" w:eastAsia="宋体" w:cs="宋体"/>
          <w:color w:val="000000" w:themeColor="text1"/>
          <w:sz w:val="24"/>
          <w:lang w:val="en-US" w:eastAsia="zh-CN"/>
          <w14:textFill>
            <w14:solidFill>
              <w14:schemeClr w14:val="tx1"/>
            </w14:solidFill>
          </w14:textFill>
        </w:rPr>
      </w:pPr>
      <w:r>
        <w:rPr>
          <w:rFonts w:hint="eastAsia" w:ascii="宋体" w:hAnsi="宋体" w:eastAsia="宋体" w:cs="宋体"/>
          <w:color w:val="000000" w:themeColor="text1"/>
          <w:sz w:val="24"/>
          <w:lang w:val="en-US" w:eastAsia="zh-CN"/>
          <w14:textFill>
            <w14:solidFill>
              <w14:schemeClr w14:val="tx1"/>
            </w14:solidFill>
          </w14:textFill>
        </w:rPr>
        <w:t>考量内容：（1）供热系统能源消耗台账；（2）供热系统改造可行性研究报告及改造方案；（3）智慧供热管理系统实时监测记录；（4）内部运行维护记录等。</w:t>
      </w:r>
    </w:p>
    <w:p w14:paraId="5028EE44">
      <w:pPr>
        <w:snapToGrid w:val="0"/>
        <w:spacing w:line="360" w:lineRule="auto"/>
        <w:jc w:val="left"/>
        <w:rPr>
          <w:rFonts w:hint="eastAsia" w:ascii="宋体" w:hAnsi="宋体" w:eastAsia="宋体" w:cs="宋体"/>
          <w:color w:val="000000" w:themeColor="text1"/>
          <w:sz w:val="24"/>
          <w:lang w:val="en-US" w:eastAsia="zh-CN"/>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B.6</w:t>
      </w:r>
      <w:r>
        <w:rPr>
          <w:rFonts w:hint="eastAsia" w:ascii="宋体" w:hAnsi="宋体" w:eastAsia="宋体" w:cs="宋体"/>
          <w:color w:val="000000" w:themeColor="text1"/>
          <w:sz w:val="24"/>
          <w:lang w:val="en-US" w:eastAsia="zh-CN"/>
          <w14:textFill>
            <w14:solidFill>
              <w14:schemeClr w14:val="tx1"/>
            </w14:solidFill>
          </w14:textFill>
        </w:rPr>
        <w:t>.</w:t>
      </w:r>
      <w:r>
        <w:rPr>
          <w:rFonts w:hint="eastAsia" w:ascii="宋体" w:hAnsi="宋体" w:cs="宋体"/>
          <w:color w:val="000000" w:themeColor="text1"/>
          <w:sz w:val="24"/>
          <w:lang w:val="en-US" w:eastAsia="zh-CN"/>
          <w14:textFill>
            <w14:solidFill>
              <w14:schemeClr w14:val="tx1"/>
            </w14:solidFill>
          </w14:textFill>
        </w:rPr>
        <w:t>15</w:t>
      </w:r>
      <w:r>
        <w:rPr>
          <w:rFonts w:hint="eastAsia" w:ascii="宋体" w:hAnsi="宋体" w:eastAsia="宋体" w:cs="宋体"/>
          <w:color w:val="000000" w:themeColor="text1"/>
          <w:sz w:val="24"/>
          <w:lang w:val="en-US" w:eastAsia="zh-CN"/>
          <w14:textFill>
            <w14:solidFill>
              <w14:schemeClr w14:val="tx1"/>
            </w14:solidFill>
          </w14:textFill>
        </w:rPr>
        <w:t>本条款适用于城市供热系统</w:t>
      </w:r>
      <w:r>
        <w:rPr>
          <w:rFonts w:hint="eastAsia" w:ascii="宋体" w:hAnsi="宋体" w:eastAsia="宋体" w:cs="宋体"/>
          <w:color w:val="000000" w:themeColor="text1"/>
          <w:sz w:val="24"/>
          <w14:textFill>
            <w14:solidFill>
              <w14:schemeClr w14:val="tx1"/>
            </w14:solidFill>
          </w14:textFill>
        </w:rPr>
        <w:t>工程项目</w:t>
      </w:r>
      <w:r>
        <w:rPr>
          <w:rFonts w:hint="eastAsia" w:ascii="宋体" w:hAnsi="宋体" w:eastAsia="宋体" w:cs="宋体"/>
          <w:color w:val="000000" w:themeColor="text1"/>
          <w:sz w:val="24"/>
          <w:lang w:val="en-US" w:eastAsia="zh-CN"/>
          <w14:textFill>
            <w14:solidFill>
              <w14:schemeClr w14:val="tx1"/>
            </w14:solidFill>
          </w14:textFill>
        </w:rPr>
        <w:t>运行阶段的评价。</w:t>
      </w:r>
    </w:p>
    <w:p w14:paraId="0926930F">
      <w:pPr>
        <w:snapToGrid w:val="0"/>
        <w:spacing w:after="0" w:afterLines="-2147483648" w:line="360" w:lineRule="auto"/>
        <w:ind w:firstLine="480" w:firstLineChars="200"/>
        <w:jc w:val="left"/>
        <w:outlineLvl w:val="9"/>
        <w:rPr>
          <w:rFonts w:hint="eastAsia" w:ascii="宋体" w:hAnsi="宋体" w:eastAsia="宋体" w:cs="宋体"/>
          <w:color w:val="000000" w:themeColor="text1"/>
          <w:sz w:val="24"/>
          <w:lang w:val="en-US" w:eastAsia="zh-CN"/>
          <w14:textFill>
            <w14:solidFill>
              <w14:schemeClr w14:val="tx1"/>
            </w14:solidFill>
          </w14:textFill>
        </w:rPr>
      </w:pPr>
      <w:r>
        <w:rPr>
          <w:rFonts w:hint="eastAsia" w:ascii="宋体" w:hAnsi="宋体" w:eastAsia="宋体" w:cs="宋体"/>
          <w:color w:val="000000" w:themeColor="text1"/>
          <w:sz w:val="24"/>
          <w:lang w:val="en-US" w:eastAsia="zh-CN"/>
          <w14:textFill>
            <w14:solidFill>
              <w14:schemeClr w14:val="tx1"/>
            </w14:solidFill>
          </w14:textFill>
        </w:rPr>
        <w:t>（1）应根据建筑类别、室内供暖系统形式、经济发渣水平，结合当地实践经验几供热管理方式，科学合理地选择计量方法，实施分户热计量。分户热计量可采用楼栋计量用户热分摊的方法，对按户分环的室内供暖系统也可采用户用热量表直接计量的方法.（2）应对供热系统计量收费系统所采集的数据包括温度、压力、流量等关键参数测量精度进行验证，确保数据采集设备的准确性和可靠性。同时，要检查数据传输和处理过程中是否存在误差或篡改现象，以确保最终数据的真实性。对比不同用户的用热情况和费用，分析是否存在不合理的收费现象。企业应公开收费标准、计费规则、计量方式等信息，让用户了解费用的计算依据。同时，应提供查询服务，允许用户随时查询自己的用热情况和费用明细。</w:t>
      </w:r>
    </w:p>
    <w:p w14:paraId="6B79CC44">
      <w:pPr>
        <w:snapToGrid w:val="0"/>
        <w:spacing w:line="360" w:lineRule="auto"/>
        <w:ind w:firstLine="480" w:firstLineChars="200"/>
        <w:jc w:val="left"/>
        <w:rPr>
          <w:rFonts w:hint="default" w:ascii="宋体" w:hAnsi="宋体" w:eastAsia="宋体" w:cs="宋体"/>
          <w:color w:val="000000" w:themeColor="text1"/>
          <w:sz w:val="24"/>
          <w:lang w:val="en-US" w:eastAsia="zh-CN"/>
          <w14:textFill>
            <w14:solidFill>
              <w14:schemeClr w14:val="tx1"/>
            </w14:solidFill>
          </w14:textFill>
        </w:rPr>
      </w:pPr>
      <w:r>
        <w:rPr>
          <w:rFonts w:hint="eastAsia" w:ascii="宋体" w:hAnsi="宋体" w:eastAsia="宋体" w:cs="宋体"/>
          <w:color w:val="000000" w:themeColor="text1"/>
          <w:sz w:val="24"/>
          <w:lang w:val="en-US" w:eastAsia="zh-CN"/>
          <w14:textFill>
            <w14:solidFill>
              <w14:schemeClr w14:val="tx1"/>
            </w14:solidFill>
          </w14:textFill>
        </w:rPr>
        <w:t>考量内容：（1）供热系统能源消耗台账；（2）供热系统改造可行性研究报告及改造方案；（3）智慧供热管理系统实时监测记录；（4）内部运行维护记录等。</w:t>
      </w:r>
    </w:p>
    <w:p w14:paraId="4E93E2DF">
      <w:pPr>
        <w:snapToGrid w:val="0"/>
        <w:spacing w:line="360" w:lineRule="auto"/>
        <w:jc w:val="left"/>
        <w:rPr>
          <w:rFonts w:hint="eastAsia" w:ascii="宋体" w:hAnsi="宋体" w:eastAsia="宋体" w:cs="宋体"/>
          <w:color w:val="000000" w:themeColor="text1"/>
          <w:sz w:val="24"/>
          <w:lang w:val="en-US" w:eastAsia="zh-CN"/>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B.6</w:t>
      </w:r>
      <w:r>
        <w:rPr>
          <w:rFonts w:hint="eastAsia" w:ascii="宋体" w:hAnsi="宋体" w:eastAsia="宋体" w:cs="宋体"/>
          <w:color w:val="000000" w:themeColor="text1"/>
          <w:sz w:val="24"/>
          <w:lang w:val="en-US" w:eastAsia="zh-CN"/>
          <w14:textFill>
            <w14:solidFill>
              <w14:schemeClr w14:val="tx1"/>
            </w14:solidFill>
          </w14:textFill>
        </w:rPr>
        <w:t>.</w:t>
      </w:r>
      <w:r>
        <w:rPr>
          <w:rFonts w:hint="eastAsia" w:ascii="宋体" w:hAnsi="宋体" w:cs="宋体"/>
          <w:color w:val="000000" w:themeColor="text1"/>
          <w:sz w:val="24"/>
          <w:lang w:val="en-US" w:eastAsia="zh-CN"/>
          <w14:textFill>
            <w14:solidFill>
              <w14:schemeClr w14:val="tx1"/>
            </w14:solidFill>
          </w14:textFill>
        </w:rPr>
        <w:t>16</w:t>
      </w:r>
      <w:r>
        <w:rPr>
          <w:rFonts w:hint="eastAsia" w:ascii="宋体" w:hAnsi="宋体" w:eastAsia="宋体" w:cs="宋体"/>
          <w:color w:val="000000" w:themeColor="text1"/>
          <w:sz w:val="24"/>
          <w:lang w:val="en-US" w:eastAsia="zh-CN"/>
          <w14:textFill>
            <w14:solidFill>
              <w14:schemeClr w14:val="tx1"/>
            </w14:solidFill>
          </w14:textFill>
        </w:rPr>
        <w:t>本条款适用于城市供热系统</w:t>
      </w:r>
      <w:r>
        <w:rPr>
          <w:rFonts w:hint="eastAsia" w:ascii="宋体" w:hAnsi="宋体" w:eastAsia="宋体" w:cs="宋体"/>
          <w:color w:val="000000" w:themeColor="text1"/>
          <w:sz w:val="24"/>
          <w14:textFill>
            <w14:solidFill>
              <w14:schemeClr w14:val="tx1"/>
            </w14:solidFill>
          </w14:textFill>
        </w:rPr>
        <w:t>工程项目</w:t>
      </w:r>
      <w:r>
        <w:rPr>
          <w:rFonts w:hint="eastAsia" w:ascii="宋体" w:hAnsi="宋体" w:eastAsia="宋体" w:cs="宋体"/>
          <w:color w:val="000000" w:themeColor="text1"/>
          <w:sz w:val="24"/>
          <w:lang w:val="en-US" w:eastAsia="zh-CN"/>
          <w14:textFill>
            <w14:solidFill>
              <w14:schemeClr w14:val="tx1"/>
            </w14:solidFill>
          </w14:textFill>
        </w:rPr>
        <w:t>运行阶段的评价。</w:t>
      </w:r>
    </w:p>
    <w:p w14:paraId="6197E8DF">
      <w:pPr>
        <w:snapToGrid w:val="0"/>
        <w:spacing w:line="360" w:lineRule="auto"/>
        <w:ind w:firstLine="480" w:firstLineChars="200"/>
        <w:jc w:val="left"/>
        <w:rPr>
          <w:rFonts w:hint="eastAsia" w:ascii="宋体" w:hAnsi="宋体" w:eastAsia="宋体" w:cs="宋体"/>
          <w:color w:val="000000" w:themeColor="text1"/>
          <w:sz w:val="24"/>
          <w:lang w:val="en-US" w:eastAsia="zh-CN"/>
          <w14:textFill>
            <w14:solidFill>
              <w14:schemeClr w14:val="tx1"/>
            </w14:solidFill>
          </w14:textFill>
        </w:rPr>
      </w:pPr>
      <w:r>
        <w:rPr>
          <w:rFonts w:hint="eastAsia" w:ascii="宋体" w:hAnsi="宋体" w:eastAsia="宋体" w:cs="宋体"/>
          <w:color w:val="000000" w:themeColor="text1"/>
          <w:sz w:val="24"/>
          <w:lang w:val="en-US" w:eastAsia="zh-CN"/>
          <w14:textFill>
            <w14:solidFill>
              <w14:schemeClr w14:val="tx1"/>
            </w14:solidFill>
          </w14:textFill>
        </w:rPr>
        <w:t>热态验收是确保供热系统正常运行的重要环节，通过模拟实际运行工况，对系统的性能、稳定性和安全性进行全面检验，发现并解决潜在问题，确保系统在正式投入使用前达到预期效果。应对供热系统的温度、压力、流量等关键参数进行实时监测，分析系统的运行数据，对异常情况或故障预警，有应对措施保障供热系统的质量和效果。检查系统的备用设备配置情况、冗余设计合理性以及切换流程的便捷性和可靠性，评估供热系统在部分设备故障时是否有足够的备用设备或冗余设计来保证系统的连续运行。对于已经运行超过15年的供热管网，或者出现连续停热事故的供热管网，包括对管网的老化程度、磨损情况、泄漏点等进行检查和评估，确定改造的必要性和紧迫性，同时，要考虑改造方案的可行性和经济性，确保改造后的管网能够满足供热需求并提高系统的稳定性和可靠性。</w:t>
      </w:r>
    </w:p>
    <w:p w14:paraId="4A2F7200">
      <w:pPr>
        <w:snapToGrid w:val="0"/>
        <w:spacing w:line="360" w:lineRule="auto"/>
        <w:ind w:firstLine="480" w:firstLineChars="200"/>
        <w:jc w:val="left"/>
        <w:rPr>
          <w:rFonts w:hint="default" w:ascii="宋体" w:hAnsi="宋体" w:eastAsia="宋体" w:cs="宋体"/>
          <w:color w:val="000000" w:themeColor="text1"/>
          <w:sz w:val="24"/>
          <w:lang w:val="en-US" w:eastAsia="zh-CN"/>
          <w14:textFill>
            <w14:solidFill>
              <w14:schemeClr w14:val="tx1"/>
            </w14:solidFill>
          </w14:textFill>
        </w:rPr>
      </w:pPr>
      <w:r>
        <w:rPr>
          <w:rFonts w:hint="eastAsia" w:ascii="宋体" w:hAnsi="宋体" w:eastAsia="宋体" w:cs="宋体"/>
          <w:color w:val="000000" w:themeColor="text1"/>
          <w:sz w:val="24"/>
          <w:lang w:val="en-US" w:eastAsia="zh-CN"/>
          <w14:textFill>
            <w14:solidFill>
              <w14:schemeClr w14:val="tx1"/>
            </w14:solidFill>
          </w14:textFill>
        </w:rPr>
        <w:t>考量内容：（1）智慧供热管理系统实时监测记录；（2）内部运行维护记录；（3）热线或居民投诉意见记录、满意度调查；（4）第三方检测和监管机构的检查记录等。</w:t>
      </w:r>
    </w:p>
    <w:p w14:paraId="0E7A70AF">
      <w:pPr>
        <w:snapToGrid w:val="0"/>
        <w:spacing w:line="360" w:lineRule="auto"/>
        <w:jc w:val="left"/>
        <w:rPr>
          <w:rFonts w:hint="eastAsia" w:ascii="宋体" w:hAnsi="宋体" w:eastAsia="宋体" w:cs="宋体"/>
          <w:color w:val="000000" w:themeColor="text1"/>
          <w:sz w:val="24"/>
          <w:lang w:val="en-US" w:eastAsia="zh-CN"/>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B.6</w:t>
      </w:r>
      <w:r>
        <w:rPr>
          <w:rFonts w:hint="eastAsia" w:ascii="宋体" w:hAnsi="宋体" w:eastAsia="宋体" w:cs="宋体"/>
          <w:color w:val="000000" w:themeColor="text1"/>
          <w:sz w:val="24"/>
          <w:lang w:val="en-US" w:eastAsia="zh-CN"/>
          <w14:textFill>
            <w14:solidFill>
              <w14:schemeClr w14:val="tx1"/>
            </w14:solidFill>
          </w14:textFill>
        </w:rPr>
        <w:t>.</w:t>
      </w:r>
      <w:r>
        <w:rPr>
          <w:rFonts w:hint="eastAsia" w:ascii="宋体" w:hAnsi="宋体" w:cs="宋体"/>
          <w:color w:val="000000" w:themeColor="text1"/>
          <w:sz w:val="24"/>
          <w:lang w:val="en-US" w:eastAsia="zh-CN"/>
          <w14:textFill>
            <w14:solidFill>
              <w14:schemeClr w14:val="tx1"/>
            </w14:solidFill>
          </w14:textFill>
        </w:rPr>
        <w:t>17</w:t>
      </w:r>
      <w:r>
        <w:rPr>
          <w:rFonts w:hint="eastAsia" w:ascii="宋体" w:hAnsi="宋体" w:eastAsia="宋体" w:cs="宋体"/>
          <w:color w:val="000000" w:themeColor="text1"/>
          <w:sz w:val="24"/>
          <w:lang w:val="en-US" w:eastAsia="zh-CN"/>
          <w14:textFill>
            <w14:solidFill>
              <w14:schemeClr w14:val="tx1"/>
            </w14:solidFill>
          </w14:textFill>
        </w:rPr>
        <w:t>本条款适用于城市供热系统</w:t>
      </w:r>
      <w:r>
        <w:rPr>
          <w:rFonts w:hint="eastAsia" w:ascii="宋体" w:hAnsi="宋体" w:eastAsia="宋体" w:cs="宋体"/>
          <w:color w:val="000000" w:themeColor="text1"/>
          <w:sz w:val="24"/>
          <w14:textFill>
            <w14:solidFill>
              <w14:schemeClr w14:val="tx1"/>
            </w14:solidFill>
          </w14:textFill>
        </w:rPr>
        <w:t>工程项目</w:t>
      </w:r>
      <w:r>
        <w:rPr>
          <w:rFonts w:hint="eastAsia" w:ascii="宋体" w:hAnsi="宋体" w:eastAsia="宋体" w:cs="宋体"/>
          <w:color w:val="000000" w:themeColor="text1"/>
          <w:sz w:val="24"/>
          <w:lang w:val="en-US" w:eastAsia="zh-CN"/>
          <w14:textFill>
            <w14:solidFill>
              <w14:schemeClr w14:val="tx1"/>
            </w14:solidFill>
          </w14:textFill>
        </w:rPr>
        <w:t>运行阶段的评价。</w:t>
      </w:r>
    </w:p>
    <w:p w14:paraId="72164F4C">
      <w:pPr>
        <w:snapToGrid w:val="0"/>
        <w:spacing w:line="360" w:lineRule="auto"/>
        <w:ind w:firstLine="480" w:firstLineChars="200"/>
        <w:jc w:val="left"/>
        <w:rPr>
          <w:rFonts w:hint="eastAsia" w:ascii="宋体" w:hAnsi="宋体" w:eastAsia="宋体" w:cs="宋体"/>
          <w:color w:val="000000" w:themeColor="text1"/>
          <w:sz w:val="24"/>
          <w:lang w:val="en-US" w:eastAsia="zh-CN"/>
          <w14:textFill>
            <w14:solidFill>
              <w14:schemeClr w14:val="tx1"/>
            </w14:solidFill>
          </w14:textFill>
        </w:rPr>
      </w:pPr>
      <w:r>
        <w:rPr>
          <w:rFonts w:hint="eastAsia" w:ascii="宋体" w:hAnsi="宋体" w:eastAsia="宋体" w:cs="宋体"/>
          <w:color w:val="000000" w:themeColor="text1"/>
          <w:sz w:val="24"/>
          <w:lang w:val="en-US" w:eastAsia="zh-CN"/>
          <w14:textFill>
            <w14:solidFill>
              <w14:schemeClr w14:val="tx1"/>
            </w14:solidFill>
          </w14:textFill>
        </w:rPr>
        <w:t>传感器检测包括对传感器的精度、稳定性、响应速度等方面的测试。</w:t>
      </w:r>
    </w:p>
    <w:p w14:paraId="6E04C2B0">
      <w:pPr>
        <w:snapToGrid w:val="0"/>
        <w:spacing w:line="360" w:lineRule="auto"/>
        <w:ind w:firstLine="480" w:firstLineChars="200"/>
        <w:jc w:val="left"/>
        <w:rPr>
          <w:rFonts w:hint="default" w:ascii="宋体" w:hAnsi="宋体" w:eastAsia="宋体" w:cs="宋体"/>
          <w:color w:val="000000" w:themeColor="text1"/>
          <w:sz w:val="24"/>
          <w:lang w:val="en-US" w:eastAsia="zh-CN"/>
          <w14:textFill>
            <w14:solidFill>
              <w14:schemeClr w14:val="tx1"/>
            </w14:solidFill>
          </w14:textFill>
        </w:rPr>
      </w:pPr>
      <w:r>
        <w:rPr>
          <w:rFonts w:hint="eastAsia" w:ascii="宋体" w:hAnsi="宋体" w:eastAsia="宋体" w:cs="宋体"/>
          <w:color w:val="000000" w:themeColor="text1"/>
          <w:sz w:val="24"/>
          <w:lang w:val="en-US" w:eastAsia="zh-CN"/>
          <w14:textFill>
            <w14:solidFill>
              <w14:schemeClr w14:val="tx1"/>
            </w14:solidFill>
          </w14:textFill>
        </w:rPr>
        <w:t>考量内容：（1）检修检定记录；（2）第三方检测和监管机构的检查记录等。</w:t>
      </w:r>
    </w:p>
    <w:p w14:paraId="4A747EEB">
      <w:pPr>
        <w:snapToGrid w:val="0"/>
        <w:spacing w:line="360" w:lineRule="auto"/>
        <w:jc w:val="left"/>
        <w:rPr>
          <w:rFonts w:hint="eastAsia" w:ascii="宋体" w:hAnsi="宋体" w:eastAsia="宋体" w:cs="宋体"/>
          <w:color w:val="000000" w:themeColor="text1"/>
          <w:sz w:val="24"/>
          <w:lang w:val="en-US" w:eastAsia="zh-CN"/>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B.6</w:t>
      </w:r>
      <w:r>
        <w:rPr>
          <w:rFonts w:hint="eastAsia" w:ascii="宋体" w:hAnsi="宋体" w:eastAsia="宋体" w:cs="宋体"/>
          <w:color w:val="000000" w:themeColor="text1"/>
          <w:sz w:val="24"/>
          <w:lang w:val="en-US" w:eastAsia="zh-CN"/>
          <w14:textFill>
            <w14:solidFill>
              <w14:schemeClr w14:val="tx1"/>
            </w14:solidFill>
          </w14:textFill>
        </w:rPr>
        <w:t>.</w:t>
      </w:r>
      <w:r>
        <w:rPr>
          <w:rFonts w:hint="eastAsia" w:ascii="宋体" w:hAnsi="宋体" w:cs="宋体"/>
          <w:color w:val="000000" w:themeColor="text1"/>
          <w:sz w:val="24"/>
          <w:lang w:val="en-US" w:eastAsia="zh-CN"/>
          <w14:textFill>
            <w14:solidFill>
              <w14:schemeClr w14:val="tx1"/>
            </w14:solidFill>
          </w14:textFill>
        </w:rPr>
        <w:t>18</w:t>
      </w:r>
      <w:r>
        <w:rPr>
          <w:rFonts w:hint="eastAsia" w:ascii="宋体" w:hAnsi="宋体" w:eastAsia="宋体" w:cs="宋体"/>
          <w:color w:val="000000" w:themeColor="text1"/>
          <w:sz w:val="24"/>
          <w:lang w:val="en-US" w:eastAsia="zh-CN"/>
          <w14:textFill>
            <w14:solidFill>
              <w14:schemeClr w14:val="tx1"/>
            </w14:solidFill>
          </w14:textFill>
        </w:rPr>
        <w:t>本条款适用于城市供热系统</w:t>
      </w:r>
      <w:r>
        <w:rPr>
          <w:rFonts w:hint="eastAsia" w:ascii="宋体" w:hAnsi="宋体" w:eastAsia="宋体" w:cs="宋体"/>
          <w:color w:val="000000" w:themeColor="text1"/>
          <w:sz w:val="24"/>
          <w14:textFill>
            <w14:solidFill>
              <w14:schemeClr w14:val="tx1"/>
            </w14:solidFill>
          </w14:textFill>
        </w:rPr>
        <w:t>工程项目</w:t>
      </w:r>
      <w:r>
        <w:rPr>
          <w:rFonts w:hint="eastAsia" w:ascii="宋体" w:hAnsi="宋体" w:eastAsia="宋体" w:cs="宋体"/>
          <w:color w:val="000000" w:themeColor="text1"/>
          <w:sz w:val="24"/>
          <w:lang w:val="en-US" w:eastAsia="zh-CN"/>
          <w14:textFill>
            <w14:solidFill>
              <w14:schemeClr w14:val="tx1"/>
            </w14:solidFill>
          </w14:textFill>
        </w:rPr>
        <w:t>规划设计阶段、施工建造阶段、运行阶段的评价。</w:t>
      </w:r>
    </w:p>
    <w:p w14:paraId="0BEEC3E7">
      <w:pPr>
        <w:snapToGrid w:val="0"/>
        <w:spacing w:after="0" w:afterLines="-2147483648" w:line="360" w:lineRule="auto"/>
        <w:ind w:firstLine="480" w:firstLineChars="200"/>
        <w:jc w:val="left"/>
        <w:rPr>
          <w:rFonts w:hint="default" w:ascii="宋体" w:hAnsi="宋体" w:eastAsia="宋体" w:cs="宋体"/>
          <w:color w:val="000000" w:themeColor="text1"/>
          <w:sz w:val="24"/>
          <w:lang w:val="en-US" w:eastAsia="zh-CN"/>
          <w14:textFill>
            <w14:solidFill>
              <w14:schemeClr w14:val="tx1"/>
            </w14:solidFill>
          </w14:textFill>
        </w:rPr>
      </w:pPr>
      <w:r>
        <w:rPr>
          <w:rFonts w:hint="eastAsia" w:ascii="宋体" w:hAnsi="宋体" w:eastAsia="宋体" w:cs="宋体"/>
          <w:color w:val="000000" w:themeColor="text1"/>
          <w:sz w:val="24"/>
          <w:lang w:val="en-US" w:eastAsia="zh-CN"/>
          <w14:textFill>
            <w14:solidFill>
              <w14:schemeClr w14:val="tx1"/>
            </w14:solidFill>
          </w14:textFill>
        </w:rPr>
        <w:t>新建供热系统的智能化设计应从智能化程度、功能完善性、操作便捷性等方面进行评估，以满足现代供热需求，提高供热效率和用户满意度。智能供热系统升级改造应从改造方案的合理性、实施效果、用户反馈等方面进行评估，是否能提高管网的使用寿命和供热效率，降低能耗和运营成本。应保证数据在线率程度可以满足数据使用质量要求，运行、维护、客服、经营等业务数据的共享使各部门之间的信息畅通，提高工作效率和协同能力。智能供热系统可以实现设备运行状态的实时监测，可为智能化控制提供数据支持；实现老旧供热管网智能化动态水力平衡调节改造，确保各用户之间的供热均衡；实现热源端与用户末端室温联动运行调节控制，通过室内外温度的变化自动调节供热系统的供热量，满足用户的实际需求。</w:t>
      </w:r>
    </w:p>
    <w:p w14:paraId="4A62A3A0">
      <w:pPr>
        <w:snapToGrid w:val="0"/>
        <w:spacing w:line="360" w:lineRule="auto"/>
        <w:ind w:firstLine="480" w:firstLineChars="200"/>
        <w:jc w:val="left"/>
        <w:rPr>
          <w:rFonts w:hint="default" w:ascii="宋体" w:hAnsi="宋体" w:eastAsia="宋体" w:cs="宋体"/>
          <w:color w:val="000000" w:themeColor="text1"/>
          <w:sz w:val="24"/>
          <w:lang w:val="en-US" w:eastAsia="zh-CN"/>
          <w14:textFill>
            <w14:solidFill>
              <w14:schemeClr w14:val="tx1"/>
            </w14:solidFill>
          </w14:textFill>
        </w:rPr>
      </w:pPr>
      <w:r>
        <w:rPr>
          <w:rFonts w:hint="eastAsia" w:ascii="宋体" w:hAnsi="宋体" w:eastAsia="宋体" w:cs="宋体"/>
          <w:color w:val="000000" w:themeColor="text1"/>
          <w:sz w:val="24"/>
          <w:lang w:val="en-US" w:eastAsia="zh-CN"/>
          <w14:textFill>
            <w14:solidFill>
              <w14:schemeClr w14:val="tx1"/>
            </w14:solidFill>
          </w14:textFill>
        </w:rPr>
        <w:t>考量内容：（1）供供热系统改造可行性研究报告及改造方案；（2）工程竣工验收记录、竣工移交资料；（2）智慧供热管理系统实时监测记录；（3）内部运行维护记录等。</w:t>
      </w:r>
    </w:p>
    <w:p w14:paraId="263BAB8F">
      <w:pPr>
        <w:snapToGrid w:val="0"/>
        <w:spacing w:line="360" w:lineRule="auto"/>
        <w:jc w:val="left"/>
        <w:rPr>
          <w:rFonts w:hint="eastAsia" w:ascii="宋体" w:hAnsi="宋体" w:eastAsia="宋体" w:cs="宋体"/>
          <w:color w:val="000000" w:themeColor="text1"/>
          <w:sz w:val="24"/>
          <w:lang w:val="en-US" w:eastAsia="zh-CN"/>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B.6</w:t>
      </w:r>
      <w:r>
        <w:rPr>
          <w:rFonts w:hint="eastAsia" w:ascii="宋体" w:hAnsi="宋体" w:eastAsia="宋体" w:cs="宋体"/>
          <w:color w:val="000000" w:themeColor="text1"/>
          <w:sz w:val="24"/>
          <w:lang w:val="en-US" w:eastAsia="zh-CN"/>
          <w14:textFill>
            <w14:solidFill>
              <w14:schemeClr w14:val="tx1"/>
            </w14:solidFill>
          </w14:textFill>
        </w:rPr>
        <w:t>.</w:t>
      </w:r>
      <w:r>
        <w:rPr>
          <w:rFonts w:hint="eastAsia" w:ascii="宋体" w:hAnsi="宋体" w:cs="宋体"/>
          <w:color w:val="000000" w:themeColor="text1"/>
          <w:sz w:val="24"/>
          <w:lang w:val="en-US" w:eastAsia="zh-CN"/>
          <w14:textFill>
            <w14:solidFill>
              <w14:schemeClr w14:val="tx1"/>
            </w14:solidFill>
          </w14:textFill>
        </w:rPr>
        <w:t>19</w:t>
      </w:r>
      <w:r>
        <w:rPr>
          <w:rFonts w:hint="eastAsia" w:ascii="宋体" w:hAnsi="宋体" w:eastAsia="宋体" w:cs="宋体"/>
          <w:color w:val="000000" w:themeColor="text1"/>
          <w:sz w:val="24"/>
          <w:lang w:val="en-US" w:eastAsia="zh-CN"/>
          <w14:textFill>
            <w14:solidFill>
              <w14:schemeClr w14:val="tx1"/>
            </w14:solidFill>
          </w14:textFill>
        </w:rPr>
        <w:t>本条款适用于城市供热系统</w:t>
      </w:r>
      <w:r>
        <w:rPr>
          <w:rFonts w:hint="eastAsia" w:ascii="宋体" w:hAnsi="宋体" w:eastAsia="宋体" w:cs="宋体"/>
          <w:color w:val="000000" w:themeColor="text1"/>
          <w:sz w:val="24"/>
          <w14:textFill>
            <w14:solidFill>
              <w14:schemeClr w14:val="tx1"/>
            </w14:solidFill>
          </w14:textFill>
        </w:rPr>
        <w:t>工程项目</w:t>
      </w:r>
      <w:r>
        <w:rPr>
          <w:rFonts w:hint="eastAsia" w:ascii="宋体" w:hAnsi="宋体" w:eastAsia="宋体" w:cs="宋体"/>
          <w:color w:val="000000" w:themeColor="text1"/>
          <w:sz w:val="24"/>
          <w:lang w:val="en-US" w:eastAsia="zh-CN"/>
          <w14:textFill>
            <w14:solidFill>
              <w14:schemeClr w14:val="tx1"/>
            </w14:solidFill>
          </w14:textFill>
        </w:rPr>
        <w:t>运行阶段的评价。</w:t>
      </w:r>
    </w:p>
    <w:p w14:paraId="5D4C1197">
      <w:pPr>
        <w:snapToGrid w:val="0"/>
        <w:spacing w:after="0" w:afterLines="-2147483648" w:line="360" w:lineRule="auto"/>
        <w:ind w:firstLine="480" w:firstLineChars="200"/>
        <w:jc w:val="left"/>
        <w:outlineLvl w:val="9"/>
        <w:rPr>
          <w:rFonts w:hint="eastAsia" w:ascii="宋体" w:hAnsi="宋体" w:eastAsia="宋体" w:cs="宋体"/>
          <w:color w:val="000000" w:themeColor="text1"/>
          <w:sz w:val="24"/>
          <w:lang w:val="en-US" w:eastAsia="zh-CN"/>
          <w14:textFill>
            <w14:solidFill>
              <w14:schemeClr w14:val="tx1"/>
            </w14:solidFill>
          </w14:textFill>
        </w:rPr>
      </w:pPr>
      <w:r>
        <w:rPr>
          <w:rFonts w:hint="eastAsia" w:ascii="宋体" w:hAnsi="宋体" w:eastAsia="宋体" w:cs="宋体"/>
          <w:color w:val="000000" w:themeColor="text1"/>
          <w:sz w:val="24"/>
          <w:lang w:val="en-US" w:eastAsia="zh-CN"/>
          <w14:textFill>
            <w14:solidFill>
              <w14:schemeClr w14:val="tx1"/>
            </w14:solidFill>
          </w14:textFill>
        </w:rPr>
        <w:t>由于过去对基础资料重视不够，致使既有热力管道资料缺失，管线位置、结构不清，不能为有关部门的施工、维修等工作提供可靠信息，使由第三方破坏而引发地下管道事故的可能性加大。本条款旨在强调企业对于供热系统基础资料收集、整理工作的重要性。（1）技术资料包括设计图纸、施工方案、设备选型、参数设置等技术文件；供热系统相关的检测或测试报告包括设备性能测试、系统运行效率、能耗分析等检测报告；供热系统相关的验收文件包括竣工验收报告、试运行记录、用户反馈等文件；确保所有资料都得到妥善保存包括归档流程的规范性、档案保管的安全性、检索利用的便捷性等方面。（2）管线结构布置图应详细反映供热管道的走向、分支、节点等信息，以及管道与设备、建筑物之间的相对位置关系。管线位置图则应准确标注供热管道在地面或地下的具体位置，包括管道的起点、终点、转折点、检查井等关键位置。</w:t>
      </w:r>
    </w:p>
    <w:p w14:paraId="285F197B">
      <w:pPr>
        <w:bidi w:val="0"/>
        <w:snapToGrid w:val="0"/>
        <w:spacing w:line="360" w:lineRule="auto"/>
        <w:ind w:firstLine="480" w:firstLineChars="200"/>
        <w:jc w:val="left"/>
        <w:rPr>
          <w:rFonts w:hint="eastAsia" w:asciiTheme="minorHAnsi" w:hAnsiTheme="minorHAnsi" w:eastAsiaTheme="minorEastAsia" w:cstheme="minorBidi"/>
          <w:kern w:val="2"/>
          <w:sz w:val="21"/>
          <w:szCs w:val="24"/>
          <w:lang w:val="en-US" w:eastAsia="zh-CN" w:bidi="ar-SA"/>
        </w:rPr>
      </w:pPr>
      <w:r>
        <w:rPr>
          <w:rFonts w:hint="eastAsia" w:ascii="宋体" w:hAnsi="宋体" w:eastAsia="宋体" w:cs="宋体"/>
          <w:color w:val="000000" w:themeColor="text1"/>
          <w:sz w:val="24"/>
          <w:lang w:val="en-US" w:eastAsia="zh-CN"/>
          <w14:textFill>
            <w14:solidFill>
              <w14:schemeClr w14:val="tx1"/>
            </w14:solidFill>
          </w14:textFill>
        </w:rPr>
        <w:t>考量内容：文件归档目录、电子档案与卷宗等。</w:t>
      </w:r>
    </w:p>
    <w:p w14:paraId="45A63A06">
      <w:pPr>
        <w:tabs>
          <w:tab w:val="left" w:pos="5437"/>
        </w:tabs>
        <w:bidi w:val="0"/>
        <w:jc w:val="left"/>
        <w:rPr>
          <w:rFonts w:hint="eastAsia"/>
          <w:lang w:val="en-US" w:eastAsia="zh-CN"/>
        </w:rPr>
        <w:sectPr>
          <w:footerReference r:id="rId12" w:type="default"/>
          <w:pgSz w:w="11906" w:h="16838"/>
          <w:pgMar w:top="1440" w:right="1800" w:bottom="1440" w:left="1800" w:header="851" w:footer="992" w:gutter="0"/>
          <w:pgNumType w:fmt="decimal"/>
          <w:cols w:space="425" w:num="1"/>
          <w:docGrid w:type="lines" w:linePitch="312" w:charSpace="0"/>
        </w:sectPr>
      </w:pPr>
    </w:p>
    <w:p w14:paraId="6F7846EE">
      <w:pPr>
        <w:wordWrap/>
        <w:spacing w:line="360" w:lineRule="auto"/>
        <w:jc w:val="center"/>
        <w:textAlignment w:val="auto"/>
        <w:outlineLvl w:val="1"/>
        <w:rPr>
          <w:rFonts w:hint="eastAsia" w:ascii="黑体" w:hAnsi="黑体" w:eastAsia="黑体" w:cs="黑体"/>
          <w:b/>
          <w:bCs/>
          <w:color w:val="auto"/>
          <w:sz w:val="28"/>
          <w:szCs w:val="28"/>
        </w:rPr>
      </w:pPr>
      <w:bookmarkStart w:id="875" w:name="_Toc4235"/>
      <w:bookmarkStart w:id="876" w:name="_Toc28764"/>
      <w:bookmarkStart w:id="877" w:name="_Toc25365"/>
      <w:bookmarkStart w:id="878" w:name="_Toc19383"/>
      <w:bookmarkStart w:id="879" w:name="_Toc14632"/>
      <w:bookmarkStart w:id="880" w:name="_Toc4748"/>
      <w:r>
        <w:rPr>
          <w:rFonts w:hint="eastAsia" w:ascii="黑体" w:hAnsi="黑体" w:eastAsia="黑体" w:cs="黑体"/>
          <w:b/>
          <w:bCs/>
          <w:color w:val="auto"/>
          <w:sz w:val="28"/>
          <w:szCs w:val="28"/>
        </w:rPr>
        <w:t>B</w:t>
      </w:r>
      <w:r>
        <w:rPr>
          <w:rFonts w:hint="eastAsia" w:ascii="黑体" w:hAnsi="黑体" w:eastAsia="黑体" w:cs="黑体"/>
          <w:b/>
          <w:bCs/>
          <w:color w:val="auto"/>
          <w:sz w:val="28"/>
          <w:szCs w:val="28"/>
          <w:lang w:val="en-US" w:eastAsia="zh-CN"/>
        </w:rPr>
        <w:t>.7</w:t>
      </w:r>
      <w:r>
        <w:rPr>
          <w:rFonts w:hint="eastAsia" w:ascii="黑体" w:hAnsi="黑体" w:eastAsia="黑体" w:cs="黑体"/>
          <w:b/>
          <w:bCs/>
          <w:color w:val="auto"/>
          <w:sz w:val="28"/>
          <w:szCs w:val="28"/>
        </w:rPr>
        <w:t xml:space="preserve"> </w:t>
      </w:r>
      <w:r>
        <w:rPr>
          <w:rFonts w:hint="eastAsia" w:ascii="黑体" w:hAnsi="黑体" w:eastAsia="黑体" w:cs="黑体"/>
          <w:b/>
          <w:bCs/>
          <w:color w:val="auto"/>
          <w:sz w:val="28"/>
          <w:szCs w:val="28"/>
          <w:lang w:val="en-US" w:eastAsia="zh-CN"/>
        </w:rPr>
        <w:t>城市燃气工程</w:t>
      </w:r>
      <w:r>
        <w:rPr>
          <w:rFonts w:hint="eastAsia" w:ascii="黑体" w:hAnsi="黑体" w:eastAsia="黑体" w:cs="黑体"/>
          <w:b/>
          <w:bCs/>
          <w:color w:val="auto"/>
          <w:sz w:val="28"/>
          <w:szCs w:val="28"/>
        </w:rPr>
        <w:t>项目</w:t>
      </w:r>
      <w:bookmarkEnd w:id="875"/>
      <w:bookmarkEnd w:id="876"/>
      <w:bookmarkEnd w:id="877"/>
      <w:bookmarkEnd w:id="878"/>
      <w:bookmarkEnd w:id="879"/>
      <w:bookmarkEnd w:id="880"/>
    </w:p>
    <w:p w14:paraId="0800FA0D">
      <w:pPr>
        <w:spacing w:line="360" w:lineRule="auto"/>
        <w:rPr>
          <w:rFonts w:hint="eastAsia" w:ascii="宋体" w:hAnsi="宋体" w:eastAsia="宋体" w:cs="宋体"/>
          <w:color w:val="auto"/>
          <w:sz w:val="24"/>
        </w:rPr>
      </w:pPr>
      <w:r>
        <w:rPr>
          <w:rFonts w:hint="eastAsia" w:ascii="宋体" w:hAnsi="宋体" w:cs="宋体"/>
          <w:color w:val="auto"/>
          <w:sz w:val="24"/>
          <w:highlight w:val="none"/>
          <w:lang w:val="en-US" w:eastAsia="zh-CN"/>
        </w:rPr>
        <w:t>B.7</w:t>
      </w:r>
      <w:r>
        <w:rPr>
          <w:rFonts w:hint="eastAsia" w:ascii="宋体" w:hAnsi="宋体" w:eastAsia="宋体" w:cs="宋体"/>
          <w:color w:val="auto"/>
          <w:sz w:val="24"/>
          <w:highlight w:val="none"/>
          <w:lang w:val="en-US" w:eastAsia="zh-CN"/>
        </w:rPr>
        <w:t>.1本条款适用于城市燃气设施</w:t>
      </w:r>
      <w:r>
        <w:rPr>
          <w:rFonts w:hint="eastAsia" w:ascii="宋体" w:hAnsi="宋体" w:eastAsia="宋体" w:cs="宋体"/>
          <w:color w:val="auto"/>
          <w:sz w:val="24"/>
          <w:lang w:val="en-US" w:eastAsia="zh-CN"/>
        </w:rPr>
        <w:t>运行阶段的评价</w:t>
      </w:r>
      <w:r>
        <w:rPr>
          <w:rFonts w:hint="eastAsia" w:ascii="宋体" w:hAnsi="宋体" w:eastAsia="宋体" w:cs="宋体"/>
          <w:color w:val="auto"/>
          <w:sz w:val="24"/>
          <w:highlight w:val="none"/>
          <w:lang w:val="en-US" w:eastAsia="zh-CN"/>
        </w:rPr>
        <w:t>。</w:t>
      </w:r>
    </w:p>
    <w:p w14:paraId="41F94C1C">
      <w:pPr>
        <w:numPr>
          <w:ilvl w:val="0"/>
          <w:numId w:val="0"/>
        </w:numPr>
        <w:spacing w:line="360" w:lineRule="auto"/>
        <w:ind w:firstLine="480" w:firstLineChars="200"/>
        <w:rPr>
          <w:rFonts w:hint="eastAsia" w:ascii="宋体" w:hAnsi="宋体" w:eastAsia="宋体" w:cs="宋体"/>
          <w:color w:val="auto"/>
          <w:sz w:val="24"/>
          <w:lang w:val="en-US" w:eastAsia="zh-CN"/>
        </w:rPr>
      </w:pPr>
      <w:r>
        <w:rPr>
          <w:rFonts w:hint="eastAsia" w:ascii="宋体" w:hAnsi="宋体" w:eastAsia="宋体" w:cs="宋体"/>
          <w:color w:val="auto"/>
          <w:sz w:val="24"/>
          <w:lang w:val="en-US" w:eastAsia="zh-CN"/>
        </w:rPr>
        <w:t xml:space="preserve">本标准所指城市燃气工程项目是指为城镇居民、商业和工业企业提供符合质量要求的燃气供应系统及相关设施，涵盖燃气的生产、储存、输配、应用以及安全管理等全过程。 </w:t>
      </w:r>
    </w:p>
    <w:p w14:paraId="3456A8EE">
      <w:pPr>
        <w:numPr>
          <w:ilvl w:val="0"/>
          <w:numId w:val="0"/>
        </w:numPr>
        <w:spacing w:line="360" w:lineRule="auto"/>
        <w:ind w:firstLine="480" w:firstLineChars="200"/>
        <w:rPr>
          <w:rFonts w:hint="eastAsia" w:ascii="宋体" w:hAnsi="宋体" w:eastAsia="宋体" w:cs="宋体"/>
          <w:color w:val="auto"/>
          <w:sz w:val="24"/>
          <w:lang w:val="en-US" w:eastAsia="zh-CN"/>
        </w:rPr>
      </w:pPr>
      <w:r>
        <w:rPr>
          <w:rFonts w:hint="eastAsia" w:ascii="宋体" w:hAnsi="宋体" w:eastAsia="宋体" w:cs="宋体"/>
          <w:color w:val="auto"/>
          <w:sz w:val="24"/>
          <w:lang w:val="en-US" w:eastAsia="zh-CN"/>
        </w:rPr>
        <w:t>甲烷泄漏控制直接减少温室气体排放效应，城市燃气系统应建立隐患排查治理、事故预防与预警管控，对城市燃气管道建设和运行实施风险分级管控，用气建筑等燃气设施状态实施监测，保障全年无泄漏事故发生，甲烷泄露管理室环境可持续性核心指标。</w:t>
      </w:r>
      <w:r>
        <w:rPr>
          <w:rFonts w:hint="eastAsia" w:ascii="宋体" w:hAnsi="宋体" w:eastAsia="宋体" w:cs="宋体"/>
          <w:color w:val="auto"/>
          <w:sz w:val="24"/>
          <w:lang w:val="en-US" w:eastAsia="zh-CN"/>
        </w:rPr>
        <w:br w:type="textWrapping"/>
      </w:r>
      <w:r>
        <w:rPr>
          <w:rFonts w:hint="eastAsia" w:ascii="宋体" w:hAnsi="宋体" w:eastAsia="宋体" w:cs="宋体"/>
          <w:color w:val="auto"/>
          <w:sz w:val="24"/>
          <w:lang w:val="en-US" w:eastAsia="zh-CN"/>
        </w:rPr>
        <w:t xml:space="preserve">  燃气管道的切断阀门是重要的工艺操作和安全切断措施，便于在维修、接新管操作以及事故时切断气源，其位置需要 根据具体情况而定。燃气厂站具有爆炸危险的建 (构)筑物不应存在燃气聚积和滞留的条件，并应采取有效通风、设置泄压面积等防爆措施。</w:t>
      </w:r>
    </w:p>
    <w:p w14:paraId="34D21101">
      <w:pPr>
        <w:numPr>
          <w:ilvl w:val="0"/>
          <w:numId w:val="0"/>
        </w:numPr>
        <w:spacing w:line="360" w:lineRule="auto"/>
        <w:ind w:firstLine="480" w:firstLineChars="200"/>
        <w:rPr>
          <w:rFonts w:hint="eastAsia" w:ascii="宋体" w:hAnsi="宋体" w:eastAsia="宋体" w:cs="宋体"/>
          <w:color w:val="auto"/>
          <w:sz w:val="24"/>
          <w:lang w:val="en-US" w:eastAsia="zh-CN"/>
        </w:rPr>
      </w:pPr>
      <w:r>
        <w:rPr>
          <w:rFonts w:hint="eastAsia" w:ascii="宋体" w:hAnsi="宋体" w:eastAsia="宋体" w:cs="宋体"/>
          <w:color w:val="auto"/>
          <w:sz w:val="24"/>
          <w:lang w:val="en-US" w:eastAsia="zh-CN"/>
        </w:rPr>
        <w:t>室内通过强制排风装置的设置，有效降低室内燃气设备运行过程中产生的废气对环境和人员的危害，确保室内空气质量符合安全标准，保障公共健康与安全。</w:t>
      </w:r>
    </w:p>
    <w:p w14:paraId="4A432DA5">
      <w:pPr>
        <w:numPr>
          <w:ilvl w:val="0"/>
          <w:numId w:val="0"/>
        </w:numPr>
        <w:spacing w:line="360" w:lineRule="auto"/>
        <w:ind w:firstLine="480" w:firstLineChars="200"/>
        <w:rPr>
          <w:rFonts w:hint="eastAsia" w:ascii="宋体" w:hAnsi="宋体" w:eastAsia="宋体" w:cs="宋体"/>
          <w:color w:val="auto"/>
          <w:sz w:val="24"/>
          <w:lang w:val="en-US" w:eastAsia="zh-CN"/>
        </w:rPr>
      </w:pPr>
      <w:r>
        <w:rPr>
          <w:rFonts w:hint="eastAsia" w:ascii="宋体" w:hAnsi="宋体" w:eastAsia="宋体" w:cs="宋体"/>
          <w:color w:val="auto"/>
          <w:sz w:val="24"/>
          <w:lang w:val="en-US" w:eastAsia="zh-CN"/>
        </w:rPr>
        <w:t>考量内容：（1）燃气设施运行定期检查记录；（2）燃气设施设计图纸；（3）废气监测、安全监测记录；（4）系统运营与维护记录；（5）相关监管部门监督检查报告等。</w:t>
      </w:r>
    </w:p>
    <w:p w14:paraId="27FF653B">
      <w:pPr>
        <w:spacing w:line="360" w:lineRule="auto"/>
        <w:rPr>
          <w:rFonts w:hint="eastAsia" w:ascii="宋体" w:hAnsi="宋体" w:eastAsia="宋体" w:cs="宋体"/>
          <w:color w:val="auto"/>
          <w:sz w:val="24"/>
        </w:rPr>
      </w:pPr>
      <w:r>
        <w:rPr>
          <w:rFonts w:hint="eastAsia" w:ascii="宋体" w:hAnsi="宋体" w:cs="宋体"/>
          <w:color w:val="auto"/>
          <w:sz w:val="24"/>
          <w:highlight w:val="none"/>
          <w:lang w:val="en-US" w:eastAsia="zh-CN"/>
        </w:rPr>
        <w:t>B.7</w:t>
      </w:r>
      <w:r>
        <w:rPr>
          <w:rFonts w:hint="eastAsia" w:ascii="宋体" w:hAnsi="宋体" w:eastAsia="宋体" w:cs="宋体"/>
          <w:color w:val="auto"/>
          <w:sz w:val="24"/>
          <w:highlight w:val="none"/>
          <w:lang w:val="en-US" w:eastAsia="zh-CN"/>
        </w:rPr>
        <w:t>.2 本条款适用于城市燃气设施</w:t>
      </w:r>
      <w:r>
        <w:rPr>
          <w:rFonts w:hint="eastAsia" w:ascii="宋体" w:hAnsi="宋体" w:eastAsia="宋体" w:cs="宋体"/>
          <w:color w:val="auto"/>
          <w:sz w:val="24"/>
          <w:lang w:val="en-US" w:eastAsia="zh-CN"/>
        </w:rPr>
        <w:t>运行阶段的评价</w:t>
      </w:r>
      <w:r>
        <w:rPr>
          <w:rFonts w:hint="eastAsia" w:ascii="宋体" w:hAnsi="宋体" w:eastAsia="宋体" w:cs="宋体"/>
          <w:color w:val="auto"/>
          <w:sz w:val="24"/>
          <w:highlight w:val="none"/>
          <w:lang w:val="en-US" w:eastAsia="zh-CN"/>
        </w:rPr>
        <w:t>。</w:t>
      </w:r>
    </w:p>
    <w:p w14:paraId="297D285B">
      <w:pPr>
        <w:numPr>
          <w:ilvl w:val="0"/>
          <w:numId w:val="0"/>
        </w:numPr>
        <w:spacing w:line="360" w:lineRule="auto"/>
        <w:ind w:firstLine="480" w:firstLineChars="200"/>
        <w:rPr>
          <w:rFonts w:hint="eastAsia" w:ascii="宋体" w:hAnsi="宋体" w:eastAsia="宋体" w:cs="宋体"/>
          <w:color w:val="auto"/>
          <w:sz w:val="24"/>
          <w:lang w:val="en-US"/>
        </w:rPr>
      </w:pPr>
      <w:r>
        <w:rPr>
          <w:rFonts w:hint="eastAsia" w:ascii="宋体" w:hAnsi="宋体" w:eastAsia="宋体" w:cs="宋体"/>
          <w:color w:val="auto"/>
          <w:sz w:val="24"/>
        </w:rPr>
        <w:t>根据《大气污染物综合排放标准》（GB 16297-1996）及相关环保法规要求，燃气场站废气排放管理条款的制定旨在规范燃气设施运行中产生的废气处理与排放行为，确保环境空气质量及公共健康安全</w:t>
      </w:r>
      <w:r>
        <w:rPr>
          <w:rFonts w:hint="eastAsia" w:ascii="宋体" w:hAnsi="宋体" w:eastAsia="宋体" w:cs="宋体"/>
          <w:color w:val="auto"/>
          <w:sz w:val="24"/>
          <w:lang w:eastAsia="zh-CN"/>
        </w:rPr>
        <w:t>，</w:t>
      </w:r>
      <w:r>
        <w:rPr>
          <w:rFonts w:hint="eastAsia" w:ascii="宋体" w:hAnsi="宋体" w:eastAsia="宋体" w:cs="宋体"/>
          <w:color w:val="auto"/>
          <w:sz w:val="24"/>
        </w:rPr>
        <w:t>减少硫化物、氮氧化物排放，避免酸雨和空气污染。本条款适用于燃气场站（包括天然气门站、储配站、LPG灌装站等）生产、储存及输配过程中产生的废气，如燃烧废气、工艺尾气、挥发性有机物（VOCs）等。污染物种类包括颗粒物、二氧化硫（SO₂）、氮氧化物（NOₓ）、非甲烷总烃（NMHC）等，具体限值须符合GB 16297中“新污染源大气污染物排放限值”规定</w:t>
      </w:r>
      <w:r>
        <w:rPr>
          <w:rFonts w:hint="eastAsia" w:ascii="宋体" w:hAnsi="宋体" w:eastAsia="宋体" w:cs="宋体"/>
          <w:color w:val="auto"/>
          <w:sz w:val="24"/>
          <w:lang w:eastAsia="zh-CN"/>
        </w:rPr>
        <w:t>。</w:t>
      </w:r>
      <w:r>
        <w:rPr>
          <w:rFonts w:hint="eastAsia" w:ascii="宋体" w:hAnsi="宋体" w:eastAsia="宋体" w:cs="宋体"/>
          <w:color w:val="auto"/>
          <w:sz w:val="24"/>
          <w:lang w:val="en-US" w:eastAsia="zh-CN"/>
        </w:rPr>
        <w:t>以</w:t>
      </w:r>
      <w:r>
        <w:rPr>
          <w:rFonts w:hint="eastAsia" w:ascii="宋体" w:hAnsi="宋体" w:eastAsia="宋体" w:cs="宋体"/>
          <w:color w:val="auto"/>
          <w:sz w:val="24"/>
        </w:rPr>
        <w:t>废气排放口监测数据满足浓度限值及速率限值双重要求，且任何时段均不得超标</w:t>
      </w:r>
      <w:r>
        <w:rPr>
          <w:rFonts w:hint="eastAsia" w:ascii="宋体" w:hAnsi="宋体" w:eastAsia="宋体" w:cs="宋体"/>
          <w:color w:val="auto"/>
          <w:sz w:val="24"/>
          <w:lang w:val="en-US" w:eastAsia="zh-CN"/>
        </w:rPr>
        <w:t>为达标判定</w:t>
      </w:r>
      <w:r>
        <w:rPr>
          <w:rFonts w:hint="eastAsia" w:ascii="宋体" w:hAnsi="宋体" w:eastAsia="宋体" w:cs="宋体"/>
          <w:color w:val="auto"/>
          <w:sz w:val="24"/>
        </w:rPr>
        <w:t>。</w:t>
      </w:r>
      <w:r>
        <w:rPr>
          <w:rFonts w:hint="eastAsia" w:ascii="宋体" w:hAnsi="宋体" w:eastAsia="宋体" w:cs="宋体"/>
          <w:color w:val="auto"/>
          <w:sz w:val="24"/>
          <w:lang w:val="en-US" w:eastAsia="zh-CN"/>
        </w:rPr>
        <w:t>可以通过</w:t>
      </w:r>
      <w:r>
        <w:rPr>
          <w:rFonts w:hint="eastAsia" w:ascii="宋体" w:hAnsi="宋体" w:eastAsia="宋体" w:cs="宋体"/>
          <w:color w:val="auto"/>
          <w:sz w:val="24"/>
        </w:rPr>
        <w:t>优先采用低氮燃烧、密闭收集、高效净化工艺</w:t>
      </w:r>
      <w:r>
        <w:rPr>
          <w:rFonts w:hint="eastAsia" w:ascii="宋体" w:hAnsi="宋体" w:eastAsia="宋体" w:cs="宋体"/>
          <w:color w:val="auto"/>
          <w:sz w:val="24"/>
          <w:lang w:eastAsia="zh-CN"/>
        </w:rPr>
        <w:t>，</w:t>
      </w:r>
      <w:r>
        <w:rPr>
          <w:rFonts w:hint="eastAsia" w:ascii="宋体" w:hAnsi="宋体" w:eastAsia="宋体" w:cs="宋体"/>
          <w:color w:val="auto"/>
          <w:sz w:val="24"/>
        </w:rPr>
        <w:t>定期维护处理设施，确保设备连续稳定运行</w:t>
      </w:r>
      <w:r>
        <w:rPr>
          <w:rFonts w:hint="eastAsia" w:ascii="宋体" w:hAnsi="宋体" w:eastAsia="宋体" w:cs="宋体"/>
          <w:color w:val="auto"/>
          <w:sz w:val="24"/>
          <w:lang w:eastAsia="zh-CN"/>
        </w:rPr>
        <w:t>，</w:t>
      </w:r>
      <w:r>
        <w:rPr>
          <w:rFonts w:hint="eastAsia" w:ascii="宋体" w:hAnsi="宋体" w:eastAsia="宋体" w:cs="宋体"/>
          <w:color w:val="auto"/>
          <w:sz w:val="24"/>
          <w:lang w:val="en-US" w:eastAsia="zh-CN"/>
        </w:rPr>
        <w:t>以及</w:t>
      </w:r>
      <w:r>
        <w:rPr>
          <w:rFonts w:hint="eastAsia" w:ascii="宋体" w:hAnsi="宋体" w:eastAsia="宋体" w:cs="宋体"/>
          <w:color w:val="auto"/>
          <w:sz w:val="24"/>
        </w:rPr>
        <w:t>安装在线监测系统，对关键污染物（如SO₂、NOₓ、NMHC）进行连续监测，数据联网至环保监管部门</w:t>
      </w:r>
      <w:r>
        <w:rPr>
          <w:rFonts w:hint="eastAsia" w:ascii="宋体" w:hAnsi="宋体" w:eastAsia="宋体" w:cs="宋体"/>
          <w:color w:val="auto"/>
          <w:sz w:val="24"/>
          <w:lang w:val="en-US" w:eastAsia="zh-CN"/>
        </w:rPr>
        <w:t>等措施，实现燃气场站废弃排放达标与管理</w:t>
      </w:r>
    </w:p>
    <w:p w14:paraId="0F64EB6F">
      <w:pPr>
        <w:numPr>
          <w:ilvl w:val="0"/>
          <w:numId w:val="0"/>
        </w:numPr>
        <w:spacing w:line="360" w:lineRule="auto"/>
        <w:ind w:firstLine="480" w:firstLineChars="200"/>
        <w:rPr>
          <w:rFonts w:hint="eastAsia" w:ascii="宋体" w:hAnsi="宋体" w:eastAsia="宋体" w:cs="宋体"/>
          <w:color w:val="auto"/>
          <w:sz w:val="24"/>
          <w:lang w:val="en-US" w:eastAsia="zh-CN"/>
        </w:rPr>
      </w:pPr>
      <w:r>
        <w:rPr>
          <w:rFonts w:hint="eastAsia" w:ascii="宋体" w:hAnsi="宋体" w:eastAsia="宋体" w:cs="宋体"/>
          <w:color w:val="auto"/>
          <w:sz w:val="24"/>
          <w:lang w:val="en-US" w:eastAsia="zh-CN"/>
        </w:rPr>
        <w:t>考量内容：（1）燃气设施运行定期检查记录；（2）废气排放监测记录；（3）系统运行与维护记录；（4）相关监管部门监督检查报告等。</w:t>
      </w:r>
    </w:p>
    <w:p w14:paraId="262FA111">
      <w:pPr>
        <w:spacing w:line="360" w:lineRule="auto"/>
        <w:rPr>
          <w:rFonts w:hint="eastAsia" w:ascii="宋体" w:hAnsi="宋体" w:eastAsia="宋体" w:cs="宋体"/>
          <w:color w:val="auto"/>
          <w:sz w:val="24"/>
        </w:rPr>
      </w:pPr>
      <w:r>
        <w:rPr>
          <w:rFonts w:hint="eastAsia" w:ascii="宋体" w:hAnsi="宋体" w:cs="宋体"/>
          <w:color w:val="auto"/>
          <w:sz w:val="24"/>
          <w:highlight w:val="none"/>
          <w:lang w:val="en-US" w:eastAsia="zh-CN"/>
        </w:rPr>
        <w:t>B.7</w:t>
      </w:r>
      <w:r>
        <w:rPr>
          <w:rFonts w:hint="eastAsia" w:ascii="宋体" w:hAnsi="宋体" w:eastAsia="宋体" w:cs="宋体"/>
          <w:color w:val="auto"/>
          <w:sz w:val="24"/>
          <w:highlight w:val="none"/>
          <w:lang w:val="en-US" w:eastAsia="zh-CN"/>
        </w:rPr>
        <w:t>.3 本条款适用于城市燃气设施</w:t>
      </w:r>
      <w:r>
        <w:rPr>
          <w:rFonts w:hint="eastAsia" w:ascii="宋体" w:hAnsi="宋体" w:eastAsia="宋体" w:cs="宋体"/>
          <w:color w:val="auto"/>
          <w:sz w:val="24"/>
          <w:lang w:val="en-US" w:eastAsia="zh-CN"/>
        </w:rPr>
        <w:t>规划设计、施工建造阶段的评价</w:t>
      </w:r>
      <w:r>
        <w:rPr>
          <w:rFonts w:hint="eastAsia" w:ascii="宋体" w:hAnsi="宋体" w:eastAsia="宋体" w:cs="宋体"/>
          <w:color w:val="auto"/>
          <w:sz w:val="24"/>
          <w:highlight w:val="none"/>
          <w:lang w:val="en-US" w:eastAsia="zh-CN"/>
        </w:rPr>
        <w:t>。</w:t>
      </w:r>
    </w:p>
    <w:p w14:paraId="783F1F86">
      <w:pPr>
        <w:numPr>
          <w:ilvl w:val="0"/>
          <w:numId w:val="0"/>
        </w:numPr>
        <w:spacing w:line="360" w:lineRule="auto"/>
        <w:ind w:firstLine="480" w:firstLineChars="200"/>
        <w:rPr>
          <w:rFonts w:hint="eastAsia" w:ascii="宋体" w:hAnsi="宋体" w:eastAsia="宋体" w:cs="宋体"/>
          <w:color w:val="auto"/>
          <w:sz w:val="24"/>
          <w:lang w:val="en-US" w:eastAsia="zh-CN"/>
        </w:rPr>
      </w:pPr>
      <w:r>
        <w:rPr>
          <w:rFonts w:hint="eastAsia" w:ascii="宋体" w:hAnsi="宋体" w:eastAsia="宋体" w:cs="宋体"/>
          <w:color w:val="auto"/>
          <w:sz w:val="24"/>
        </w:rPr>
        <w:t>燃气设施贯穿城乡所在建设区域，连接城乡各类建 (构)筑物，燃气工程建设质量和燃气设施安全运行关系到人身安全和公共安全。在燃气工程建设和运行维护过程中，为保障人身健康和生命财产安全、国家安全、生态环境安全、满足社会经济管理基本要求，</w:t>
      </w:r>
      <w:r>
        <w:rPr>
          <w:rFonts w:hint="eastAsia" w:ascii="宋体" w:hAnsi="宋体" w:eastAsia="宋体" w:cs="宋体"/>
          <w:color w:val="auto"/>
          <w:sz w:val="24"/>
          <w:lang w:val="en-US" w:eastAsia="zh-CN"/>
        </w:rPr>
        <w:t>应</w:t>
      </w:r>
      <w:r>
        <w:rPr>
          <w:rFonts w:hint="eastAsia" w:ascii="宋体" w:hAnsi="宋体" w:eastAsia="宋体" w:cs="宋体"/>
          <w:color w:val="auto"/>
          <w:sz w:val="24"/>
        </w:rPr>
        <w:t>强化政府有关部门监管执法，加强燃气工程建设和运行维护的各方责任主体，</w:t>
      </w:r>
      <w:r>
        <w:rPr>
          <w:rFonts w:hint="eastAsia" w:ascii="宋体" w:hAnsi="宋体" w:eastAsia="宋体" w:cs="宋体"/>
          <w:color w:val="auto"/>
          <w:sz w:val="24"/>
          <w:lang w:val="en-US" w:eastAsia="zh-CN"/>
        </w:rPr>
        <w:t>符合</w:t>
      </w:r>
      <w:r>
        <w:rPr>
          <w:rFonts w:hint="eastAsia" w:ascii="宋体" w:hAnsi="宋体" w:eastAsia="宋体" w:cs="宋体"/>
          <w:color w:val="auto"/>
          <w:sz w:val="24"/>
        </w:rPr>
        <w:t>国家相关法律、行政法规</w:t>
      </w:r>
      <w:r>
        <w:rPr>
          <w:rFonts w:hint="eastAsia" w:ascii="宋体" w:hAnsi="宋体" w:eastAsia="宋体" w:cs="宋体"/>
          <w:color w:val="auto"/>
          <w:sz w:val="24"/>
          <w:lang w:val="en-US" w:eastAsia="zh-CN"/>
        </w:rPr>
        <w:t>规定，</w:t>
      </w:r>
      <w:r>
        <w:rPr>
          <w:rFonts w:hint="eastAsia" w:ascii="宋体" w:hAnsi="宋体" w:eastAsia="宋体" w:cs="宋体"/>
          <w:color w:val="auto"/>
          <w:sz w:val="24"/>
        </w:rPr>
        <w:t>符合国家能源、生态环境、土地利用、防灾减灾、应急管理等政策</w:t>
      </w:r>
      <w:r>
        <w:rPr>
          <w:rFonts w:hint="eastAsia" w:ascii="宋体" w:hAnsi="宋体" w:eastAsia="宋体" w:cs="宋体"/>
          <w:color w:val="auto"/>
          <w:sz w:val="24"/>
          <w:lang w:val="en-US" w:eastAsia="zh-CN"/>
        </w:rPr>
        <w:t>要求。</w:t>
      </w:r>
    </w:p>
    <w:p w14:paraId="7552F231">
      <w:pPr>
        <w:numPr>
          <w:ilvl w:val="0"/>
          <w:numId w:val="0"/>
        </w:numPr>
        <w:spacing w:line="360" w:lineRule="auto"/>
        <w:ind w:firstLine="480" w:firstLineChars="200"/>
        <w:rPr>
          <w:rFonts w:hint="eastAsia" w:ascii="宋体" w:hAnsi="宋体" w:eastAsia="宋体" w:cs="宋体"/>
          <w:color w:val="auto"/>
          <w:sz w:val="24"/>
          <w:lang w:val="en-US" w:eastAsia="zh-CN"/>
        </w:rPr>
      </w:pPr>
      <w:r>
        <w:rPr>
          <w:rFonts w:hint="eastAsia" w:ascii="宋体" w:hAnsi="宋体" w:eastAsia="宋体" w:cs="宋体"/>
          <w:color w:val="auto"/>
          <w:sz w:val="24"/>
          <w:lang w:val="en-US" w:eastAsia="zh-CN"/>
        </w:rPr>
        <w:t>考量内容：（1）城市燃气工程项目规划选址意见书；（3）环境影响评价报告；（4）生态保护专项方案；（5）现场照片或视频记录；（6）恢复或补偿的验收报告；（7）环保部门批复文件等。</w:t>
      </w:r>
    </w:p>
    <w:p w14:paraId="350D93FD">
      <w:pPr>
        <w:spacing w:line="360" w:lineRule="auto"/>
        <w:rPr>
          <w:rFonts w:hint="eastAsia" w:ascii="宋体" w:hAnsi="宋体" w:eastAsia="宋体" w:cs="宋体"/>
          <w:color w:val="auto"/>
          <w:sz w:val="24"/>
        </w:rPr>
      </w:pPr>
      <w:r>
        <w:rPr>
          <w:rFonts w:hint="eastAsia" w:ascii="宋体" w:hAnsi="宋体" w:cs="宋体"/>
          <w:color w:val="auto"/>
          <w:sz w:val="24"/>
          <w:highlight w:val="none"/>
          <w:lang w:val="en-US" w:eastAsia="zh-CN"/>
        </w:rPr>
        <w:t>B.7</w:t>
      </w:r>
      <w:r>
        <w:rPr>
          <w:rFonts w:hint="eastAsia" w:ascii="宋体" w:hAnsi="宋体" w:eastAsia="宋体" w:cs="宋体"/>
          <w:color w:val="auto"/>
          <w:sz w:val="24"/>
          <w:highlight w:val="none"/>
          <w:lang w:val="en-US" w:eastAsia="zh-CN"/>
        </w:rPr>
        <w:t>.4 本条款适用于城市燃气设施</w:t>
      </w:r>
      <w:r>
        <w:rPr>
          <w:rFonts w:hint="eastAsia" w:ascii="宋体" w:hAnsi="宋体" w:eastAsia="宋体" w:cs="宋体"/>
          <w:color w:val="auto"/>
          <w:sz w:val="24"/>
          <w:lang w:val="en-US" w:eastAsia="zh-CN"/>
        </w:rPr>
        <w:t>运行阶段的评价</w:t>
      </w:r>
      <w:r>
        <w:rPr>
          <w:rFonts w:hint="eastAsia" w:ascii="宋体" w:hAnsi="宋体" w:eastAsia="宋体" w:cs="宋体"/>
          <w:color w:val="auto"/>
          <w:sz w:val="24"/>
          <w:highlight w:val="none"/>
          <w:lang w:val="en-US" w:eastAsia="zh-CN"/>
        </w:rPr>
        <w:t>。</w:t>
      </w:r>
    </w:p>
    <w:p w14:paraId="25681581">
      <w:pPr>
        <w:numPr>
          <w:ilvl w:val="0"/>
          <w:numId w:val="0"/>
        </w:numPr>
        <w:spacing w:line="360" w:lineRule="auto"/>
        <w:ind w:firstLine="480" w:firstLineChars="200"/>
        <w:rPr>
          <w:rFonts w:hint="eastAsia" w:ascii="宋体" w:hAnsi="宋体" w:eastAsia="宋体" w:cs="宋体"/>
          <w:color w:val="auto"/>
          <w:sz w:val="24"/>
          <w:lang w:val="en-US" w:eastAsia="zh-CN"/>
        </w:rPr>
      </w:pPr>
      <w:r>
        <w:rPr>
          <w:rFonts w:hint="eastAsia" w:ascii="宋体" w:hAnsi="宋体" w:eastAsia="宋体" w:cs="宋体"/>
          <w:color w:val="auto"/>
          <w:sz w:val="24"/>
          <w:lang w:val="en-US" w:eastAsia="zh-CN"/>
        </w:rPr>
        <w:t>为确保燃气使用安全，燃气中需添加加臭剂以便泄漏时能够被及时察觉。加臭剂及其燃烧产物可能对人体健康、环境和设备产生影响。为保障公众健康、保护环境及设备安全，依据《城镇燃气设计规范》（GB 50028）、《燃气加臭剂技术规范》（CJJ/T 148）、《化学品毒性鉴定技术规范》及相关法律法规，加臭剂应选择无毒或低毒物质，加臭剂应在燃气中均匀分布，避免局部浓度过高或过低，加臭剂的燃烧产物不得含有对人体有害的物质，如一氧化碳、硫化物等。加臭剂及其燃烧产物不得对燃气设备（如管道、阀门、燃烧器等）造成腐蚀或损坏，确保设备长期稳定运行。加臭剂及其燃烧产物不得对土壤、水源、大气等环境介质造成污染，符合《大气污染物综合排放标准》（GB 16297）和《水污染物排放标准》（GB 8978）的要求。燃气加臭剂生产企业应提供符合</w:t>
      </w:r>
      <w:r>
        <w:rPr>
          <w:rFonts w:hint="eastAsia" w:ascii="宋体" w:hAnsi="宋体" w:cs="宋体"/>
          <w:color w:val="auto"/>
          <w:sz w:val="24"/>
          <w:lang w:val="en-US" w:eastAsia="zh-CN"/>
        </w:rPr>
        <w:t>现行国家标准</w:t>
      </w:r>
      <w:r>
        <w:rPr>
          <w:rFonts w:hint="eastAsia" w:ascii="宋体" w:hAnsi="宋体" w:eastAsia="宋体" w:cs="宋体"/>
          <w:color w:val="auto"/>
          <w:sz w:val="24"/>
          <w:lang w:val="en-US" w:eastAsia="zh-CN"/>
        </w:rPr>
        <w:t xml:space="preserve">的加臭剂，并出具相关检测报告和安全说明书。燃气企业应严格按照规范使用加臭剂，定期检查加臭剂的使用情况，确保其安全性和有效性。关监管部门应加强对加臭剂生产、使用环节的监督检查，确保其符合安全规范。   </w:t>
      </w:r>
    </w:p>
    <w:p w14:paraId="397373BF">
      <w:pPr>
        <w:numPr>
          <w:ilvl w:val="0"/>
          <w:numId w:val="0"/>
        </w:numPr>
        <w:spacing w:line="360" w:lineRule="auto"/>
        <w:ind w:firstLine="480" w:firstLineChars="200"/>
        <w:rPr>
          <w:rFonts w:hint="eastAsia" w:ascii="宋体" w:hAnsi="宋体" w:eastAsia="宋体" w:cs="宋体"/>
          <w:color w:val="auto"/>
          <w:sz w:val="24"/>
          <w:lang w:val="en-US" w:eastAsia="zh-CN"/>
        </w:rPr>
      </w:pPr>
      <w:r>
        <w:rPr>
          <w:rFonts w:hint="eastAsia" w:ascii="宋体" w:hAnsi="宋体" w:eastAsia="宋体" w:cs="宋体"/>
          <w:color w:val="auto"/>
          <w:sz w:val="24"/>
          <w:lang w:val="en-US" w:eastAsia="zh-CN"/>
        </w:rPr>
        <w:t>考量内容：（1）燃气中添加加臭剂使用和管理记录；（2）燃气系统运行监测记录；（3）系统运行与维护记录；（4）生产厂家提供相关监测报告；（5）相关监管部门监督检查报告等。</w:t>
      </w:r>
    </w:p>
    <w:p w14:paraId="4C61CC82">
      <w:pPr>
        <w:spacing w:line="360" w:lineRule="auto"/>
        <w:rPr>
          <w:rFonts w:hint="eastAsia" w:ascii="宋体" w:hAnsi="宋体" w:eastAsia="宋体" w:cs="宋体"/>
          <w:color w:val="auto"/>
          <w:sz w:val="24"/>
        </w:rPr>
      </w:pPr>
      <w:r>
        <w:rPr>
          <w:rFonts w:hint="eastAsia" w:ascii="宋体" w:hAnsi="宋体" w:cs="宋体"/>
          <w:color w:val="auto"/>
          <w:sz w:val="24"/>
          <w:highlight w:val="none"/>
          <w:lang w:val="en-US" w:eastAsia="zh-CN"/>
        </w:rPr>
        <w:t>B.7</w:t>
      </w:r>
      <w:r>
        <w:rPr>
          <w:rFonts w:hint="eastAsia" w:ascii="宋体" w:hAnsi="宋体" w:eastAsia="宋体" w:cs="宋体"/>
          <w:color w:val="auto"/>
          <w:sz w:val="24"/>
          <w:highlight w:val="none"/>
          <w:lang w:val="en-US" w:eastAsia="zh-CN"/>
        </w:rPr>
        <w:t>.5 本条款适用于城市燃气设施</w:t>
      </w:r>
      <w:r>
        <w:rPr>
          <w:rFonts w:hint="eastAsia" w:ascii="宋体" w:hAnsi="宋体" w:eastAsia="宋体" w:cs="宋体"/>
          <w:color w:val="auto"/>
          <w:sz w:val="24"/>
          <w:lang w:val="en-US" w:eastAsia="zh-CN"/>
        </w:rPr>
        <w:t>运行阶段的评价</w:t>
      </w:r>
      <w:r>
        <w:rPr>
          <w:rFonts w:hint="eastAsia" w:ascii="宋体" w:hAnsi="宋体" w:eastAsia="宋体" w:cs="宋体"/>
          <w:color w:val="auto"/>
          <w:sz w:val="24"/>
          <w:highlight w:val="none"/>
          <w:lang w:val="en-US" w:eastAsia="zh-CN"/>
        </w:rPr>
        <w:t>。</w:t>
      </w:r>
    </w:p>
    <w:p w14:paraId="01E27EEE">
      <w:pPr>
        <w:numPr>
          <w:ilvl w:val="0"/>
          <w:numId w:val="0"/>
        </w:numPr>
        <w:spacing w:line="360" w:lineRule="auto"/>
        <w:ind w:firstLine="480" w:firstLineChars="200"/>
        <w:rPr>
          <w:rFonts w:hint="eastAsia" w:ascii="宋体" w:hAnsi="宋体" w:eastAsia="宋体" w:cs="宋体"/>
          <w:color w:val="auto"/>
          <w:sz w:val="24"/>
          <w:lang w:val="en-US" w:eastAsia="zh-CN"/>
        </w:rPr>
      </w:pPr>
      <w:r>
        <w:rPr>
          <w:rFonts w:hint="eastAsia" w:ascii="宋体" w:hAnsi="宋体" w:eastAsia="宋体" w:cs="宋体"/>
          <w:color w:val="auto"/>
          <w:sz w:val="24"/>
          <w:lang w:val="en-US" w:eastAsia="zh-CN"/>
        </w:rPr>
        <w:t>调压装置运行时，其厂界环境噪音应符合《声环境质量标准》（GB 3096）、《工业企业厂界环境噪声排放标准》（GB 12348）的规定。具体限值根据所在区域的环境功能区划确定，</w:t>
      </w:r>
    </w:p>
    <w:p w14:paraId="45AA2BE7">
      <w:pPr>
        <w:numPr>
          <w:ilvl w:val="0"/>
          <w:numId w:val="0"/>
        </w:numPr>
        <w:spacing w:line="360" w:lineRule="auto"/>
        <w:rPr>
          <w:rFonts w:hint="eastAsia" w:ascii="宋体" w:hAnsi="宋体" w:eastAsia="宋体" w:cs="宋体"/>
          <w:color w:val="auto"/>
          <w:sz w:val="24"/>
          <w:lang w:val="en-US" w:eastAsia="zh-CN"/>
        </w:rPr>
      </w:pPr>
      <w:r>
        <w:rPr>
          <w:rFonts w:hint="eastAsia" w:ascii="宋体" w:hAnsi="宋体" w:eastAsia="宋体" w:cs="宋体"/>
          <w:color w:val="auto"/>
          <w:sz w:val="24"/>
          <w:lang w:val="en-US" w:eastAsia="zh-CN"/>
        </w:rPr>
        <w:t>为保护周边环境及居民健康，减少调压装置运行过程中产生的噪音污染，应优先选择低噪音调压设备，从源头上减少噪音产生；在调压装置周围设置隔音屏障或隔音罩，采用吸音材料降低噪音传播；调压装置应尽量远离居民区、学校、医院等敏感区域，并合理规划设备布局，减少噪音对周边环境的影响；对调压装置及其管道系统采取减振措施，如安装减振垫、柔性接头等，降低振动噪音。燃气企业应定期对调压装置的厂界环境噪音进行监测，确保其符合</w:t>
      </w:r>
      <w:r>
        <w:rPr>
          <w:rFonts w:hint="eastAsia" w:ascii="宋体" w:hAnsi="宋体" w:cs="宋体"/>
          <w:color w:val="auto"/>
          <w:sz w:val="24"/>
          <w:lang w:val="en-US" w:eastAsia="zh-CN"/>
        </w:rPr>
        <w:t>现行国家标准</w:t>
      </w:r>
      <w:r>
        <w:rPr>
          <w:rFonts w:hint="eastAsia" w:ascii="宋体" w:hAnsi="宋体" w:eastAsia="宋体" w:cs="宋体"/>
          <w:color w:val="auto"/>
          <w:sz w:val="24"/>
          <w:lang w:val="en-US" w:eastAsia="zh-CN"/>
        </w:rPr>
        <w:t xml:space="preserve">。监测记录应保存备查。定期对调压装置进行检查和维护，确保设备运行状态良好，避免因设备老化或故障导致噪音超标。 </w:t>
      </w:r>
    </w:p>
    <w:p w14:paraId="1F7457A5">
      <w:pPr>
        <w:numPr>
          <w:ilvl w:val="0"/>
          <w:numId w:val="0"/>
        </w:numPr>
        <w:spacing w:line="360" w:lineRule="auto"/>
        <w:ind w:firstLine="480" w:firstLineChars="200"/>
        <w:rPr>
          <w:rFonts w:hint="eastAsia" w:ascii="宋体" w:hAnsi="宋体" w:eastAsia="宋体" w:cs="宋体"/>
          <w:color w:val="auto"/>
          <w:sz w:val="24"/>
          <w:lang w:val="en-US" w:eastAsia="zh-CN"/>
        </w:rPr>
      </w:pPr>
      <w:r>
        <w:rPr>
          <w:rFonts w:hint="eastAsia" w:ascii="宋体" w:hAnsi="宋体" w:eastAsia="宋体" w:cs="宋体"/>
          <w:color w:val="auto"/>
          <w:sz w:val="24"/>
          <w:lang w:val="en-US" w:eastAsia="zh-CN"/>
        </w:rPr>
        <w:t>考量内容：（1）燃气调压设施设计文件；（2）噪音监测记录；（3）设施装置运行与维护记录；（4）社区周边企事业单位、居民等投诉记录；（5）相关监管部门监督检查报告等。</w:t>
      </w:r>
    </w:p>
    <w:p w14:paraId="33BF3526">
      <w:pPr>
        <w:spacing w:line="360" w:lineRule="auto"/>
        <w:rPr>
          <w:rFonts w:hint="eastAsia" w:ascii="宋体" w:hAnsi="宋体" w:eastAsia="宋体" w:cs="宋体"/>
          <w:color w:val="auto"/>
          <w:sz w:val="24"/>
        </w:rPr>
      </w:pPr>
      <w:r>
        <w:rPr>
          <w:rFonts w:hint="eastAsia" w:ascii="宋体" w:hAnsi="宋体" w:cs="宋体"/>
          <w:color w:val="auto"/>
          <w:sz w:val="24"/>
          <w:highlight w:val="none"/>
          <w:lang w:val="en-US" w:eastAsia="zh-CN"/>
        </w:rPr>
        <w:t>B.7</w:t>
      </w:r>
      <w:r>
        <w:rPr>
          <w:rFonts w:hint="eastAsia" w:ascii="宋体" w:hAnsi="宋体" w:eastAsia="宋体" w:cs="宋体"/>
          <w:color w:val="auto"/>
          <w:sz w:val="24"/>
          <w:highlight w:val="none"/>
          <w:lang w:val="en-US" w:eastAsia="zh-CN"/>
        </w:rPr>
        <w:t>.6 本条款适用于城市燃气设施</w:t>
      </w:r>
      <w:r>
        <w:rPr>
          <w:rFonts w:hint="eastAsia" w:ascii="宋体" w:hAnsi="宋体" w:eastAsia="宋体" w:cs="宋体"/>
          <w:color w:val="auto"/>
          <w:sz w:val="24"/>
          <w:lang w:val="en-US" w:eastAsia="zh-CN"/>
        </w:rPr>
        <w:t>运行阶段的评价</w:t>
      </w:r>
      <w:r>
        <w:rPr>
          <w:rFonts w:hint="eastAsia" w:ascii="宋体" w:hAnsi="宋体" w:eastAsia="宋体" w:cs="宋体"/>
          <w:color w:val="auto"/>
          <w:sz w:val="24"/>
          <w:highlight w:val="none"/>
          <w:lang w:val="en-US" w:eastAsia="zh-CN"/>
        </w:rPr>
        <w:t>。</w:t>
      </w:r>
    </w:p>
    <w:p w14:paraId="48FFD9BD">
      <w:pPr>
        <w:numPr>
          <w:ilvl w:val="0"/>
          <w:numId w:val="0"/>
        </w:numPr>
        <w:spacing w:line="360" w:lineRule="auto"/>
        <w:ind w:firstLine="480" w:firstLineChars="200"/>
        <w:rPr>
          <w:rFonts w:hint="eastAsia" w:ascii="宋体" w:hAnsi="宋体" w:eastAsia="宋体" w:cs="宋体"/>
          <w:color w:val="auto"/>
          <w:sz w:val="24"/>
          <w:lang w:val="en-US" w:eastAsia="zh-CN"/>
        </w:rPr>
      </w:pPr>
      <w:r>
        <w:rPr>
          <w:rFonts w:hint="eastAsia" w:ascii="宋体" w:hAnsi="宋体" w:eastAsia="宋体" w:cs="宋体"/>
          <w:color w:val="auto"/>
          <w:sz w:val="24"/>
        </w:rPr>
        <w:t>燃气生产工艺的污水中可能含有一些烃类物质，且挥发性很高，故限制其直接排入下水道，以确保安全。排出站外的污水应按现行国家标准《污水综合排放标准》 GB 8978的规定执行，另外还要根据排放的地点确定符合的标准。例如，直接排入城市下水道应符合现行国家标准《污水排入城镇下水道水质标准》GB/T31962的有关规定；野外直接排放应符合现行国家标准《地表水环境质量标准》GB3838 的有关规定，直接排入农田应符合现行国家标准《农田灌溉水质标准》GB 5084 的有关规定</w:t>
      </w:r>
      <w:r>
        <w:rPr>
          <w:rFonts w:hint="eastAsia" w:ascii="宋体" w:hAnsi="宋体" w:eastAsia="宋体" w:cs="宋体"/>
          <w:color w:val="auto"/>
          <w:sz w:val="24"/>
          <w:lang w:eastAsia="zh-CN"/>
        </w:rPr>
        <w:t>。</w:t>
      </w:r>
      <w:r>
        <w:rPr>
          <w:rFonts w:hint="eastAsia" w:ascii="宋体" w:hAnsi="宋体" w:eastAsia="宋体" w:cs="宋体"/>
          <w:color w:val="auto"/>
          <w:sz w:val="24"/>
        </w:rPr>
        <w:t xml:space="preserve"> </w:t>
      </w:r>
    </w:p>
    <w:p w14:paraId="5D79A9E0">
      <w:pPr>
        <w:numPr>
          <w:ilvl w:val="0"/>
          <w:numId w:val="0"/>
        </w:numPr>
        <w:spacing w:line="360" w:lineRule="auto"/>
        <w:ind w:firstLine="480" w:firstLineChars="200"/>
        <w:rPr>
          <w:rFonts w:hint="eastAsia" w:ascii="宋体" w:hAnsi="宋体" w:eastAsia="宋体" w:cs="宋体"/>
          <w:color w:val="auto"/>
          <w:sz w:val="24"/>
          <w:lang w:val="en-US" w:eastAsia="zh-CN"/>
        </w:rPr>
      </w:pPr>
      <w:r>
        <w:rPr>
          <w:rFonts w:hint="eastAsia" w:ascii="宋体" w:hAnsi="宋体" w:eastAsia="宋体" w:cs="宋体"/>
          <w:color w:val="auto"/>
          <w:sz w:val="24"/>
          <w:lang w:val="en-US" w:eastAsia="zh-CN"/>
        </w:rPr>
        <w:t>考量内容：（1）燃气设施运行排出站外污水检测报告；（2）废弃物排放监测记录；（3）系统运行与维护记录；（4）相关监管部门监督检查报告等。</w:t>
      </w:r>
    </w:p>
    <w:p w14:paraId="59D34146">
      <w:pPr>
        <w:spacing w:line="360" w:lineRule="auto"/>
        <w:rPr>
          <w:rFonts w:hint="eastAsia" w:ascii="宋体" w:hAnsi="宋体" w:eastAsia="宋体" w:cs="宋体"/>
          <w:color w:val="auto"/>
          <w:sz w:val="24"/>
        </w:rPr>
      </w:pPr>
      <w:r>
        <w:rPr>
          <w:rFonts w:hint="eastAsia" w:ascii="宋体" w:hAnsi="宋体" w:cs="宋体"/>
          <w:color w:val="auto"/>
          <w:sz w:val="24"/>
          <w:highlight w:val="none"/>
          <w:lang w:val="en-US" w:eastAsia="zh-CN"/>
        </w:rPr>
        <w:t>B.7</w:t>
      </w:r>
      <w:r>
        <w:rPr>
          <w:rFonts w:hint="eastAsia" w:ascii="宋体" w:hAnsi="宋体" w:eastAsia="宋体" w:cs="宋体"/>
          <w:color w:val="auto"/>
          <w:sz w:val="24"/>
          <w:highlight w:val="none"/>
          <w:lang w:val="en-US" w:eastAsia="zh-CN"/>
        </w:rPr>
        <w:t>.</w:t>
      </w:r>
      <w:r>
        <w:rPr>
          <w:rFonts w:hint="eastAsia" w:ascii="宋体" w:hAnsi="宋体" w:cs="宋体"/>
          <w:color w:val="auto"/>
          <w:sz w:val="24"/>
          <w:highlight w:val="none"/>
          <w:lang w:val="en-US" w:eastAsia="zh-CN"/>
        </w:rPr>
        <w:t>7</w:t>
      </w:r>
      <w:r>
        <w:rPr>
          <w:rFonts w:hint="eastAsia" w:ascii="宋体" w:hAnsi="宋体" w:eastAsia="宋体" w:cs="宋体"/>
          <w:color w:val="auto"/>
          <w:sz w:val="24"/>
          <w:highlight w:val="none"/>
          <w:lang w:val="en-US" w:eastAsia="zh-CN"/>
        </w:rPr>
        <w:t xml:space="preserve"> 本条款适用于城市燃气设施规划设计、</w:t>
      </w:r>
      <w:r>
        <w:rPr>
          <w:rFonts w:hint="eastAsia" w:ascii="宋体" w:hAnsi="宋体" w:eastAsia="宋体" w:cs="宋体"/>
          <w:color w:val="auto"/>
          <w:sz w:val="24"/>
          <w:lang w:val="en-US" w:eastAsia="zh-CN"/>
        </w:rPr>
        <w:t>运行阶段的评价</w:t>
      </w:r>
      <w:r>
        <w:rPr>
          <w:rFonts w:hint="eastAsia" w:ascii="宋体" w:hAnsi="宋体" w:eastAsia="宋体" w:cs="宋体"/>
          <w:color w:val="auto"/>
          <w:sz w:val="24"/>
          <w:highlight w:val="none"/>
          <w:lang w:val="en-US" w:eastAsia="zh-CN"/>
        </w:rPr>
        <w:t>。</w:t>
      </w:r>
    </w:p>
    <w:p w14:paraId="2DB9B885">
      <w:pPr>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lang w:val="en-US" w:eastAsia="zh-CN"/>
        </w:rPr>
        <w:t>本条文主要</w:t>
      </w:r>
      <w:r>
        <w:rPr>
          <w:rFonts w:hint="eastAsia" w:ascii="宋体" w:hAnsi="宋体" w:eastAsia="宋体" w:cs="宋体"/>
          <w:color w:val="auto"/>
          <w:sz w:val="24"/>
        </w:rPr>
        <w:t>依据《城镇燃气管理条例》、《能源发展战略行动计划（2014-2020年）》及相关技术规范。能力储备要求燃气供应系统应具备足够的调峰能力和应急储备能力，确保在用气高峰或紧急情况下能够稳定供气。具体措施包括建设储气设施（如地下储气库、LNG储罐等）等。多气源要求燃气供应系统应采用多种气源，并根据市场需求、价格波动及供应稳定性优化气源组合，提高供应的灵活性和可持续性。智能化管理要求燃气供应系统应实现智能化管理，</w:t>
      </w:r>
      <w:r>
        <w:rPr>
          <w:rFonts w:hint="eastAsia" w:ascii="宋体" w:hAnsi="宋体" w:eastAsia="宋体" w:cs="宋体"/>
          <w:color w:val="auto"/>
          <w:sz w:val="24"/>
          <w:lang w:val="en-US" w:eastAsia="zh-CN"/>
        </w:rPr>
        <w:t>通过CIM技术、人工智能技术、</w:t>
      </w:r>
      <w:r>
        <w:rPr>
          <w:rFonts w:hint="eastAsia" w:ascii="宋体" w:hAnsi="宋体" w:eastAsia="宋体" w:cs="宋体"/>
          <w:color w:val="auto"/>
          <w:sz w:val="24"/>
        </w:rPr>
        <w:t>物联网技术等手段</w:t>
      </w:r>
      <w:r>
        <w:rPr>
          <w:rFonts w:hint="eastAsia" w:ascii="宋体" w:hAnsi="宋体" w:eastAsia="宋体" w:cs="宋体"/>
          <w:color w:val="auto"/>
          <w:sz w:val="24"/>
          <w:lang w:eastAsia="zh-CN"/>
        </w:rPr>
        <w:t>，</w:t>
      </w:r>
      <w:r>
        <w:rPr>
          <w:rFonts w:hint="eastAsia" w:ascii="宋体" w:hAnsi="宋体" w:eastAsia="宋体" w:cs="宋体"/>
          <w:color w:val="auto"/>
          <w:sz w:val="24"/>
        </w:rPr>
        <w:t>实时监控管网压力、流量、设备状态等运行参数，优化调度方案，提高能源利用效率</w:t>
      </w:r>
      <w:r>
        <w:rPr>
          <w:rFonts w:hint="eastAsia" w:ascii="宋体" w:hAnsi="宋体" w:eastAsia="宋体" w:cs="宋体"/>
          <w:color w:val="auto"/>
          <w:sz w:val="24"/>
          <w:lang w:val="en-US" w:eastAsia="zh-CN"/>
        </w:rPr>
        <w:t>和系统运行效率</w:t>
      </w:r>
      <w:r>
        <w:rPr>
          <w:rFonts w:hint="eastAsia" w:ascii="宋体" w:hAnsi="宋体" w:eastAsia="宋体" w:cs="宋体"/>
          <w:color w:val="auto"/>
          <w:sz w:val="24"/>
        </w:rPr>
        <w:t>。计量器具要求使用管道燃气的用户应安装燃气计量器具，计量表应具备远传功能，以便实时监测用气量，提高计量准确性和管理效率。</w:t>
      </w:r>
    </w:p>
    <w:p w14:paraId="7A76BE90">
      <w:pPr>
        <w:spacing w:line="360" w:lineRule="auto"/>
        <w:ind w:firstLine="480" w:firstLineChars="200"/>
        <w:rPr>
          <w:rFonts w:hint="eastAsia" w:ascii="宋体" w:hAnsi="宋体" w:eastAsia="宋体" w:cs="宋体"/>
          <w:color w:val="auto"/>
          <w:sz w:val="24"/>
          <w:lang w:val="en-US"/>
        </w:rPr>
      </w:pPr>
      <w:r>
        <w:rPr>
          <w:rFonts w:hint="eastAsia" w:ascii="宋体" w:hAnsi="宋体" w:eastAsia="宋体" w:cs="宋体"/>
          <w:color w:val="auto"/>
          <w:sz w:val="24"/>
          <w:lang w:val="en-US" w:eastAsia="zh-CN"/>
        </w:rPr>
        <w:t>考量内容：（1）燃气使用和管理记录；（2）燃气系统运行监测记录；（3）系统运行与维护记录；（4）安全生产管理记录；（5）应急管理预案与处置记录（6）燃气计量表具标定检测记录；（7）燃气用量台账；（8）相关监管部门监督检查报告。</w:t>
      </w:r>
    </w:p>
    <w:p w14:paraId="7A4B6874">
      <w:pPr>
        <w:numPr>
          <w:ilvl w:val="0"/>
          <w:numId w:val="0"/>
        </w:numPr>
        <w:spacing w:line="360" w:lineRule="auto"/>
        <w:ind w:leftChars="0"/>
        <w:rPr>
          <w:rFonts w:hint="eastAsia" w:ascii="宋体" w:hAnsi="宋体" w:eastAsia="宋体" w:cs="宋体"/>
          <w:color w:val="auto"/>
          <w:sz w:val="24"/>
        </w:rPr>
      </w:pPr>
      <w:r>
        <w:rPr>
          <w:rFonts w:hint="eastAsia" w:ascii="宋体" w:hAnsi="宋体" w:eastAsia="宋体" w:cs="宋体"/>
          <w:color w:val="auto"/>
          <w:sz w:val="24"/>
        </w:rPr>
        <w:t xml:space="preserve"> </w:t>
      </w:r>
      <w:r>
        <w:rPr>
          <w:rFonts w:hint="eastAsia" w:ascii="宋体" w:hAnsi="宋体" w:cs="宋体"/>
          <w:color w:val="auto"/>
          <w:sz w:val="24"/>
          <w:highlight w:val="none"/>
          <w:lang w:val="en-US" w:eastAsia="zh-CN"/>
        </w:rPr>
        <w:t>B.7</w:t>
      </w:r>
      <w:r>
        <w:rPr>
          <w:rFonts w:hint="eastAsia" w:ascii="宋体" w:hAnsi="宋体" w:eastAsia="宋体" w:cs="宋体"/>
          <w:color w:val="auto"/>
          <w:sz w:val="24"/>
          <w:highlight w:val="none"/>
          <w:lang w:val="en-US" w:eastAsia="zh-CN"/>
        </w:rPr>
        <w:t>.</w:t>
      </w:r>
      <w:r>
        <w:rPr>
          <w:rFonts w:hint="eastAsia" w:ascii="宋体" w:hAnsi="宋体" w:cs="宋体"/>
          <w:color w:val="auto"/>
          <w:sz w:val="24"/>
          <w:highlight w:val="none"/>
          <w:lang w:val="en-US" w:eastAsia="zh-CN"/>
        </w:rPr>
        <w:t>8</w:t>
      </w:r>
      <w:r>
        <w:rPr>
          <w:rFonts w:hint="eastAsia" w:ascii="宋体" w:hAnsi="宋体" w:eastAsia="宋体" w:cs="宋体"/>
          <w:color w:val="auto"/>
          <w:sz w:val="24"/>
          <w:highlight w:val="none"/>
          <w:lang w:val="en-US" w:eastAsia="zh-CN"/>
        </w:rPr>
        <w:t xml:space="preserve"> 本条款适用于城市燃气设施</w:t>
      </w:r>
      <w:r>
        <w:rPr>
          <w:rFonts w:hint="eastAsia" w:ascii="宋体" w:hAnsi="宋体" w:eastAsia="宋体" w:cs="宋体"/>
          <w:color w:val="auto"/>
          <w:sz w:val="24"/>
          <w:lang w:val="en-US" w:eastAsia="zh-CN"/>
        </w:rPr>
        <w:t>运行阶段的评价</w:t>
      </w:r>
      <w:r>
        <w:rPr>
          <w:rFonts w:hint="eastAsia" w:ascii="宋体" w:hAnsi="宋体" w:eastAsia="宋体" w:cs="宋体"/>
          <w:color w:val="auto"/>
          <w:sz w:val="24"/>
          <w:highlight w:val="none"/>
          <w:lang w:val="en-US" w:eastAsia="zh-CN"/>
        </w:rPr>
        <w:t>。</w:t>
      </w:r>
    </w:p>
    <w:p w14:paraId="2A2B5B95">
      <w:pPr>
        <w:numPr>
          <w:ilvl w:val="0"/>
          <w:numId w:val="0"/>
        </w:numPr>
        <w:spacing w:line="360" w:lineRule="auto"/>
        <w:ind w:leftChars="0"/>
        <w:rPr>
          <w:rFonts w:hint="eastAsia" w:ascii="宋体" w:hAnsi="宋体" w:eastAsia="宋体" w:cs="宋体"/>
          <w:color w:val="auto"/>
          <w:sz w:val="24"/>
        </w:rPr>
      </w:pPr>
      <w:r>
        <w:rPr>
          <w:rFonts w:hint="eastAsia" w:ascii="宋体" w:hAnsi="宋体" w:eastAsia="宋体" w:cs="宋体"/>
          <w:color w:val="auto"/>
          <w:sz w:val="24"/>
        </w:rPr>
        <w:t xml:space="preserve">   本条文依据《燃气工程项目规范》（GB 555009）、《大气污染防治法》及相关技术标准制定</w:t>
      </w:r>
      <w:r>
        <w:rPr>
          <w:rFonts w:hint="eastAsia" w:ascii="宋体" w:hAnsi="宋体" w:eastAsia="宋体" w:cs="宋体"/>
          <w:color w:val="auto"/>
          <w:sz w:val="24"/>
          <w:lang w:eastAsia="zh-CN"/>
        </w:rPr>
        <w:t>，</w:t>
      </w:r>
      <w:r>
        <w:rPr>
          <w:rFonts w:hint="eastAsia" w:ascii="宋体" w:hAnsi="宋体" w:eastAsia="宋体" w:cs="宋体"/>
          <w:color w:val="auto"/>
          <w:sz w:val="24"/>
        </w:rPr>
        <w:t xml:space="preserve">为保证燃气质量，减少能源浪费和环境污染，保障公众健康和安全。燃气质量要求燃气供应企业应确保燃气的热值、杂质含量、硫化氢等关键指标符合《燃气工程项目规范》（GB 555009）的要求，具体包括：热值：天然气高位热值应≥31.4 MJ/m³，液化石油气高位热值应≥92.1 MJ/m³；杂质含量：总硫含量≤200 mg/m³，颗粒物含量≤10 mg/m³；硫化氢含量：≤20 mg/m³。家庭用户应使用强排式或平衡式燃气热水器，禁止使用直排式燃气热水器，以避免燃烧废气直接排入室内，造成一氧化碳中毒等安全隐患。禁止使用燃气燃烧直接取暖的设备（如燃气取暖炉），以减少能源浪费和环境污染，避免因燃烧不充分产生有害气体。燃气供应企业应确保燃气质量符合标准，并通过宣传、检查等方式引导用户使用安全、节能的设备。相关监管部门应定期对燃气质量和设备使用情况进行检查，对不符合要求的单位或个人责令整改，并依法处罚。   </w:t>
      </w:r>
    </w:p>
    <w:p w14:paraId="4FF62F32">
      <w:pPr>
        <w:spacing w:line="360" w:lineRule="auto"/>
        <w:ind w:firstLine="480" w:firstLineChars="200"/>
        <w:rPr>
          <w:rFonts w:hint="eastAsia" w:ascii="宋体" w:hAnsi="宋体" w:eastAsia="宋体" w:cs="宋体"/>
          <w:color w:val="auto"/>
          <w:sz w:val="24"/>
          <w:lang w:val="en-US"/>
        </w:rPr>
      </w:pPr>
      <w:r>
        <w:rPr>
          <w:rFonts w:hint="eastAsia" w:ascii="宋体" w:hAnsi="宋体" w:eastAsia="宋体" w:cs="宋体"/>
          <w:color w:val="auto"/>
          <w:sz w:val="24"/>
          <w:lang w:val="en-US" w:eastAsia="zh-CN"/>
        </w:rPr>
        <w:t>考量内容：（1）燃气质量检测报告；（2）现场照片或视频记录；（3）燃气专项规划设计文件；（4）相关监管部门监督检查报告。</w:t>
      </w:r>
    </w:p>
    <w:p w14:paraId="7D5895A3">
      <w:pPr>
        <w:spacing w:line="360" w:lineRule="auto"/>
        <w:rPr>
          <w:rFonts w:hint="eastAsia" w:ascii="宋体" w:hAnsi="宋体" w:eastAsia="宋体" w:cs="宋体"/>
          <w:color w:val="auto"/>
          <w:sz w:val="24"/>
        </w:rPr>
      </w:pPr>
      <w:r>
        <w:rPr>
          <w:rFonts w:hint="eastAsia" w:ascii="宋体" w:hAnsi="宋体" w:cs="宋体"/>
          <w:color w:val="auto"/>
          <w:sz w:val="24"/>
          <w:highlight w:val="none"/>
          <w:lang w:val="en-US" w:eastAsia="zh-CN"/>
        </w:rPr>
        <w:t>B.7</w:t>
      </w:r>
      <w:r>
        <w:rPr>
          <w:rFonts w:hint="eastAsia" w:ascii="宋体" w:hAnsi="宋体" w:eastAsia="宋体" w:cs="宋体"/>
          <w:color w:val="auto"/>
          <w:sz w:val="24"/>
          <w:highlight w:val="none"/>
          <w:lang w:val="en-US" w:eastAsia="zh-CN"/>
        </w:rPr>
        <w:t>.</w:t>
      </w:r>
      <w:r>
        <w:rPr>
          <w:rFonts w:hint="eastAsia" w:ascii="宋体" w:hAnsi="宋体" w:cs="宋体"/>
          <w:color w:val="auto"/>
          <w:sz w:val="24"/>
          <w:highlight w:val="none"/>
          <w:lang w:val="en-US" w:eastAsia="zh-CN"/>
        </w:rPr>
        <w:t>9</w:t>
      </w:r>
      <w:r>
        <w:rPr>
          <w:rFonts w:hint="eastAsia" w:ascii="宋体" w:hAnsi="宋体" w:eastAsia="宋体" w:cs="宋体"/>
          <w:color w:val="auto"/>
          <w:sz w:val="24"/>
          <w:highlight w:val="none"/>
          <w:lang w:val="en-US" w:eastAsia="zh-CN"/>
        </w:rPr>
        <w:t xml:space="preserve"> 本条款适用于城市燃气设施</w:t>
      </w:r>
      <w:r>
        <w:rPr>
          <w:rFonts w:hint="eastAsia" w:ascii="宋体" w:hAnsi="宋体" w:eastAsia="宋体" w:cs="宋体"/>
          <w:color w:val="auto"/>
          <w:sz w:val="24"/>
          <w:lang w:val="en-US" w:eastAsia="zh-CN"/>
        </w:rPr>
        <w:t>规划设计、施工建造、运行阶段的评价</w:t>
      </w:r>
      <w:r>
        <w:rPr>
          <w:rFonts w:hint="eastAsia" w:ascii="宋体" w:hAnsi="宋体" w:eastAsia="宋体" w:cs="宋体"/>
          <w:color w:val="auto"/>
          <w:sz w:val="24"/>
          <w:highlight w:val="none"/>
          <w:lang w:val="en-US" w:eastAsia="zh-CN"/>
        </w:rPr>
        <w:t>。</w:t>
      </w:r>
    </w:p>
    <w:p w14:paraId="33033C6E">
      <w:pPr>
        <w:numPr>
          <w:ilvl w:val="0"/>
          <w:numId w:val="0"/>
        </w:numPr>
        <w:spacing w:line="360" w:lineRule="auto"/>
        <w:ind w:leftChars="0" w:firstLine="480" w:firstLineChars="200"/>
        <w:rPr>
          <w:rFonts w:hint="eastAsia" w:ascii="宋体" w:hAnsi="宋体" w:eastAsia="宋体" w:cs="宋体"/>
          <w:color w:val="auto"/>
          <w:sz w:val="24"/>
          <w:lang w:eastAsia="zh-CN"/>
        </w:rPr>
      </w:pPr>
      <w:r>
        <w:rPr>
          <w:rFonts w:hint="eastAsia" w:ascii="宋体" w:hAnsi="宋体" w:eastAsia="宋体" w:cs="宋体"/>
          <w:color w:val="auto"/>
          <w:sz w:val="24"/>
          <w:lang w:eastAsia="zh-CN"/>
        </w:rPr>
        <w:t>本条文依据《城镇燃气设计规范》GB 50028、《燃气工程项目规范》GB 555009及相关技术标准，明确燃气设施、设备与管道的材料选用要求，全面提升燃气系统的安全性、耐久性和环保性，减少能源浪费和环境污染，</w:t>
      </w:r>
      <w:r>
        <w:rPr>
          <w:rFonts w:hint="eastAsia" w:ascii="宋体" w:hAnsi="宋体" w:eastAsia="宋体" w:cs="宋体"/>
          <w:color w:val="auto"/>
          <w:sz w:val="24"/>
          <w:lang w:val="en-US" w:eastAsia="zh-CN"/>
        </w:rPr>
        <w:t>实现</w:t>
      </w:r>
      <w:r>
        <w:rPr>
          <w:rFonts w:hint="eastAsia" w:ascii="宋体" w:hAnsi="宋体" w:eastAsia="宋体" w:cs="宋体"/>
          <w:color w:val="auto"/>
          <w:sz w:val="24"/>
          <w:lang w:eastAsia="zh-CN"/>
        </w:rPr>
        <w:t xml:space="preserve">长期稳定运行。燃气设施的材料和设备应优先选用高效节能、环保的产品，具体包括：选用导热系数低、耐高温、耐老化的高效保温材料，减少热量损失；选用能效等级高、运行效率高的设备，如高效燃气锅炉、节能型调压器等，降低能源消耗；材料和设备的生产、使用及废弃处理应符合环保要求，减少对环境的影响。  </w:t>
      </w:r>
    </w:p>
    <w:p w14:paraId="0878A61C">
      <w:pPr>
        <w:numPr>
          <w:ilvl w:val="0"/>
          <w:numId w:val="0"/>
        </w:numPr>
        <w:spacing w:line="360" w:lineRule="auto"/>
        <w:ind w:leftChars="0" w:firstLine="480" w:firstLineChars="200"/>
        <w:rPr>
          <w:rFonts w:hint="eastAsia" w:ascii="宋体" w:hAnsi="宋体" w:eastAsia="宋体" w:cs="宋体"/>
          <w:color w:val="auto"/>
          <w:sz w:val="24"/>
          <w:lang w:eastAsia="zh-CN"/>
        </w:rPr>
      </w:pPr>
      <w:r>
        <w:rPr>
          <w:rFonts w:hint="eastAsia" w:ascii="宋体" w:hAnsi="宋体" w:eastAsia="宋体" w:cs="宋体"/>
          <w:color w:val="auto"/>
          <w:sz w:val="24"/>
          <w:lang w:eastAsia="zh-CN"/>
        </w:rPr>
        <w:t>燃气管道及附属设施应选用耐腐蚀、耐压、耐温、长寿命的材料，具体包括：管道材料优先选用聚乙烯（PE）管、无缝钢管、不锈钢管等耐腐蚀、强度高的材料；附属设施阀门、法兰、连接件等应选用耐腐蚀、密封性能好的材料，如不锈钢、铜合金等；防腐措施对金属管道应采取有效的防腐措施如涂层、阴极保护等，延长使用寿命。</w:t>
      </w:r>
    </w:p>
    <w:p w14:paraId="33247C46">
      <w:pPr>
        <w:spacing w:line="360" w:lineRule="auto"/>
        <w:ind w:firstLine="480" w:firstLineChars="200"/>
        <w:rPr>
          <w:rFonts w:hint="eastAsia" w:ascii="宋体" w:hAnsi="宋体" w:eastAsia="宋体" w:cs="宋体"/>
          <w:color w:val="auto"/>
          <w:sz w:val="24"/>
          <w:lang w:val="en-US"/>
        </w:rPr>
      </w:pPr>
      <w:r>
        <w:rPr>
          <w:rFonts w:hint="eastAsia" w:ascii="宋体" w:hAnsi="宋体" w:eastAsia="宋体" w:cs="宋体"/>
          <w:color w:val="auto"/>
          <w:sz w:val="24"/>
          <w:lang w:val="en-US" w:eastAsia="zh-CN"/>
        </w:rPr>
        <w:t>考量内容：（1）燃气系统设计文件；（2）材料、设施和设备产品合格证或说明书；（3）第三方产品性能测试报告；（4）相关监管部门监督检查报告。</w:t>
      </w:r>
    </w:p>
    <w:p w14:paraId="297F2822">
      <w:pPr>
        <w:spacing w:line="360" w:lineRule="auto"/>
        <w:rPr>
          <w:rFonts w:hint="eastAsia" w:ascii="宋体" w:hAnsi="宋体" w:eastAsia="宋体" w:cs="宋体"/>
          <w:color w:val="auto"/>
          <w:sz w:val="24"/>
        </w:rPr>
      </w:pPr>
      <w:r>
        <w:rPr>
          <w:rFonts w:hint="eastAsia" w:ascii="宋体" w:hAnsi="宋体" w:cs="宋体"/>
          <w:color w:val="auto"/>
          <w:sz w:val="24"/>
          <w:highlight w:val="none"/>
          <w:lang w:val="en-US" w:eastAsia="zh-CN"/>
        </w:rPr>
        <w:t>B.7</w:t>
      </w:r>
      <w:r>
        <w:rPr>
          <w:rFonts w:hint="eastAsia" w:ascii="宋体" w:hAnsi="宋体" w:eastAsia="宋体" w:cs="宋体"/>
          <w:color w:val="auto"/>
          <w:sz w:val="24"/>
          <w:highlight w:val="none"/>
          <w:lang w:val="en-US" w:eastAsia="zh-CN"/>
        </w:rPr>
        <w:t>.</w:t>
      </w:r>
      <w:r>
        <w:rPr>
          <w:rFonts w:hint="eastAsia" w:ascii="宋体" w:hAnsi="宋体" w:cs="宋体"/>
          <w:color w:val="auto"/>
          <w:sz w:val="24"/>
          <w:highlight w:val="none"/>
          <w:lang w:val="en-US" w:eastAsia="zh-CN"/>
        </w:rPr>
        <w:t>10</w:t>
      </w:r>
      <w:r>
        <w:rPr>
          <w:rFonts w:hint="eastAsia" w:ascii="宋体" w:hAnsi="宋体" w:eastAsia="宋体" w:cs="宋体"/>
          <w:color w:val="auto"/>
          <w:sz w:val="24"/>
          <w:highlight w:val="none"/>
          <w:lang w:val="en-US" w:eastAsia="zh-CN"/>
        </w:rPr>
        <w:t xml:space="preserve"> 本条款适用于城市燃气设施</w:t>
      </w:r>
      <w:r>
        <w:rPr>
          <w:rFonts w:hint="eastAsia" w:ascii="宋体" w:hAnsi="宋体" w:eastAsia="宋体" w:cs="宋体"/>
          <w:color w:val="auto"/>
          <w:sz w:val="24"/>
          <w:lang w:val="en-US" w:eastAsia="zh-CN"/>
        </w:rPr>
        <w:t>施工建造阶段的评价</w:t>
      </w:r>
      <w:r>
        <w:rPr>
          <w:rFonts w:hint="eastAsia" w:ascii="宋体" w:hAnsi="宋体" w:eastAsia="宋体" w:cs="宋体"/>
          <w:color w:val="auto"/>
          <w:sz w:val="24"/>
          <w:highlight w:val="none"/>
          <w:lang w:val="en-US" w:eastAsia="zh-CN"/>
        </w:rPr>
        <w:t>。</w:t>
      </w:r>
    </w:p>
    <w:p w14:paraId="7133D6D8">
      <w:pPr>
        <w:spacing w:line="360" w:lineRule="auto"/>
        <w:ind w:left="0" w:leftChars="0" w:firstLine="480" w:firstLineChars="200"/>
        <w:rPr>
          <w:rFonts w:hint="eastAsia" w:ascii="宋体" w:hAnsi="宋体" w:eastAsia="宋体" w:cs="宋体"/>
          <w:color w:val="auto"/>
          <w:sz w:val="24"/>
          <w:lang w:val="en-US" w:eastAsia="zh-CN"/>
        </w:rPr>
      </w:pPr>
      <w:r>
        <w:rPr>
          <w:rFonts w:hint="eastAsia" w:ascii="宋体" w:hAnsi="宋体" w:eastAsia="宋体" w:cs="宋体"/>
          <w:color w:val="auto"/>
          <w:sz w:val="24"/>
          <w:lang w:val="en-US" w:eastAsia="zh-CN"/>
        </w:rPr>
        <w:t>为确保施工活动对周边社区的影响最小化，本条款要求施工单位严格遵守《建设工程施工现场管理规定》及相关安全技术规范。在施工过程中，须采取专项防护措施（如焊接作业时设置防火隔离带、配备消防器材），避免对既有建筑物结构安全及防火性能造成破坏；燃气管道安装应符合</w:t>
      </w:r>
      <w:r>
        <w:rPr>
          <w:rFonts w:hint="eastAsia" w:ascii="宋体" w:hAnsi="宋体" w:cs="宋体"/>
          <w:color w:val="auto"/>
          <w:sz w:val="24"/>
          <w:lang w:val="en-US" w:eastAsia="zh-CN"/>
        </w:rPr>
        <w:t>国家标准</w:t>
      </w:r>
      <w:r>
        <w:rPr>
          <w:rFonts w:hint="eastAsia" w:ascii="宋体" w:hAnsi="宋体" w:eastAsia="宋体" w:cs="宋体"/>
          <w:color w:val="auto"/>
          <w:sz w:val="24"/>
          <w:lang w:val="en-US" w:eastAsia="zh-CN"/>
        </w:rPr>
        <w:t>《城镇燃气设计规范》GB 50028要求，落实动火作业审批制度，防止燃气泄漏或火灾风险，降低噪声、扬尘等污染。同时，应优化施工时序，避开居民休息时段，优先采用低干扰工艺，最大限度减少对社区居民正常生活的干扰。</w:t>
      </w:r>
    </w:p>
    <w:p w14:paraId="29C787EE">
      <w:pPr>
        <w:numPr>
          <w:ilvl w:val="0"/>
          <w:numId w:val="0"/>
        </w:numPr>
        <w:spacing w:line="360" w:lineRule="auto"/>
        <w:ind w:firstLine="480" w:firstLineChars="200"/>
        <w:rPr>
          <w:rFonts w:hint="eastAsia" w:ascii="宋体" w:hAnsi="宋体" w:eastAsia="宋体" w:cs="宋体"/>
          <w:color w:val="auto"/>
          <w:sz w:val="24"/>
          <w:lang w:val="en-US" w:eastAsia="zh-CN"/>
        </w:rPr>
      </w:pPr>
      <w:r>
        <w:rPr>
          <w:rFonts w:hint="eastAsia" w:ascii="宋体" w:hAnsi="宋体" w:eastAsia="宋体" w:cs="宋体"/>
          <w:color w:val="auto"/>
          <w:sz w:val="24"/>
          <w:lang w:val="en-US" w:eastAsia="zh-CN"/>
        </w:rPr>
        <w:t>考量内容：（1）燃气管道工程施工方案；（2）应急管理预案与应急保障机制；（3）现场照片和视频记录；（4）投诉与监督办理记录。（5）事故检修记录等相关文件等。</w:t>
      </w:r>
    </w:p>
    <w:p w14:paraId="1F5AEED4">
      <w:pPr>
        <w:spacing w:line="360" w:lineRule="auto"/>
        <w:rPr>
          <w:rFonts w:hint="eastAsia" w:ascii="宋体" w:hAnsi="宋体" w:eastAsia="宋体" w:cs="宋体"/>
          <w:color w:val="auto"/>
          <w:sz w:val="24"/>
        </w:rPr>
      </w:pPr>
      <w:r>
        <w:rPr>
          <w:rFonts w:hint="eastAsia" w:ascii="宋体" w:hAnsi="宋体" w:cs="宋体"/>
          <w:color w:val="auto"/>
          <w:sz w:val="24"/>
          <w:highlight w:val="none"/>
          <w:lang w:val="en-US" w:eastAsia="zh-CN"/>
        </w:rPr>
        <w:t>B.7</w:t>
      </w:r>
      <w:r>
        <w:rPr>
          <w:rFonts w:hint="eastAsia" w:ascii="宋体" w:hAnsi="宋体" w:eastAsia="宋体" w:cs="宋体"/>
          <w:color w:val="auto"/>
          <w:sz w:val="24"/>
          <w:highlight w:val="none"/>
          <w:lang w:val="en-US" w:eastAsia="zh-CN"/>
        </w:rPr>
        <w:t>.</w:t>
      </w:r>
      <w:r>
        <w:rPr>
          <w:rFonts w:hint="eastAsia" w:ascii="宋体" w:hAnsi="宋体" w:cs="宋体"/>
          <w:color w:val="auto"/>
          <w:sz w:val="24"/>
          <w:highlight w:val="none"/>
          <w:lang w:val="en-US" w:eastAsia="zh-CN"/>
        </w:rPr>
        <w:t>11</w:t>
      </w:r>
      <w:r>
        <w:rPr>
          <w:rFonts w:hint="eastAsia" w:ascii="宋体" w:hAnsi="宋体" w:eastAsia="宋体" w:cs="宋体"/>
          <w:color w:val="auto"/>
          <w:sz w:val="24"/>
          <w:highlight w:val="none"/>
          <w:lang w:val="en-US" w:eastAsia="zh-CN"/>
        </w:rPr>
        <w:t xml:space="preserve"> 本条款适用于城市燃气设施</w:t>
      </w:r>
      <w:r>
        <w:rPr>
          <w:rFonts w:hint="eastAsia" w:ascii="宋体" w:hAnsi="宋体" w:eastAsia="宋体" w:cs="宋体"/>
          <w:color w:val="auto"/>
          <w:sz w:val="24"/>
          <w:lang w:val="en-US" w:eastAsia="zh-CN"/>
        </w:rPr>
        <w:t>运行阶段的评价</w:t>
      </w:r>
      <w:r>
        <w:rPr>
          <w:rFonts w:hint="eastAsia" w:ascii="宋体" w:hAnsi="宋体" w:eastAsia="宋体" w:cs="宋体"/>
          <w:color w:val="auto"/>
          <w:sz w:val="24"/>
          <w:highlight w:val="none"/>
          <w:lang w:val="en-US" w:eastAsia="zh-CN"/>
        </w:rPr>
        <w:t>。</w:t>
      </w:r>
    </w:p>
    <w:p w14:paraId="67DD337E">
      <w:pPr>
        <w:spacing w:line="360" w:lineRule="auto"/>
        <w:ind w:firstLine="480" w:firstLineChars="200"/>
        <w:rPr>
          <w:rFonts w:hint="eastAsia" w:ascii="宋体" w:hAnsi="宋体" w:eastAsia="宋体" w:cs="宋体"/>
          <w:color w:val="auto"/>
          <w:sz w:val="24"/>
          <w:lang w:val="en-US" w:eastAsia="zh-CN"/>
        </w:rPr>
      </w:pPr>
      <w:r>
        <w:rPr>
          <w:rFonts w:hint="eastAsia" w:ascii="宋体" w:hAnsi="宋体" w:eastAsia="宋体" w:cs="宋体"/>
          <w:color w:val="auto"/>
          <w:sz w:val="24"/>
          <w:lang w:val="en-US" w:eastAsia="zh-CN"/>
        </w:rPr>
        <w:t>本条款依据《城镇燃气管理条例》第二十二条及《燃气服务导则》（GB/T 28885）的相关规定，要求燃气经营企业向用户供应的燃气质量必须符合《天然气》（GB 17820）、《液化石油气》（GB 11174）等国家强制性标准。企业应建立燃气质量监测制度，定期对燃气组分、热值、杂质含量等关键指标进行检测，确保其满足安全燃烧和环保要求。同时，应按照《城镇燃气设计规范》（GB 50028）的要求，在输配过程中采取有效措施防止燃气污染或品质劣化，保障用户安全稳定用气，切实履行产品质量责任。</w:t>
      </w:r>
    </w:p>
    <w:p w14:paraId="1E4F3DC0">
      <w:pPr>
        <w:numPr>
          <w:ilvl w:val="0"/>
          <w:numId w:val="0"/>
        </w:numPr>
        <w:spacing w:line="360" w:lineRule="auto"/>
        <w:ind w:firstLine="480" w:firstLineChars="200"/>
        <w:rPr>
          <w:rFonts w:hint="eastAsia" w:ascii="宋体" w:hAnsi="宋体" w:eastAsia="宋体" w:cs="宋体"/>
          <w:color w:val="auto"/>
          <w:sz w:val="24"/>
          <w:lang w:val="en-US" w:eastAsia="zh-CN"/>
        </w:rPr>
      </w:pPr>
      <w:r>
        <w:rPr>
          <w:rFonts w:hint="eastAsia" w:ascii="宋体" w:hAnsi="宋体" w:eastAsia="宋体" w:cs="宋体"/>
          <w:color w:val="auto"/>
          <w:sz w:val="24"/>
          <w:lang w:val="en-US" w:eastAsia="zh-CN"/>
        </w:rPr>
        <w:t>考量内容：（1）燃气检测报告；（2）燃气质量监督制度；（3）燃气质量合格证书；（4）投诉与监督办理记录。</w:t>
      </w:r>
    </w:p>
    <w:p w14:paraId="55508019">
      <w:pPr>
        <w:spacing w:line="360" w:lineRule="auto"/>
        <w:rPr>
          <w:rFonts w:hint="eastAsia" w:ascii="宋体" w:hAnsi="宋体" w:eastAsia="宋体" w:cs="宋体"/>
          <w:color w:val="auto"/>
          <w:sz w:val="24"/>
        </w:rPr>
      </w:pPr>
      <w:r>
        <w:rPr>
          <w:rFonts w:hint="eastAsia" w:ascii="宋体" w:hAnsi="宋体" w:cs="宋体"/>
          <w:color w:val="auto"/>
          <w:sz w:val="24"/>
          <w:highlight w:val="none"/>
          <w:lang w:val="en-US" w:eastAsia="zh-CN"/>
        </w:rPr>
        <w:t>B.7</w:t>
      </w:r>
      <w:r>
        <w:rPr>
          <w:rFonts w:hint="eastAsia" w:ascii="宋体" w:hAnsi="宋体" w:eastAsia="宋体" w:cs="宋体"/>
          <w:color w:val="auto"/>
          <w:sz w:val="24"/>
          <w:highlight w:val="none"/>
          <w:lang w:val="en-US" w:eastAsia="zh-CN"/>
        </w:rPr>
        <w:t>.</w:t>
      </w:r>
      <w:r>
        <w:rPr>
          <w:rFonts w:hint="eastAsia" w:ascii="宋体" w:hAnsi="宋体" w:cs="宋体"/>
          <w:color w:val="auto"/>
          <w:sz w:val="24"/>
          <w:highlight w:val="none"/>
          <w:lang w:val="en-US" w:eastAsia="zh-CN"/>
        </w:rPr>
        <w:t>12</w:t>
      </w:r>
      <w:r>
        <w:rPr>
          <w:rFonts w:hint="eastAsia" w:ascii="宋体" w:hAnsi="宋体" w:eastAsia="宋体" w:cs="宋体"/>
          <w:color w:val="auto"/>
          <w:sz w:val="24"/>
          <w:highlight w:val="none"/>
          <w:lang w:val="en-US" w:eastAsia="zh-CN"/>
        </w:rPr>
        <w:t xml:space="preserve"> 本条款适用于城市燃气设施</w:t>
      </w:r>
      <w:r>
        <w:rPr>
          <w:rFonts w:hint="eastAsia" w:ascii="宋体" w:hAnsi="宋体" w:eastAsia="宋体" w:cs="宋体"/>
          <w:color w:val="auto"/>
          <w:sz w:val="24"/>
          <w:lang w:val="en-US" w:eastAsia="zh-CN"/>
        </w:rPr>
        <w:t>运行阶段的评价</w:t>
      </w:r>
      <w:r>
        <w:rPr>
          <w:rFonts w:hint="eastAsia" w:ascii="宋体" w:hAnsi="宋体" w:eastAsia="宋体" w:cs="宋体"/>
          <w:color w:val="auto"/>
          <w:sz w:val="24"/>
          <w:highlight w:val="none"/>
          <w:lang w:val="en-US" w:eastAsia="zh-CN"/>
        </w:rPr>
        <w:t>。</w:t>
      </w:r>
    </w:p>
    <w:p w14:paraId="7CFB898D">
      <w:pPr>
        <w:spacing w:line="360" w:lineRule="auto"/>
        <w:ind w:left="0" w:leftChars="0" w:firstLine="480" w:firstLineChars="200"/>
        <w:rPr>
          <w:rFonts w:hint="eastAsia" w:ascii="宋体" w:hAnsi="宋体" w:eastAsia="宋体" w:cs="宋体"/>
          <w:color w:val="auto"/>
          <w:sz w:val="24"/>
          <w:lang w:val="en-US" w:eastAsia="zh-CN"/>
        </w:rPr>
      </w:pPr>
      <w:r>
        <w:rPr>
          <w:rFonts w:hint="eastAsia" w:ascii="宋体" w:hAnsi="宋体" w:eastAsia="宋体" w:cs="宋体"/>
          <w:color w:val="auto"/>
          <w:sz w:val="24"/>
          <w:lang w:val="en-US" w:eastAsia="zh-CN"/>
        </w:rPr>
        <w:t>本条款依据《城镇燃气管理条例》《城镇燃气设施运行、维护和抢修安全技术规程》CJJ 51及《燃气系统运行安全评价标准》GB/T 50811等规范，要求燃气经营企业严格执行燃气设施的运行、维护和抢修管理标准。企业须对燃气管道、设备及监控系统进行定期巡查、检测和维护，确保设施安全运行；针对调压装置、加臭装置、储气柜等关键设备，应制定分级维护保养制度，明确维护周期、内容和标准。同时，企业应建立燃气安全事故统计与分析机制，参照《生产安全事故报告和调查处理条例》制定事故等级标准，强化风险防控。抢修作业完成后，必须依据《城镇燃气输配工程施工及验收规范》CJJ 33进行全面安全检查，经检测合格后方可恢复供气，确保设施运行安全可靠。</w:t>
      </w:r>
    </w:p>
    <w:p w14:paraId="292121C5">
      <w:pPr>
        <w:numPr>
          <w:ilvl w:val="0"/>
          <w:numId w:val="0"/>
        </w:numPr>
        <w:spacing w:line="360" w:lineRule="auto"/>
        <w:ind w:firstLine="480" w:firstLineChars="200"/>
        <w:rPr>
          <w:rFonts w:hint="eastAsia" w:ascii="宋体" w:hAnsi="宋体" w:eastAsia="宋体" w:cs="宋体"/>
          <w:color w:val="auto"/>
          <w:sz w:val="24"/>
          <w:lang w:val="en-US" w:eastAsia="zh-CN"/>
        </w:rPr>
      </w:pPr>
      <w:r>
        <w:rPr>
          <w:rFonts w:hint="eastAsia" w:ascii="宋体" w:hAnsi="宋体" w:eastAsia="宋体" w:cs="宋体"/>
          <w:color w:val="auto"/>
          <w:sz w:val="24"/>
          <w:lang w:val="en-US" w:eastAsia="zh-CN"/>
        </w:rPr>
        <w:t>考量内容：（1）燃气设施运行、维护与抢修管理办法；（2）燃气管道、设备及监控系统定期巡查记录（3）燃气安全事故统计与分析记录；（4）现场照片和视频记录；（5）应急管理预案与应急保障机制。（5）燃气设施运行记录；（6）投诉与监督办理记录等。</w:t>
      </w:r>
    </w:p>
    <w:p w14:paraId="3EF97D29">
      <w:pPr>
        <w:spacing w:line="360" w:lineRule="auto"/>
        <w:rPr>
          <w:rFonts w:hint="eastAsia" w:ascii="宋体" w:hAnsi="宋体" w:eastAsia="宋体" w:cs="宋体"/>
          <w:color w:val="auto"/>
          <w:sz w:val="24"/>
        </w:rPr>
      </w:pPr>
      <w:r>
        <w:rPr>
          <w:rFonts w:hint="eastAsia" w:ascii="宋体" w:hAnsi="宋体" w:cs="宋体"/>
          <w:color w:val="auto"/>
          <w:sz w:val="24"/>
          <w:highlight w:val="none"/>
          <w:lang w:val="en-US" w:eastAsia="zh-CN"/>
        </w:rPr>
        <w:t>B.7</w:t>
      </w:r>
      <w:r>
        <w:rPr>
          <w:rFonts w:hint="eastAsia" w:ascii="宋体" w:hAnsi="宋体" w:eastAsia="宋体" w:cs="宋体"/>
          <w:color w:val="auto"/>
          <w:sz w:val="24"/>
          <w:highlight w:val="none"/>
          <w:lang w:val="en-US" w:eastAsia="zh-CN"/>
        </w:rPr>
        <w:t>.</w:t>
      </w:r>
      <w:r>
        <w:rPr>
          <w:rFonts w:hint="eastAsia" w:ascii="宋体" w:hAnsi="宋体" w:cs="宋体"/>
          <w:color w:val="auto"/>
          <w:sz w:val="24"/>
          <w:highlight w:val="none"/>
          <w:lang w:val="en-US" w:eastAsia="zh-CN"/>
        </w:rPr>
        <w:t>13</w:t>
      </w:r>
      <w:r>
        <w:rPr>
          <w:rFonts w:hint="eastAsia" w:ascii="宋体" w:hAnsi="宋体" w:eastAsia="宋体" w:cs="宋体"/>
          <w:color w:val="auto"/>
          <w:sz w:val="24"/>
          <w:highlight w:val="none"/>
          <w:lang w:val="en-US" w:eastAsia="zh-CN"/>
        </w:rPr>
        <w:t xml:space="preserve"> 本条款适用于城市燃气设施</w:t>
      </w:r>
      <w:r>
        <w:rPr>
          <w:rFonts w:hint="eastAsia" w:ascii="宋体" w:hAnsi="宋体" w:eastAsia="宋体" w:cs="宋体"/>
          <w:color w:val="auto"/>
          <w:sz w:val="24"/>
          <w:lang w:val="en-US" w:eastAsia="zh-CN"/>
        </w:rPr>
        <w:t>运行阶段的评价</w:t>
      </w:r>
      <w:r>
        <w:rPr>
          <w:rFonts w:hint="eastAsia" w:ascii="宋体" w:hAnsi="宋体" w:eastAsia="宋体" w:cs="宋体"/>
          <w:color w:val="auto"/>
          <w:sz w:val="24"/>
          <w:highlight w:val="none"/>
          <w:lang w:val="en-US" w:eastAsia="zh-CN"/>
        </w:rPr>
        <w:t>。</w:t>
      </w:r>
    </w:p>
    <w:p w14:paraId="204109C0">
      <w:pPr>
        <w:spacing w:line="360" w:lineRule="auto"/>
        <w:ind w:left="0" w:leftChars="0" w:firstLine="480" w:firstLineChars="200"/>
        <w:rPr>
          <w:rFonts w:hint="eastAsia" w:ascii="宋体" w:hAnsi="宋体" w:eastAsia="宋体" w:cs="宋体"/>
          <w:color w:val="auto"/>
          <w:sz w:val="24"/>
          <w:lang w:val="en-US" w:eastAsia="zh-CN"/>
        </w:rPr>
      </w:pPr>
      <w:r>
        <w:rPr>
          <w:rFonts w:hint="eastAsia" w:ascii="宋体" w:hAnsi="宋体" w:eastAsia="宋体" w:cs="宋体"/>
          <w:color w:val="auto"/>
          <w:sz w:val="24"/>
          <w:lang w:val="en-US" w:eastAsia="zh-CN"/>
        </w:rPr>
        <w:t>本条款依据《城镇燃气管理条例》第十六条及《燃气经营许可管理办法》的相关规定，要求从事燃气经营的企业必须具有与经营规模相匹配的财务能力和风险抵御水平。企业应按照《企业财务通则》和行业监管要求，保持合理的资产负债结构，确保具备足够的流动资金和偿债能力；同时应建立完善的风险管理体系，包括但不限于安全生产风险准备金、事故应急资金等风险应对机制，以符合《企业安全生产费用提取和使用管理办法》的要求。燃气经营企业需定期向主管部门提交经审计的财务报告，证明其持续满足经营许可条件，确保在突发事故或市场波动时仍能保障安全稳定供气，切实履行公共服务责任。</w:t>
      </w:r>
    </w:p>
    <w:p w14:paraId="7D1344E3">
      <w:pPr>
        <w:numPr>
          <w:ilvl w:val="0"/>
          <w:numId w:val="0"/>
        </w:numPr>
        <w:spacing w:line="360" w:lineRule="auto"/>
        <w:ind w:firstLine="480" w:firstLineChars="200"/>
        <w:rPr>
          <w:rFonts w:hint="eastAsia" w:ascii="宋体" w:hAnsi="宋体" w:eastAsia="宋体" w:cs="宋体"/>
          <w:color w:val="auto"/>
          <w:sz w:val="24"/>
          <w:lang w:val="en-US" w:eastAsia="zh-CN"/>
        </w:rPr>
      </w:pPr>
      <w:r>
        <w:rPr>
          <w:rFonts w:hint="eastAsia" w:ascii="宋体" w:hAnsi="宋体" w:eastAsia="宋体" w:cs="宋体"/>
          <w:color w:val="auto"/>
          <w:sz w:val="24"/>
          <w:lang w:val="en-US" w:eastAsia="zh-CN"/>
        </w:rPr>
        <w:t>考量内容：（1）燃气管道、设备及监控系统定期巡查记录</w:t>
      </w:r>
      <w:r>
        <w:rPr>
          <w:rFonts w:hint="eastAsia" w:ascii="宋体" w:hAnsi="宋体" w:cs="宋体"/>
          <w:color w:val="auto"/>
          <w:sz w:val="24"/>
          <w:lang w:val="en-US" w:eastAsia="zh-CN"/>
        </w:rPr>
        <w:t>；</w:t>
      </w:r>
      <w:r>
        <w:rPr>
          <w:rFonts w:hint="eastAsia" w:ascii="宋体" w:hAnsi="宋体" w:eastAsia="宋体" w:cs="宋体"/>
          <w:color w:val="auto"/>
          <w:sz w:val="24"/>
          <w:lang w:val="en-US" w:eastAsia="zh-CN"/>
        </w:rPr>
        <w:t>（</w:t>
      </w:r>
      <w:r>
        <w:rPr>
          <w:rFonts w:hint="eastAsia" w:ascii="宋体" w:hAnsi="宋体" w:cs="宋体"/>
          <w:color w:val="auto"/>
          <w:sz w:val="24"/>
          <w:lang w:val="en-US" w:eastAsia="zh-CN"/>
        </w:rPr>
        <w:t>2</w:t>
      </w:r>
      <w:r>
        <w:rPr>
          <w:rFonts w:hint="eastAsia" w:ascii="宋体" w:hAnsi="宋体" w:eastAsia="宋体" w:cs="宋体"/>
          <w:color w:val="auto"/>
          <w:sz w:val="24"/>
          <w:lang w:val="en-US" w:eastAsia="zh-CN"/>
        </w:rPr>
        <w:t>）燃气安全事故统计与分析记录；（</w:t>
      </w:r>
      <w:r>
        <w:rPr>
          <w:rFonts w:hint="eastAsia" w:ascii="宋体" w:hAnsi="宋体" w:cs="宋体"/>
          <w:color w:val="auto"/>
          <w:sz w:val="24"/>
          <w:lang w:val="en-US" w:eastAsia="zh-CN"/>
        </w:rPr>
        <w:t>3</w:t>
      </w:r>
      <w:r>
        <w:rPr>
          <w:rFonts w:hint="eastAsia" w:ascii="宋体" w:hAnsi="宋体" w:eastAsia="宋体" w:cs="宋体"/>
          <w:color w:val="auto"/>
          <w:sz w:val="24"/>
          <w:lang w:val="en-US" w:eastAsia="zh-CN"/>
        </w:rPr>
        <w:t>）现场照片和视频记录；（</w:t>
      </w:r>
      <w:r>
        <w:rPr>
          <w:rFonts w:hint="eastAsia" w:ascii="宋体" w:hAnsi="宋体" w:cs="宋体"/>
          <w:color w:val="auto"/>
          <w:sz w:val="24"/>
          <w:lang w:val="en-US" w:eastAsia="zh-CN"/>
        </w:rPr>
        <w:t>4</w:t>
      </w:r>
      <w:r>
        <w:rPr>
          <w:rFonts w:hint="eastAsia" w:ascii="宋体" w:hAnsi="宋体" w:eastAsia="宋体" w:cs="宋体"/>
          <w:color w:val="auto"/>
          <w:sz w:val="24"/>
          <w:lang w:val="en-US" w:eastAsia="zh-CN"/>
        </w:rPr>
        <w:t>）应急管理预案与应急保障机制：（5）燃气设施运行记录；（6）投诉与监督办理记录等。</w:t>
      </w:r>
    </w:p>
    <w:p w14:paraId="18222DF1">
      <w:pPr>
        <w:spacing w:line="360" w:lineRule="auto"/>
        <w:rPr>
          <w:rFonts w:hint="eastAsia" w:ascii="宋体" w:hAnsi="宋体" w:eastAsia="宋体" w:cs="宋体"/>
          <w:color w:val="auto"/>
          <w:sz w:val="24"/>
        </w:rPr>
      </w:pPr>
      <w:r>
        <w:rPr>
          <w:rFonts w:hint="eastAsia" w:ascii="宋体" w:hAnsi="宋体" w:cs="宋体"/>
          <w:color w:val="auto"/>
          <w:sz w:val="24"/>
          <w:highlight w:val="none"/>
          <w:lang w:val="en-US" w:eastAsia="zh-CN"/>
        </w:rPr>
        <w:t>B.7</w:t>
      </w:r>
      <w:r>
        <w:rPr>
          <w:rFonts w:hint="eastAsia" w:ascii="宋体" w:hAnsi="宋体" w:eastAsia="宋体" w:cs="宋体"/>
          <w:color w:val="auto"/>
          <w:sz w:val="24"/>
          <w:highlight w:val="none"/>
          <w:lang w:val="en-US" w:eastAsia="zh-CN"/>
        </w:rPr>
        <w:t>.</w:t>
      </w:r>
      <w:r>
        <w:rPr>
          <w:rFonts w:hint="eastAsia" w:ascii="宋体" w:hAnsi="宋体" w:cs="宋体"/>
          <w:color w:val="auto"/>
          <w:sz w:val="24"/>
          <w:highlight w:val="none"/>
          <w:lang w:val="en-US" w:eastAsia="zh-CN"/>
        </w:rPr>
        <w:t>14</w:t>
      </w:r>
      <w:r>
        <w:rPr>
          <w:rFonts w:hint="eastAsia" w:ascii="宋体" w:hAnsi="宋体" w:eastAsia="宋体" w:cs="宋体"/>
          <w:color w:val="auto"/>
          <w:sz w:val="24"/>
          <w:highlight w:val="none"/>
          <w:lang w:val="en-US" w:eastAsia="zh-CN"/>
        </w:rPr>
        <w:t xml:space="preserve"> 本条款适用于城市燃气设施</w:t>
      </w:r>
      <w:r>
        <w:rPr>
          <w:rFonts w:hint="eastAsia" w:ascii="宋体" w:hAnsi="宋体" w:eastAsia="宋体" w:cs="宋体"/>
          <w:color w:val="auto"/>
          <w:sz w:val="24"/>
          <w:lang w:val="en-US" w:eastAsia="zh-CN"/>
        </w:rPr>
        <w:t>运行阶段的评价</w:t>
      </w:r>
      <w:r>
        <w:rPr>
          <w:rFonts w:hint="eastAsia" w:ascii="宋体" w:hAnsi="宋体" w:eastAsia="宋体" w:cs="宋体"/>
          <w:color w:val="auto"/>
          <w:sz w:val="24"/>
          <w:highlight w:val="none"/>
          <w:lang w:val="en-US" w:eastAsia="zh-CN"/>
        </w:rPr>
        <w:t>。</w:t>
      </w:r>
    </w:p>
    <w:p w14:paraId="3A367B7C">
      <w:pPr>
        <w:spacing w:line="360" w:lineRule="auto"/>
        <w:ind w:firstLine="480" w:firstLineChars="200"/>
        <w:rPr>
          <w:rFonts w:hint="eastAsia" w:ascii="宋体" w:hAnsi="宋体" w:eastAsia="宋体" w:cs="宋体"/>
          <w:color w:val="auto"/>
          <w:sz w:val="24"/>
          <w:lang w:val="en-US" w:eastAsia="zh-CN"/>
        </w:rPr>
      </w:pPr>
      <w:r>
        <w:rPr>
          <w:rFonts w:hint="eastAsia" w:ascii="宋体" w:hAnsi="宋体" w:eastAsia="宋体" w:cs="宋体"/>
          <w:color w:val="auto"/>
          <w:sz w:val="24"/>
          <w:lang w:val="en-US" w:eastAsia="zh-CN"/>
        </w:rPr>
        <w:t>本条款依据《城镇燃气管理条例》第十六条、《安全生产法》第二十三条及《燃气经营许可管理办法》的相关规定，要求燃气供应企业必须确保具备与经营规模相匹配的持续资金保障能力，以满足设施维护、安全运营和应急处置的资金需求。企业应按照《企业安全生产费用提取和使用管理办法》（财企〔2022〕136号）足额提取安全生产专项资金，用于设备检测维护、安全技术改造、人员培训及应急物资储备等安全生产投入。同时，企业应建立规范的财务管理制度，保持合理的资金流动性，确保具备应对突发事故、抢修抢险及保障稳定供气的资金实力，并接受主管部门的监督检查，切实履行安全生产主体责任和公共服务义务。</w:t>
      </w:r>
    </w:p>
    <w:p w14:paraId="5C8450E3">
      <w:pPr>
        <w:spacing w:line="360" w:lineRule="auto"/>
        <w:ind w:firstLine="480" w:firstLineChars="200"/>
        <w:rPr>
          <w:rFonts w:hint="eastAsia" w:ascii="宋体" w:hAnsi="宋体" w:eastAsia="宋体" w:cs="宋体"/>
          <w:color w:val="auto"/>
          <w:sz w:val="24"/>
          <w:lang w:val="en-US" w:eastAsia="zh-CN"/>
        </w:rPr>
      </w:pPr>
      <w:r>
        <w:rPr>
          <w:rFonts w:hint="eastAsia" w:ascii="宋体" w:hAnsi="宋体" w:eastAsia="宋体" w:cs="宋体"/>
          <w:color w:val="auto"/>
          <w:sz w:val="24"/>
          <w:lang w:val="en-US" w:eastAsia="zh-CN"/>
        </w:rPr>
        <w:t>考量内容：（1）燃气企业信用证明；（2）燃气企业财务审计报告（3）政府行政监管与处罚信息（4）燃气企业法律诉讼信息（5）投诉与监督办理记录等。</w:t>
      </w:r>
    </w:p>
    <w:p w14:paraId="46D50291">
      <w:pPr>
        <w:spacing w:line="360" w:lineRule="auto"/>
        <w:rPr>
          <w:rFonts w:hint="eastAsia" w:ascii="宋体" w:hAnsi="宋体" w:eastAsia="宋体" w:cs="宋体"/>
          <w:color w:val="auto"/>
          <w:sz w:val="24"/>
        </w:rPr>
      </w:pPr>
      <w:r>
        <w:rPr>
          <w:rFonts w:hint="eastAsia" w:ascii="宋体" w:hAnsi="宋体" w:cs="宋体"/>
          <w:color w:val="auto"/>
          <w:sz w:val="24"/>
          <w:highlight w:val="none"/>
          <w:lang w:val="en-US" w:eastAsia="zh-CN"/>
        </w:rPr>
        <w:t>B.7</w:t>
      </w:r>
      <w:r>
        <w:rPr>
          <w:rFonts w:hint="eastAsia" w:ascii="宋体" w:hAnsi="宋体" w:eastAsia="宋体" w:cs="宋体"/>
          <w:color w:val="auto"/>
          <w:sz w:val="24"/>
          <w:highlight w:val="none"/>
          <w:lang w:val="en-US" w:eastAsia="zh-CN"/>
        </w:rPr>
        <w:t>.</w:t>
      </w:r>
      <w:r>
        <w:rPr>
          <w:rFonts w:hint="eastAsia" w:ascii="宋体" w:hAnsi="宋体" w:cs="宋体"/>
          <w:color w:val="auto"/>
          <w:sz w:val="24"/>
          <w:highlight w:val="none"/>
          <w:lang w:val="en-US" w:eastAsia="zh-CN"/>
        </w:rPr>
        <w:t>15</w:t>
      </w:r>
      <w:r>
        <w:rPr>
          <w:rFonts w:hint="eastAsia" w:ascii="宋体" w:hAnsi="宋体" w:eastAsia="宋体" w:cs="宋体"/>
          <w:color w:val="auto"/>
          <w:sz w:val="24"/>
          <w:highlight w:val="none"/>
          <w:lang w:val="en-US" w:eastAsia="zh-CN"/>
        </w:rPr>
        <w:t xml:space="preserve"> 本条款适用于城市燃气设施</w:t>
      </w:r>
      <w:r>
        <w:rPr>
          <w:rFonts w:hint="eastAsia" w:ascii="宋体" w:hAnsi="宋体" w:eastAsia="宋体" w:cs="宋体"/>
          <w:color w:val="auto"/>
          <w:sz w:val="24"/>
          <w:lang w:val="en-US" w:eastAsia="zh-CN"/>
        </w:rPr>
        <w:t>运行阶段的评价</w:t>
      </w:r>
      <w:r>
        <w:rPr>
          <w:rFonts w:hint="eastAsia" w:ascii="宋体" w:hAnsi="宋体" w:eastAsia="宋体" w:cs="宋体"/>
          <w:color w:val="auto"/>
          <w:sz w:val="24"/>
          <w:highlight w:val="none"/>
          <w:lang w:val="en-US" w:eastAsia="zh-CN"/>
        </w:rPr>
        <w:t>。</w:t>
      </w:r>
    </w:p>
    <w:p w14:paraId="10A8C458">
      <w:pPr>
        <w:numPr>
          <w:ilvl w:val="0"/>
          <w:numId w:val="0"/>
        </w:numPr>
        <w:spacing w:line="360" w:lineRule="auto"/>
        <w:ind w:firstLine="480" w:firstLineChars="200"/>
        <w:rPr>
          <w:rFonts w:hint="eastAsia" w:ascii="宋体" w:hAnsi="宋体" w:eastAsia="宋体" w:cs="宋体"/>
          <w:color w:val="auto"/>
          <w:sz w:val="24"/>
          <w:lang w:val="en-US" w:eastAsia="zh-CN"/>
        </w:rPr>
      </w:pPr>
      <w:r>
        <w:rPr>
          <w:rFonts w:hint="eastAsia" w:ascii="宋体" w:hAnsi="宋体" w:eastAsia="宋体" w:cs="宋体"/>
          <w:color w:val="auto"/>
          <w:sz w:val="24"/>
          <w:lang w:val="en-US" w:eastAsia="zh-CN"/>
        </w:rPr>
        <w:t>本条款依据《中华人民共和国安全生产法》第七十六条、《城镇燃气管理条例》第三十九条及《燃气服务导则》（GB/T 28885）的相关规定，要求燃气供应企业切实履行安全宣传主体责任，定期组织开展燃气安全知识宣传教育活动。企业应制定年度宣传计划，通过社区讲座、媒体宣传、入户安检指导等多种形式，向用户普及燃气安全使用常识、泄漏应急处置方法及事故预防措施等内容。宣传内容应符合《家用燃气燃烧器具安全管理规则》（GB 17905）等</w:t>
      </w:r>
      <w:r>
        <w:rPr>
          <w:rFonts w:hint="eastAsia" w:ascii="宋体" w:hAnsi="宋体" w:cs="宋体"/>
          <w:color w:val="auto"/>
          <w:sz w:val="24"/>
          <w:lang w:val="en-US" w:eastAsia="zh-CN"/>
        </w:rPr>
        <w:t>现行国家标准</w:t>
      </w:r>
      <w:r>
        <w:rPr>
          <w:rFonts w:hint="eastAsia" w:ascii="宋体" w:hAnsi="宋体" w:eastAsia="宋体" w:cs="宋体"/>
          <w:color w:val="auto"/>
          <w:sz w:val="24"/>
          <w:lang w:val="en-US" w:eastAsia="zh-CN"/>
        </w:rPr>
        <w:t>要求，重点针对燃气器具规范安装、用气环境通风条件、连接软管定期更换等关键风险点进行科普教育。同时，企业应建立宣传效果评估机制，确保安全知识普及工作的实效性，切实提升社会公众的燃气安全意识和自防自救能力。</w:t>
      </w:r>
    </w:p>
    <w:p w14:paraId="56F7B99F">
      <w:pPr>
        <w:numPr>
          <w:ilvl w:val="0"/>
          <w:numId w:val="0"/>
        </w:numPr>
        <w:spacing w:line="360" w:lineRule="auto"/>
        <w:ind w:firstLine="480" w:firstLineChars="200"/>
        <w:rPr>
          <w:rFonts w:hint="eastAsia" w:ascii="宋体" w:hAnsi="宋体" w:eastAsia="宋体" w:cs="宋体"/>
          <w:color w:val="auto"/>
          <w:sz w:val="24"/>
          <w:lang w:val="en-US" w:eastAsia="zh-CN"/>
        </w:rPr>
      </w:pPr>
      <w:r>
        <w:rPr>
          <w:rFonts w:hint="eastAsia" w:ascii="宋体" w:hAnsi="宋体" w:eastAsia="宋体" w:cs="宋体"/>
          <w:color w:val="auto"/>
          <w:sz w:val="24"/>
          <w:lang w:val="en-US" w:eastAsia="zh-CN"/>
        </w:rPr>
        <w:t>考量内容：（1）燃气企业安全生产宣传；（2）科普教育；（3）广播、电视、报刊、互联网等媒体的燃气使用安全公益性宣传。</w:t>
      </w:r>
    </w:p>
    <w:p w14:paraId="4CEB0988">
      <w:pPr>
        <w:spacing w:line="360" w:lineRule="auto"/>
        <w:rPr>
          <w:rFonts w:hint="eastAsia" w:ascii="宋体" w:hAnsi="宋体" w:eastAsia="宋体" w:cs="宋体"/>
          <w:color w:val="auto"/>
          <w:sz w:val="24"/>
        </w:rPr>
      </w:pPr>
      <w:r>
        <w:rPr>
          <w:rFonts w:hint="eastAsia" w:ascii="宋体" w:hAnsi="宋体" w:cs="宋体"/>
          <w:color w:val="auto"/>
          <w:sz w:val="24"/>
          <w:highlight w:val="none"/>
          <w:lang w:val="en-US" w:eastAsia="zh-CN"/>
        </w:rPr>
        <w:t>B.7</w:t>
      </w:r>
      <w:r>
        <w:rPr>
          <w:rFonts w:hint="eastAsia" w:ascii="宋体" w:hAnsi="宋体" w:eastAsia="宋体" w:cs="宋体"/>
          <w:color w:val="auto"/>
          <w:sz w:val="24"/>
          <w:highlight w:val="none"/>
          <w:lang w:val="en-US" w:eastAsia="zh-CN"/>
        </w:rPr>
        <w:t>.</w:t>
      </w:r>
      <w:r>
        <w:rPr>
          <w:rFonts w:hint="eastAsia" w:ascii="宋体" w:hAnsi="宋体" w:cs="宋体"/>
          <w:color w:val="auto"/>
          <w:sz w:val="24"/>
          <w:highlight w:val="none"/>
          <w:lang w:val="en-US" w:eastAsia="zh-CN"/>
        </w:rPr>
        <w:t>16</w:t>
      </w:r>
      <w:r>
        <w:rPr>
          <w:rFonts w:hint="eastAsia" w:ascii="宋体" w:hAnsi="宋体" w:eastAsia="宋体" w:cs="宋体"/>
          <w:color w:val="auto"/>
          <w:sz w:val="24"/>
          <w:highlight w:val="none"/>
          <w:lang w:val="en-US" w:eastAsia="zh-CN"/>
        </w:rPr>
        <w:t xml:space="preserve"> 本条款适用于城市燃气设施</w:t>
      </w:r>
      <w:r>
        <w:rPr>
          <w:rFonts w:hint="eastAsia" w:ascii="宋体" w:hAnsi="宋体" w:eastAsia="宋体" w:cs="宋体"/>
          <w:color w:val="auto"/>
          <w:sz w:val="24"/>
          <w:lang w:val="en-US" w:eastAsia="zh-CN"/>
        </w:rPr>
        <w:t>运行阶段的评价</w:t>
      </w:r>
      <w:r>
        <w:rPr>
          <w:rFonts w:hint="eastAsia" w:ascii="宋体" w:hAnsi="宋体" w:eastAsia="宋体" w:cs="宋体"/>
          <w:color w:val="auto"/>
          <w:sz w:val="24"/>
          <w:highlight w:val="none"/>
          <w:lang w:val="en-US" w:eastAsia="zh-CN"/>
        </w:rPr>
        <w:t>。</w:t>
      </w:r>
    </w:p>
    <w:p w14:paraId="6EB6AC4E">
      <w:pPr>
        <w:numPr>
          <w:ilvl w:val="0"/>
          <w:numId w:val="0"/>
        </w:numPr>
        <w:spacing w:line="360" w:lineRule="auto"/>
        <w:ind w:firstLine="480" w:firstLineChars="200"/>
        <w:rPr>
          <w:rFonts w:hint="eastAsia" w:ascii="宋体" w:hAnsi="宋体" w:eastAsia="宋体" w:cs="宋体"/>
          <w:color w:val="auto"/>
          <w:sz w:val="24"/>
          <w:lang w:val="en-US" w:eastAsia="zh-CN"/>
        </w:rPr>
      </w:pPr>
      <w:r>
        <w:rPr>
          <w:rFonts w:hint="eastAsia" w:ascii="宋体" w:hAnsi="宋体" w:eastAsia="宋体" w:cs="宋体"/>
          <w:color w:val="auto"/>
          <w:sz w:val="24"/>
          <w:lang w:val="en-US" w:eastAsia="zh-CN"/>
        </w:rPr>
        <w:t xml:space="preserve">依据《燃气工程项目规范》（GB 55009-2021）安全与环保强制性条款，执行《中华人民共和国安全生产法》事故责任追究规定，以及落实国家“双碳”战略对能源基础设施的低碳化要求，通过建立快速响应机制，强化应急指挥体系与救援能力，最大限度降低燃气事故伤亡率，保障公众生命与财产安全；采用智能监测、管网完整性管理等技术，实时预警并阻断泄漏风险，重点防范燃气泄漏、爆炸等高风险事故，建立分级应急预案，配备专业化抢险队伍与装备，确保事故快速处置预防燃气爆炸等事故，系统性减少对社区安全与社会稳定的威胁。  </w:t>
      </w:r>
    </w:p>
    <w:p w14:paraId="18AD9FF6">
      <w:pPr>
        <w:numPr>
          <w:ilvl w:val="0"/>
          <w:numId w:val="0"/>
        </w:numPr>
        <w:spacing w:line="360" w:lineRule="auto"/>
        <w:ind w:firstLine="480" w:firstLineChars="200"/>
        <w:rPr>
          <w:rFonts w:hint="eastAsia" w:ascii="宋体" w:hAnsi="宋体" w:eastAsia="宋体" w:cs="宋体"/>
          <w:color w:val="auto"/>
          <w:sz w:val="24"/>
          <w:lang w:val="en-US" w:eastAsia="zh-CN"/>
        </w:rPr>
      </w:pPr>
      <w:r>
        <w:rPr>
          <w:rFonts w:hint="eastAsia" w:ascii="宋体" w:hAnsi="宋体" w:eastAsia="宋体" w:cs="宋体"/>
          <w:color w:val="auto"/>
          <w:sz w:val="24"/>
          <w:lang w:val="en-US" w:eastAsia="zh-CN"/>
        </w:rPr>
        <w:t xml:space="preserve">对生态敏感区违规建设、重大安全事故实行零容忍。在保障安全的前提下，推动燃气基础设施向低碳化、资源高效化、社会公平化发展。  </w:t>
      </w:r>
    </w:p>
    <w:p w14:paraId="1D68DA70">
      <w:pPr>
        <w:numPr>
          <w:ilvl w:val="0"/>
          <w:numId w:val="0"/>
        </w:numPr>
        <w:spacing w:line="360" w:lineRule="auto"/>
        <w:ind w:firstLine="480" w:firstLineChars="200"/>
        <w:rPr>
          <w:rFonts w:hint="eastAsia" w:ascii="宋体" w:hAnsi="宋体" w:eastAsia="宋体" w:cs="宋体"/>
          <w:color w:val="auto"/>
          <w:sz w:val="24"/>
          <w:lang w:val="en-US" w:eastAsia="zh-CN"/>
        </w:rPr>
      </w:pPr>
      <w:r>
        <w:rPr>
          <w:rFonts w:hint="eastAsia" w:ascii="宋体" w:hAnsi="宋体" w:eastAsia="宋体" w:cs="宋体"/>
          <w:color w:val="auto"/>
          <w:sz w:val="24"/>
          <w:lang w:val="en-US" w:eastAsia="zh-CN"/>
        </w:rPr>
        <w:t>考量内容：（1）应急管理预案；（2）应急保障机制；（3）数字化监测系统及运行情况；（4）培训和演习记录等；（5）事故检修记录等相关文件等。</w:t>
      </w:r>
    </w:p>
    <w:p w14:paraId="23FFAA47">
      <w:pPr>
        <w:spacing w:line="360" w:lineRule="auto"/>
        <w:rPr>
          <w:rFonts w:hint="eastAsia" w:ascii="宋体" w:hAnsi="宋体" w:eastAsia="宋体" w:cs="宋体"/>
          <w:color w:val="auto"/>
          <w:sz w:val="24"/>
        </w:rPr>
      </w:pPr>
      <w:r>
        <w:rPr>
          <w:rFonts w:hint="eastAsia" w:ascii="宋体" w:hAnsi="宋体" w:cs="宋体"/>
          <w:color w:val="auto"/>
          <w:sz w:val="24"/>
          <w:highlight w:val="none"/>
          <w:lang w:val="en-US" w:eastAsia="zh-CN"/>
        </w:rPr>
        <w:t>B.7</w:t>
      </w:r>
      <w:r>
        <w:rPr>
          <w:rFonts w:hint="eastAsia" w:ascii="宋体" w:hAnsi="宋体" w:eastAsia="宋体" w:cs="宋体"/>
          <w:color w:val="auto"/>
          <w:sz w:val="24"/>
          <w:highlight w:val="none"/>
          <w:lang w:val="en-US" w:eastAsia="zh-CN"/>
        </w:rPr>
        <w:t>.</w:t>
      </w:r>
      <w:r>
        <w:rPr>
          <w:rFonts w:hint="eastAsia" w:ascii="宋体" w:hAnsi="宋体" w:cs="宋体"/>
          <w:color w:val="auto"/>
          <w:sz w:val="24"/>
          <w:highlight w:val="none"/>
          <w:lang w:val="en-US" w:eastAsia="zh-CN"/>
        </w:rPr>
        <w:t>16</w:t>
      </w:r>
      <w:r>
        <w:rPr>
          <w:rFonts w:hint="eastAsia" w:ascii="宋体" w:hAnsi="宋体" w:eastAsia="宋体" w:cs="宋体"/>
          <w:color w:val="auto"/>
          <w:sz w:val="24"/>
          <w:highlight w:val="none"/>
          <w:lang w:val="en-US" w:eastAsia="zh-CN"/>
        </w:rPr>
        <w:t>本条款适用于城市燃气设施</w:t>
      </w:r>
      <w:r>
        <w:rPr>
          <w:rFonts w:hint="eastAsia" w:ascii="宋体" w:hAnsi="宋体" w:eastAsia="宋体" w:cs="宋体"/>
          <w:color w:val="auto"/>
          <w:sz w:val="24"/>
          <w:lang w:val="en-US" w:eastAsia="zh-CN"/>
        </w:rPr>
        <w:t>运行阶段的评价</w:t>
      </w:r>
      <w:r>
        <w:rPr>
          <w:rFonts w:hint="eastAsia" w:ascii="宋体" w:hAnsi="宋体" w:eastAsia="宋体" w:cs="宋体"/>
          <w:color w:val="auto"/>
          <w:sz w:val="24"/>
          <w:highlight w:val="none"/>
          <w:lang w:val="en-US" w:eastAsia="zh-CN"/>
        </w:rPr>
        <w:t>。</w:t>
      </w:r>
    </w:p>
    <w:p w14:paraId="2D74D6BA">
      <w:pPr>
        <w:spacing w:line="360" w:lineRule="auto"/>
        <w:ind w:firstLine="480" w:firstLineChars="200"/>
        <w:rPr>
          <w:rFonts w:hint="eastAsia" w:ascii="宋体" w:hAnsi="宋体" w:eastAsia="宋体" w:cs="宋体"/>
          <w:color w:val="auto"/>
          <w:sz w:val="24"/>
          <w:lang w:val="en-US" w:eastAsia="zh-CN"/>
        </w:rPr>
      </w:pPr>
      <w:r>
        <w:rPr>
          <w:rFonts w:hint="eastAsia" w:ascii="宋体" w:hAnsi="宋体" w:eastAsia="宋体" w:cs="宋体"/>
          <w:color w:val="auto"/>
          <w:sz w:val="24"/>
          <w:lang w:val="en-US" w:eastAsia="zh-CN"/>
        </w:rPr>
        <w:t>本条文编制目的是为有效减少燃气使用过程中的事故隐患，保障居民用气安全。室内燃气管道应明装敷设，便于日常检查、维护和泄漏检测。暗埋敷设可能导致管道腐蚀、损坏难以及时发现，增加安全隐患。地下室及无外窗房间通风条件差，燃气泄漏后易积聚，可能引发窒息或爆炸事故，因此，禁止在此类场所设置燃具。燃具和用气设备在使用过程中会产生有害烟气，若未及时排出室外，可能导致室内空气污染，甚至引发中毒事故。所以烟气必须通过专用烟道或排气管排出至室外。</w:t>
      </w:r>
    </w:p>
    <w:p w14:paraId="748FD0EB">
      <w:pPr>
        <w:spacing w:line="360" w:lineRule="auto"/>
        <w:ind w:firstLine="480" w:firstLineChars="200"/>
        <w:rPr>
          <w:rFonts w:hint="eastAsia" w:ascii="宋体" w:hAnsi="宋体" w:eastAsia="宋体" w:cs="宋体"/>
          <w:color w:val="auto"/>
          <w:sz w:val="24"/>
          <w:lang w:val="en-US"/>
        </w:rPr>
      </w:pPr>
      <w:r>
        <w:rPr>
          <w:rFonts w:hint="eastAsia" w:ascii="宋体" w:hAnsi="宋体" w:eastAsia="宋体" w:cs="宋体"/>
          <w:color w:val="auto"/>
          <w:sz w:val="24"/>
          <w:lang w:val="en-US" w:eastAsia="zh-CN"/>
        </w:rPr>
        <w:t>考量内容：（1）燃气系统设计文件；（2）现场照片和视频记录；（3）安全管理检查记录；（4）相关监管部门监督检查报告；（5）事故检修记录等相关文件等。</w:t>
      </w:r>
    </w:p>
    <w:p w14:paraId="22219468">
      <w:pPr>
        <w:spacing w:line="360" w:lineRule="auto"/>
        <w:rPr>
          <w:rFonts w:hint="eastAsia" w:ascii="宋体" w:hAnsi="宋体" w:eastAsia="宋体" w:cs="宋体"/>
          <w:color w:val="auto"/>
          <w:sz w:val="24"/>
        </w:rPr>
      </w:pPr>
      <w:r>
        <w:rPr>
          <w:rFonts w:hint="eastAsia" w:ascii="宋体" w:hAnsi="宋体" w:cs="宋体"/>
          <w:color w:val="auto"/>
          <w:sz w:val="24"/>
          <w:highlight w:val="none"/>
          <w:lang w:val="en-US" w:eastAsia="zh-CN"/>
        </w:rPr>
        <w:t>B.7</w:t>
      </w:r>
      <w:r>
        <w:rPr>
          <w:rFonts w:hint="eastAsia" w:ascii="宋体" w:hAnsi="宋体" w:eastAsia="宋体" w:cs="宋体"/>
          <w:color w:val="auto"/>
          <w:sz w:val="24"/>
          <w:highlight w:val="none"/>
          <w:lang w:val="en-US" w:eastAsia="zh-CN"/>
        </w:rPr>
        <w:t>.</w:t>
      </w:r>
      <w:r>
        <w:rPr>
          <w:rFonts w:hint="eastAsia" w:ascii="宋体" w:hAnsi="宋体" w:cs="宋体"/>
          <w:color w:val="auto"/>
          <w:sz w:val="24"/>
          <w:highlight w:val="none"/>
          <w:lang w:val="en-US" w:eastAsia="zh-CN"/>
        </w:rPr>
        <w:t>18</w:t>
      </w:r>
      <w:r>
        <w:rPr>
          <w:rFonts w:hint="eastAsia" w:ascii="宋体" w:hAnsi="宋体" w:eastAsia="宋体" w:cs="宋体"/>
          <w:color w:val="auto"/>
          <w:sz w:val="24"/>
          <w:highlight w:val="none"/>
          <w:lang w:val="en-US" w:eastAsia="zh-CN"/>
        </w:rPr>
        <w:t xml:space="preserve"> 本条款适用于城市燃气设施</w:t>
      </w:r>
      <w:r>
        <w:rPr>
          <w:rFonts w:hint="eastAsia" w:ascii="宋体" w:hAnsi="宋体" w:eastAsia="宋体" w:cs="宋体"/>
          <w:color w:val="auto"/>
          <w:sz w:val="24"/>
          <w:lang w:val="en-US" w:eastAsia="zh-CN"/>
        </w:rPr>
        <w:t>运行阶段的评价</w:t>
      </w:r>
      <w:r>
        <w:rPr>
          <w:rFonts w:hint="eastAsia" w:ascii="宋体" w:hAnsi="宋体" w:eastAsia="宋体" w:cs="宋体"/>
          <w:color w:val="auto"/>
          <w:sz w:val="24"/>
          <w:highlight w:val="none"/>
          <w:lang w:val="en-US" w:eastAsia="zh-CN"/>
        </w:rPr>
        <w:t>。</w:t>
      </w:r>
    </w:p>
    <w:p w14:paraId="65DF3FEE">
      <w:pPr>
        <w:spacing w:line="360" w:lineRule="auto"/>
        <w:ind w:firstLine="480" w:firstLineChars="200"/>
        <w:rPr>
          <w:rFonts w:hint="eastAsia" w:ascii="宋体" w:hAnsi="宋体" w:eastAsia="宋体" w:cs="宋体"/>
          <w:color w:val="auto"/>
          <w:sz w:val="24"/>
          <w:lang w:val="en-US" w:eastAsia="zh-CN"/>
        </w:rPr>
      </w:pPr>
      <w:r>
        <w:rPr>
          <w:rFonts w:hint="eastAsia" w:ascii="宋体" w:hAnsi="宋体" w:eastAsia="宋体" w:cs="宋体"/>
          <w:color w:val="auto"/>
          <w:sz w:val="24"/>
          <w:lang w:val="en-US" w:eastAsia="zh-CN"/>
        </w:rPr>
        <w:t>燃气设施在投入使用前，必须配备完善的安全设施，确保其运行过程中能够有效预防燃气泄漏、火灾、爆炸等安全事故的发生。安全设施主要包括：燃气泄漏检测装置、自动切断装置、防火防爆设施、通风设施、安全标识与警示等；燃气设施在投入使用前，必须配备必要的环保设施，确保其运行过程中能够有效防治或减少对环境的污染。必要的环保设施包括：烟气排放处理设施、噪声控制设施、废水处理设施、固体废物处理设施等。</w:t>
      </w:r>
    </w:p>
    <w:p w14:paraId="5BA8518D">
      <w:pPr>
        <w:spacing w:line="360" w:lineRule="auto"/>
        <w:rPr>
          <w:rFonts w:hint="eastAsia" w:ascii="宋体" w:hAnsi="宋体" w:eastAsia="宋体" w:cs="宋体"/>
          <w:color w:val="auto"/>
          <w:sz w:val="24"/>
          <w:lang w:val="en-US"/>
        </w:rPr>
      </w:pPr>
      <w:r>
        <w:rPr>
          <w:rFonts w:hint="eastAsia" w:ascii="宋体" w:hAnsi="宋体" w:eastAsia="宋体" w:cs="宋体"/>
          <w:color w:val="auto"/>
          <w:sz w:val="24"/>
          <w:lang w:val="en-US" w:eastAsia="zh-CN"/>
        </w:rPr>
        <w:t>考量内容：（1）燃气系统设计文件；（2）现场照片和视频记录；（3）安全应急管理与处置预案；（4）相关监管部门监督检查报告；（5）事故检修记录等相关文件等。</w:t>
      </w:r>
    </w:p>
    <w:p w14:paraId="15C8C4EC">
      <w:pPr>
        <w:spacing w:line="360" w:lineRule="auto"/>
        <w:rPr>
          <w:rFonts w:hint="eastAsia" w:ascii="宋体" w:hAnsi="宋体" w:eastAsia="宋体" w:cs="宋体"/>
          <w:color w:val="auto"/>
          <w:sz w:val="24"/>
        </w:rPr>
      </w:pPr>
      <w:r>
        <w:rPr>
          <w:rFonts w:hint="eastAsia" w:ascii="宋体" w:hAnsi="宋体" w:cs="宋体"/>
          <w:color w:val="auto"/>
          <w:sz w:val="24"/>
          <w:highlight w:val="none"/>
          <w:lang w:val="en-US" w:eastAsia="zh-CN"/>
        </w:rPr>
        <w:t>B.7</w:t>
      </w:r>
      <w:r>
        <w:rPr>
          <w:rFonts w:hint="eastAsia" w:ascii="宋体" w:hAnsi="宋体" w:eastAsia="宋体" w:cs="宋体"/>
          <w:color w:val="auto"/>
          <w:sz w:val="24"/>
          <w:highlight w:val="none"/>
          <w:lang w:val="en-US" w:eastAsia="zh-CN"/>
        </w:rPr>
        <w:t>.</w:t>
      </w:r>
      <w:r>
        <w:rPr>
          <w:rFonts w:hint="eastAsia" w:ascii="宋体" w:hAnsi="宋体" w:cs="宋体"/>
          <w:color w:val="auto"/>
          <w:sz w:val="24"/>
          <w:highlight w:val="none"/>
          <w:lang w:val="en-US" w:eastAsia="zh-CN"/>
        </w:rPr>
        <w:t>19</w:t>
      </w:r>
      <w:r>
        <w:rPr>
          <w:rFonts w:hint="eastAsia" w:ascii="宋体" w:hAnsi="宋体" w:eastAsia="宋体" w:cs="宋体"/>
          <w:color w:val="auto"/>
          <w:sz w:val="24"/>
          <w:highlight w:val="none"/>
          <w:lang w:val="en-US" w:eastAsia="zh-CN"/>
        </w:rPr>
        <w:t xml:space="preserve"> 本条款适用于城市燃气设施</w:t>
      </w:r>
      <w:r>
        <w:rPr>
          <w:rFonts w:hint="eastAsia" w:ascii="宋体" w:hAnsi="宋体" w:eastAsia="宋体" w:cs="宋体"/>
          <w:color w:val="auto"/>
          <w:sz w:val="24"/>
          <w:lang w:val="en-US" w:eastAsia="zh-CN"/>
        </w:rPr>
        <w:t>施工建造阶段的评价</w:t>
      </w:r>
      <w:r>
        <w:rPr>
          <w:rFonts w:hint="eastAsia" w:ascii="宋体" w:hAnsi="宋体" w:eastAsia="宋体" w:cs="宋体"/>
          <w:color w:val="auto"/>
          <w:sz w:val="24"/>
          <w:highlight w:val="none"/>
          <w:lang w:val="en-US" w:eastAsia="zh-CN"/>
        </w:rPr>
        <w:t>。</w:t>
      </w:r>
    </w:p>
    <w:p w14:paraId="7CCF9F7F">
      <w:pPr>
        <w:numPr>
          <w:ilvl w:val="0"/>
          <w:numId w:val="0"/>
        </w:numPr>
        <w:spacing w:line="360" w:lineRule="auto"/>
        <w:ind w:firstLine="480" w:firstLineChars="200"/>
        <w:rPr>
          <w:rFonts w:hint="eastAsia" w:ascii="宋体" w:hAnsi="宋体" w:eastAsia="宋体" w:cs="宋体"/>
          <w:color w:val="auto"/>
          <w:sz w:val="24"/>
          <w:lang w:val="en-US" w:eastAsia="zh-CN"/>
        </w:rPr>
      </w:pPr>
      <w:r>
        <w:rPr>
          <w:rFonts w:hint="eastAsia" w:ascii="宋体" w:hAnsi="宋体" w:eastAsia="宋体" w:cs="宋体"/>
          <w:color w:val="auto"/>
          <w:sz w:val="24"/>
          <w:lang w:val="en-US" w:eastAsia="zh-CN"/>
        </w:rPr>
        <w:t>在废弃燃气设施拆除前，必须彻底清理管道内的残余燃气，确保无燃气残留。废弃燃气管道及设施应按规定程序拆除或封堵，防止燃气泄漏或外界物质进入管道。废弃燃气设施中可回收利用的材料（如金属管道、阀门等）应进行分类回收，减少资源浪费。废弃燃气设施拆除后，应对现场进行清理和环境恢复，确保不影响周边环境和居民生活。</w:t>
      </w:r>
    </w:p>
    <w:p w14:paraId="2E80F688">
      <w:pPr>
        <w:numPr>
          <w:ilvl w:val="0"/>
          <w:numId w:val="0"/>
        </w:numPr>
        <w:spacing w:line="360" w:lineRule="auto"/>
        <w:ind w:firstLine="480" w:firstLineChars="200"/>
        <w:rPr>
          <w:rFonts w:hint="eastAsia" w:ascii="宋体" w:hAnsi="宋体" w:eastAsia="宋体" w:cs="宋体"/>
          <w:color w:val="auto"/>
          <w:sz w:val="24"/>
          <w:lang w:val="en-US" w:eastAsia="zh-CN"/>
        </w:rPr>
      </w:pPr>
      <w:r>
        <w:rPr>
          <w:rFonts w:hint="eastAsia" w:ascii="宋体" w:hAnsi="宋体" w:eastAsia="宋体" w:cs="宋体"/>
          <w:color w:val="auto"/>
          <w:sz w:val="24"/>
          <w:lang w:val="en-US" w:eastAsia="zh-CN"/>
        </w:rPr>
        <w:t>考量内容：（1）应急管理预案；（2）应急保障机制；（3）现场照片和视频记录；（4）培训和演习记录等；（5）事故检修记录等相关文件等。</w:t>
      </w:r>
    </w:p>
    <w:p w14:paraId="1B4F5F89">
      <w:pPr>
        <w:spacing w:line="360" w:lineRule="auto"/>
        <w:rPr>
          <w:rFonts w:hint="eastAsia" w:ascii="宋体" w:hAnsi="宋体" w:eastAsia="宋体" w:cs="宋体"/>
          <w:color w:val="auto"/>
          <w:sz w:val="24"/>
        </w:rPr>
      </w:pPr>
      <w:r>
        <w:rPr>
          <w:rFonts w:hint="eastAsia" w:ascii="宋体" w:hAnsi="宋体" w:cs="宋体"/>
          <w:color w:val="auto"/>
          <w:sz w:val="24"/>
          <w:highlight w:val="none"/>
          <w:lang w:val="en-US" w:eastAsia="zh-CN"/>
        </w:rPr>
        <w:t>B.7</w:t>
      </w:r>
      <w:r>
        <w:rPr>
          <w:rFonts w:hint="eastAsia" w:ascii="宋体" w:hAnsi="宋体" w:eastAsia="宋体" w:cs="宋体"/>
          <w:color w:val="auto"/>
          <w:sz w:val="24"/>
          <w:highlight w:val="none"/>
          <w:lang w:val="en-US" w:eastAsia="zh-CN"/>
        </w:rPr>
        <w:t>.</w:t>
      </w:r>
      <w:r>
        <w:rPr>
          <w:rFonts w:hint="eastAsia" w:ascii="宋体" w:hAnsi="宋体" w:cs="宋体"/>
          <w:color w:val="auto"/>
          <w:sz w:val="24"/>
          <w:highlight w:val="none"/>
          <w:lang w:val="en-US" w:eastAsia="zh-CN"/>
        </w:rPr>
        <w:t>20</w:t>
      </w:r>
      <w:r>
        <w:rPr>
          <w:rFonts w:hint="eastAsia" w:ascii="宋体" w:hAnsi="宋体" w:eastAsia="宋体" w:cs="宋体"/>
          <w:color w:val="auto"/>
          <w:sz w:val="24"/>
          <w:highlight w:val="none"/>
          <w:lang w:val="en-US" w:eastAsia="zh-CN"/>
        </w:rPr>
        <w:t xml:space="preserve"> 本条款适用于城市燃气设施</w:t>
      </w:r>
      <w:r>
        <w:rPr>
          <w:rFonts w:hint="eastAsia" w:ascii="宋体" w:hAnsi="宋体" w:eastAsia="宋体" w:cs="宋体"/>
          <w:color w:val="auto"/>
          <w:sz w:val="24"/>
          <w:lang w:val="en-US" w:eastAsia="zh-CN"/>
        </w:rPr>
        <w:t>规划设计、运行阶段的评价</w:t>
      </w:r>
      <w:r>
        <w:rPr>
          <w:rFonts w:hint="eastAsia" w:ascii="宋体" w:hAnsi="宋体" w:eastAsia="宋体" w:cs="宋体"/>
          <w:color w:val="auto"/>
          <w:sz w:val="24"/>
          <w:highlight w:val="none"/>
          <w:lang w:val="en-US" w:eastAsia="zh-CN"/>
        </w:rPr>
        <w:t>。</w:t>
      </w:r>
    </w:p>
    <w:p w14:paraId="094EB6E7">
      <w:pPr>
        <w:spacing w:line="360" w:lineRule="auto"/>
        <w:ind w:firstLine="480" w:firstLineChars="200"/>
        <w:rPr>
          <w:rFonts w:hint="eastAsia" w:ascii="宋体" w:hAnsi="宋体" w:eastAsia="宋体" w:cs="宋体"/>
          <w:color w:val="auto"/>
          <w:sz w:val="24"/>
          <w:lang w:val="en-US" w:eastAsia="zh-CN"/>
        </w:rPr>
      </w:pPr>
      <w:r>
        <w:rPr>
          <w:rFonts w:hint="eastAsia" w:ascii="宋体" w:hAnsi="宋体" w:eastAsia="宋体" w:cs="宋体"/>
          <w:color w:val="auto"/>
          <w:sz w:val="24"/>
          <w:lang w:val="en-US" w:eastAsia="zh-CN"/>
        </w:rPr>
        <w:t>在役燃气设施的安全防护措施是确保其安全运行的关键，必须全面落实防火、防爆、抗震、防雷接地等要求，定期检查维护，确保设施安全可靠。燃气设施周围应设置防火墙、防火隔离带等设施。配备足够的灭火器材，如灭火器、消防栓等。燃气设施应安装防爆电气设备，避免电火花引发爆炸。在易燃易爆区域设置通风设施，防止燃气积聚。 燃气管道及设施应按照抗震设计要求进行安装和固定，确保在地震等自然灾害中保持稳定。定期检查燃气设施的抗震性能，及时加固或更换不符合要求的部件。燃气设施应安装防雷装置，并确保接地系统符合规范要求，防止雷击引发事故，定期检测防雷接地系统的有效性，确保其处于良好状态。燃气设施的安全防护措施应符合国家及地方相关标准，定期进行检查和维护，确保各项措施有效运行，降低事故风险。</w:t>
      </w:r>
    </w:p>
    <w:p w14:paraId="7D3B2EDD">
      <w:pPr>
        <w:numPr>
          <w:ilvl w:val="0"/>
          <w:numId w:val="0"/>
        </w:numPr>
        <w:spacing w:line="360" w:lineRule="auto"/>
        <w:ind w:firstLine="480" w:firstLineChars="200"/>
        <w:rPr>
          <w:rFonts w:hint="eastAsia" w:ascii="宋体" w:hAnsi="宋体" w:eastAsia="宋体" w:cs="宋体"/>
          <w:color w:val="auto"/>
          <w:sz w:val="24"/>
          <w:lang w:val="en-US" w:eastAsia="zh-CN"/>
        </w:rPr>
      </w:pPr>
      <w:r>
        <w:rPr>
          <w:rFonts w:hint="eastAsia" w:ascii="宋体" w:hAnsi="宋体" w:eastAsia="宋体" w:cs="宋体"/>
          <w:color w:val="auto"/>
          <w:sz w:val="24"/>
          <w:lang w:val="en-US" w:eastAsia="zh-CN"/>
        </w:rPr>
        <w:t>考量内容：（1）燃气系统设计文件；（2）应急管理预案与应急保障机制；（3）现场照片和视频记录；（4）相关监管部门监督检查报告（5）事故检修记录等相关文件等。</w:t>
      </w:r>
    </w:p>
    <w:p w14:paraId="1965E64A">
      <w:pPr>
        <w:spacing w:line="360" w:lineRule="auto"/>
        <w:rPr>
          <w:rFonts w:hint="eastAsia" w:ascii="宋体" w:hAnsi="宋体" w:eastAsia="宋体" w:cs="宋体"/>
          <w:color w:val="auto"/>
          <w:sz w:val="24"/>
        </w:rPr>
      </w:pPr>
      <w:r>
        <w:rPr>
          <w:rFonts w:hint="eastAsia" w:ascii="宋体" w:hAnsi="宋体" w:cs="宋体"/>
          <w:color w:val="auto"/>
          <w:sz w:val="24"/>
          <w:highlight w:val="none"/>
          <w:lang w:val="en-US" w:eastAsia="zh-CN"/>
        </w:rPr>
        <w:t>B.7</w:t>
      </w:r>
      <w:r>
        <w:rPr>
          <w:rFonts w:hint="eastAsia" w:ascii="宋体" w:hAnsi="宋体" w:eastAsia="宋体" w:cs="宋体"/>
          <w:color w:val="auto"/>
          <w:sz w:val="24"/>
          <w:highlight w:val="none"/>
          <w:lang w:val="en-US" w:eastAsia="zh-CN"/>
        </w:rPr>
        <w:t>.</w:t>
      </w:r>
      <w:r>
        <w:rPr>
          <w:rFonts w:hint="eastAsia" w:ascii="宋体" w:hAnsi="宋体" w:cs="宋体"/>
          <w:color w:val="auto"/>
          <w:sz w:val="24"/>
          <w:highlight w:val="none"/>
          <w:lang w:val="en-US" w:eastAsia="zh-CN"/>
        </w:rPr>
        <w:t>21</w:t>
      </w:r>
      <w:r>
        <w:rPr>
          <w:rFonts w:hint="eastAsia" w:ascii="宋体" w:hAnsi="宋体" w:eastAsia="宋体" w:cs="宋体"/>
          <w:color w:val="auto"/>
          <w:sz w:val="24"/>
          <w:highlight w:val="none"/>
          <w:lang w:val="en-US" w:eastAsia="zh-CN"/>
        </w:rPr>
        <w:t xml:space="preserve"> 本条款适用于城市燃气设施</w:t>
      </w:r>
      <w:r>
        <w:rPr>
          <w:rFonts w:hint="eastAsia" w:ascii="宋体" w:hAnsi="宋体" w:eastAsia="宋体" w:cs="宋体"/>
          <w:color w:val="auto"/>
          <w:sz w:val="24"/>
          <w:lang w:val="en-US" w:eastAsia="zh-CN"/>
        </w:rPr>
        <w:t>运行阶段的评价</w:t>
      </w:r>
      <w:r>
        <w:rPr>
          <w:rFonts w:hint="eastAsia" w:ascii="宋体" w:hAnsi="宋体" w:eastAsia="宋体" w:cs="宋体"/>
          <w:color w:val="auto"/>
          <w:sz w:val="24"/>
          <w:highlight w:val="none"/>
          <w:lang w:val="en-US" w:eastAsia="zh-CN"/>
        </w:rPr>
        <w:t>。</w:t>
      </w:r>
    </w:p>
    <w:p w14:paraId="3F134191">
      <w:pPr>
        <w:spacing w:line="360" w:lineRule="auto"/>
        <w:ind w:firstLine="480" w:firstLineChars="200"/>
        <w:rPr>
          <w:rFonts w:hint="eastAsia" w:ascii="宋体" w:hAnsi="宋体" w:eastAsia="宋体" w:cs="宋体"/>
          <w:color w:val="auto"/>
          <w:sz w:val="24"/>
          <w:lang w:val="en-US" w:eastAsia="zh-CN"/>
        </w:rPr>
      </w:pPr>
      <w:r>
        <w:rPr>
          <w:rFonts w:hint="eastAsia" w:ascii="宋体" w:hAnsi="宋体" w:eastAsia="宋体" w:cs="宋体"/>
          <w:color w:val="auto"/>
          <w:sz w:val="24"/>
          <w:lang w:val="en-US" w:eastAsia="zh-CN"/>
        </w:rPr>
        <w:t>燃气信息管理系统的建设是提升燃气供应系统管理水平的重要手段，通过信息管理系统的实时动态管理，能够有效提高燃气管网和燃气设备的安全性、可靠性和运行效率，同时提升客户服务质量。信息管理系统应覆盖燃气管网、燃气设备、运行分析、运行监控、自动化控制、客户服务等各个环节，实现全流程管理。系统应具备实时数据采集、传输和处理能力，确保管理决策的及时性和准确性。系统应支持燃气自动化控制功能，减少人为操作失误，提高运行效率。相关部门应加强对信息管理系统的监督和评估，确保其功能完善、运行稳定，为燃气行业的可持续发展提供有力支持。</w:t>
      </w:r>
    </w:p>
    <w:p w14:paraId="52CFFEBD">
      <w:pPr>
        <w:numPr>
          <w:ilvl w:val="0"/>
          <w:numId w:val="0"/>
        </w:numPr>
        <w:spacing w:line="360" w:lineRule="auto"/>
        <w:ind w:firstLine="480" w:firstLineChars="200"/>
        <w:rPr>
          <w:rFonts w:hint="eastAsia" w:ascii="宋体" w:hAnsi="宋体" w:eastAsia="宋体" w:cs="宋体"/>
          <w:color w:val="auto"/>
          <w:sz w:val="24"/>
          <w:lang w:val="en-US" w:eastAsia="zh-CN"/>
        </w:rPr>
      </w:pPr>
      <w:r>
        <w:rPr>
          <w:rFonts w:hint="eastAsia" w:ascii="宋体" w:hAnsi="宋体" w:eastAsia="宋体" w:cs="宋体"/>
          <w:color w:val="auto"/>
          <w:sz w:val="24"/>
          <w:lang w:val="en-US" w:eastAsia="zh-CN"/>
        </w:rPr>
        <w:t>考量内容：（1）信息管理系统设计文件；（2）运行调度控制中心现场考察；（3）燃气计量、物联网传感器采集终端部署方案；（4）软件使用手册、操作指南等文件（5）运行维护记录和数据分析文件等。</w:t>
      </w:r>
    </w:p>
    <w:p w14:paraId="5BF621D5">
      <w:pPr>
        <w:wordWrap/>
        <w:spacing w:line="360" w:lineRule="auto"/>
        <w:jc w:val="center"/>
        <w:textAlignment w:val="auto"/>
        <w:outlineLvl w:val="1"/>
        <w:rPr>
          <w:rFonts w:hint="eastAsia" w:ascii="黑体" w:hAnsi="黑体" w:eastAsia="黑体" w:cs="黑体"/>
          <w:b/>
          <w:bCs/>
          <w:color w:val="auto"/>
          <w:sz w:val="28"/>
          <w:szCs w:val="28"/>
        </w:rPr>
      </w:pPr>
      <w:bookmarkStart w:id="881" w:name="_Toc13894"/>
      <w:bookmarkStart w:id="882" w:name="_Toc19153"/>
      <w:bookmarkStart w:id="883" w:name="_Toc5464"/>
      <w:bookmarkStart w:id="884" w:name="_Toc10003"/>
      <w:bookmarkStart w:id="885" w:name="_Toc13558"/>
      <w:bookmarkStart w:id="886" w:name="_Toc7082"/>
      <w:r>
        <w:rPr>
          <w:rFonts w:hint="eastAsia" w:ascii="黑体" w:hAnsi="黑体" w:eastAsia="黑体" w:cs="黑体"/>
          <w:b/>
          <w:bCs/>
          <w:color w:val="auto"/>
          <w:sz w:val="28"/>
          <w:szCs w:val="28"/>
        </w:rPr>
        <w:t>B</w:t>
      </w:r>
      <w:r>
        <w:rPr>
          <w:rFonts w:hint="eastAsia" w:ascii="黑体" w:hAnsi="黑体" w:eastAsia="黑体" w:cs="黑体"/>
          <w:b/>
          <w:bCs/>
          <w:color w:val="auto"/>
          <w:sz w:val="28"/>
          <w:szCs w:val="28"/>
          <w:lang w:val="en-US" w:eastAsia="zh-CN"/>
        </w:rPr>
        <w:t>.8</w:t>
      </w:r>
      <w:r>
        <w:rPr>
          <w:rFonts w:hint="eastAsia" w:ascii="黑体" w:hAnsi="黑体" w:eastAsia="黑体" w:cs="黑体"/>
          <w:b/>
          <w:bCs/>
          <w:color w:val="auto"/>
          <w:sz w:val="28"/>
          <w:szCs w:val="28"/>
        </w:rPr>
        <w:t xml:space="preserve"> </w:t>
      </w:r>
      <w:r>
        <w:rPr>
          <w:rFonts w:hint="eastAsia" w:ascii="黑体" w:hAnsi="黑体" w:eastAsia="黑体" w:cs="黑体"/>
          <w:b/>
          <w:bCs/>
          <w:color w:val="auto"/>
          <w:sz w:val="28"/>
          <w:szCs w:val="28"/>
          <w:lang w:val="en-US" w:eastAsia="zh-CN"/>
        </w:rPr>
        <w:t>城市供水工程</w:t>
      </w:r>
      <w:r>
        <w:rPr>
          <w:rFonts w:hint="eastAsia" w:ascii="黑体" w:hAnsi="黑体" w:eastAsia="黑体" w:cs="黑体"/>
          <w:b/>
          <w:bCs/>
          <w:color w:val="auto"/>
          <w:sz w:val="28"/>
          <w:szCs w:val="28"/>
        </w:rPr>
        <w:t>项目</w:t>
      </w:r>
      <w:bookmarkEnd w:id="881"/>
      <w:bookmarkEnd w:id="882"/>
      <w:bookmarkEnd w:id="883"/>
      <w:bookmarkEnd w:id="884"/>
      <w:bookmarkEnd w:id="885"/>
      <w:bookmarkEnd w:id="886"/>
    </w:p>
    <w:p w14:paraId="5887F110">
      <w:pPr>
        <w:spacing w:line="360" w:lineRule="auto"/>
        <w:ind w:firstLine="0" w:firstLineChars="0"/>
        <w:rPr>
          <w:rFonts w:hint="eastAsia" w:ascii="宋体" w:hAnsi="宋体" w:eastAsia="宋体" w:cs="宋体"/>
          <w:color w:val="auto"/>
          <w:sz w:val="24"/>
        </w:rPr>
      </w:pPr>
      <w:r>
        <w:rPr>
          <w:rFonts w:hint="eastAsia" w:ascii="宋体" w:hAnsi="宋体" w:cs="宋体"/>
          <w:color w:val="auto"/>
          <w:sz w:val="24"/>
          <w:lang w:val="en-US" w:eastAsia="zh-CN"/>
        </w:rPr>
        <w:t>B.8</w:t>
      </w:r>
      <w:r>
        <w:rPr>
          <w:rFonts w:hint="eastAsia" w:ascii="宋体" w:hAnsi="宋体" w:eastAsia="宋体" w:cs="宋体"/>
          <w:color w:val="auto"/>
          <w:sz w:val="24"/>
          <w:lang w:val="en-US" w:eastAsia="zh-CN"/>
        </w:rPr>
        <w:t>.1本条款适用于城市供水工程规划设计阶段的评价。</w:t>
      </w:r>
    </w:p>
    <w:p w14:paraId="462AD28D">
      <w:pPr>
        <w:spacing w:line="360" w:lineRule="auto"/>
        <w:ind w:firstLine="480" w:firstLineChars="200"/>
        <w:rPr>
          <w:rFonts w:hint="default" w:ascii="宋体" w:hAnsi="宋体" w:eastAsia="宋体" w:cs="宋体"/>
          <w:color w:val="auto"/>
          <w:sz w:val="24"/>
          <w:lang w:val="en-US" w:eastAsia="zh-CN"/>
        </w:rPr>
      </w:pPr>
      <w:r>
        <w:rPr>
          <w:rFonts w:hint="eastAsia" w:ascii="宋体" w:hAnsi="宋体" w:eastAsia="宋体" w:cs="宋体"/>
          <w:color w:val="auto"/>
          <w:sz w:val="24"/>
        </w:rPr>
        <w:t>本标准所指城市供水，是指城市公共供水和自建设施供水。公共供水是指城市自来水企业以公共供水管道及其附属设施向单位和居民的生活、生产和其他各项建设提供用水。自建设施供水是指城市的用水单位以其自行建设的供水管道及其属设施向本单位的生活、生产和其他各项建设提供用水。</w:t>
      </w:r>
      <w:r>
        <w:rPr>
          <w:rFonts w:hint="eastAsia" w:ascii="宋体" w:hAnsi="宋体" w:cs="宋体"/>
          <w:color w:val="auto"/>
          <w:sz w:val="24"/>
          <w:lang w:eastAsia="zh-CN"/>
        </w:rPr>
        <w:t>（</w:t>
      </w:r>
      <w:r>
        <w:rPr>
          <w:rFonts w:hint="eastAsia" w:ascii="宋体" w:hAnsi="宋体" w:cs="宋体"/>
          <w:color w:val="auto"/>
          <w:sz w:val="24"/>
          <w:lang w:val="en-US" w:eastAsia="zh-CN"/>
        </w:rPr>
        <w:t>下同）</w:t>
      </w:r>
    </w:p>
    <w:p w14:paraId="47D7F5C5">
      <w:pPr>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rPr>
        <w:t>制定本条款</w:t>
      </w:r>
      <w:r>
        <w:rPr>
          <w:rFonts w:hint="eastAsia" w:ascii="宋体" w:hAnsi="宋体" w:eastAsia="宋体" w:cs="宋体"/>
          <w:color w:val="auto"/>
          <w:sz w:val="24"/>
          <w:lang w:val="en-US" w:eastAsia="zh-CN"/>
        </w:rPr>
        <w:t>涉及</w:t>
      </w:r>
      <w:r>
        <w:rPr>
          <w:rFonts w:hint="eastAsia" w:ascii="宋体" w:hAnsi="宋体" w:eastAsia="宋体" w:cs="宋体"/>
          <w:color w:val="auto"/>
          <w:sz w:val="24"/>
        </w:rPr>
        <w:t>《中华人民共和国水污染防治法》《水污染防治行动计划》等相关法律法规及技术标准，结合《集中式饮用水水源地规范化建设环境保护技术要求》（HJ 773-2015）、《地表水环境质量标准》（GB 3838-2002）等标准规范</w:t>
      </w:r>
      <w:r>
        <w:rPr>
          <w:rFonts w:hint="eastAsia" w:ascii="宋体" w:hAnsi="宋体" w:eastAsia="宋体" w:cs="宋体"/>
          <w:color w:val="auto"/>
          <w:sz w:val="24"/>
          <w:lang w:val="en-US" w:eastAsia="zh-CN"/>
        </w:rPr>
        <w:t>使用，</w:t>
      </w:r>
      <w:r>
        <w:rPr>
          <w:rFonts w:hint="eastAsia" w:ascii="宋体" w:hAnsi="宋体" w:eastAsia="宋体" w:cs="宋体"/>
          <w:color w:val="auto"/>
          <w:sz w:val="24"/>
        </w:rPr>
        <w:t>核心目标是通过源头管控，杜绝饮用水水源保护区内可能威胁水质的活动，确保</w:t>
      </w:r>
      <w:r>
        <w:rPr>
          <w:rFonts w:hint="eastAsia" w:ascii="宋体" w:hAnsi="宋体" w:eastAsia="宋体" w:cs="宋体"/>
          <w:color w:val="auto"/>
          <w:sz w:val="24"/>
          <w:lang w:val="en-US" w:eastAsia="zh-CN"/>
        </w:rPr>
        <w:t>城市供水</w:t>
      </w:r>
      <w:r>
        <w:rPr>
          <w:rFonts w:hint="eastAsia" w:ascii="宋体" w:hAnsi="宋体" w:eastAsia="宋体" w:cs="宋体"/>
          <w:color w:val="auto"/>
          <w:sz w:val="24"/>
        </w:rPr>
        <w:t>安全</w:t>
      </w:r>
      <w:r>
        <w:rPr>
          <w:rFonts w:hint="eastAsia" w:ascii="宋体" w:hAnsi="宋体" w:eastAsia="宋体" w:cs="宋体"/>
          <w:color w:val="auto"/>
          <w:sz w:val="24"/>
          <w:lang w:eastAsia="zh-CN"/>
        </w:rPr>
        <w:t>。</w:t>
      </w:r>
      <w:r>
        <w:rPr>
          <w:rFonts w:hint="eastAsia" w:ascii="宋体" w:hAnsi="宋体" w:eastAsia="宋体" w:cs="宋体"/>
          <w:color w:val="auto"/>
          <w:sz w:val="24"/>
        </w:rPr>
        <w:t>新建项目须符合《建设项目环境影响评价分类管理名录》，依法开展环评并报批</w:t>
      </w:r>
      <w:r>
        <w:rPr>
          <w:rFonts w:hint="eastAsia" w:ascii="宋体" w:hAnsi="宋体" w:eastAsia="宋体" w:cs="宋体"/>
          <w:color w:val="auto"/>
          <w:sz w:val="24"/>
          <w:lang w:eastAsia="zh-CN"/>
        </w:rPr>
        <w:t>；</w:t>
      </w:r>
      <w:r>
        <w:rPr>
          <w:rFonts w:hint="eastAsia" w:ascii="宋体" w:hAnsi="宋体" w:eastAsia="宋体" w:cs="宋体"/>
          <w:color w:val="auto"/>
          <w:sz w:val="24"/>
        </w:rPr>
        <w:t>供水单位建立水源安全巡查制度，发现隐患及时报告并配合处置</w:t>
      </w:r>
      <w:r>
        <w:rPr>
          <w:rFonts w:hint="eastAsia" w:ascii="宋体" w:hAnsi="宋体" w:eastAsia="宋体" w:cs="宋体"/>
          <w:color w:val="auto"/>
          <w:sz w:val="24"/>
          <w:lang w:eastAsia="zh-CN"/>
        </w:rPr>
        <w:t>；</w:t>
      </w:r>
      <w:r>
        <w:rPr>
          <w:rFonts w:hint="eastAsia" w:ascii="宋体" w:hAnsi="宋体" w:eastAsia="宋体" w:cs="宋体"/>
          <w:color w:val="auto"/>
          <w:sz w:val="24"/>
        </w:rPr>
        <w:t>公众</w:t>
      </w:r>
      <w:r>
        <w:rPr>
          <w:rFonts w:hint="eastAsia" w:ascii="宋体" w:hAnsi="宋体" w:eastAsia="宋体" w:cs="宋体"/>
          <w:color w:val="auto"/>
          <w:sz w:val="24"/>
          <w:lang w:val="en-US" w:eastAsia="zh-CN"/>
        </w:rPr>
        <w:t>可以</w:t>
      </w:r>
      <w:r>
        <w:rPr>
          <w:rFonts w:hint="eastAsia" w:ascii="宋体" w:hAnsi="宋体" w:eastAsia="宋体" w:cs="宋体"/>
          <w:color w:val="auto"/>
          <w:sz w:val="24"/>
        </w:rPr>
        <w:t>通过“12369”环保举报平台参与监督，对查实的违法行为依法给予举报奖励</w:t>
      </w:r>
      <w:r>
        <w:rPr>
          <w:rFonts w:hint="eastAsia" w:ascii="宋体" w:hAnsi="宋体" w:eastAsia="宋体" w:cs="宋体"/>
          <w:color w:val="auto"/>
          <w:sz w:val="24"/>
          <w:lang w:val="en-US" w:eastAsia="zh-CN"/>
        </w:rPr>
        <w:t>等；举措应</w:t>
      </w:r>
      <w:r>
        <w:rPr>
          <w:rFonts w:hint="eastAsia" w:ascii="宋体" w:hAnsi="宋体" w:eastAsia="宋体" w:cs="宋体"/>
          <w:color w:val="auto"/>
          <w:sz w:val="24"/>
        </w:rPr>
        <w:t>切实保障饮用水水源安全，维护生态环境可持续发展。</w:t>
      </w:r>
    </w:p>
    <w:p w14:paraId="5301F25C">
      <w:pPr>
        <w:numPr>
          <w:ilvl w:val="0"/>
          <w:numId w:val="0"/>
        </w:numPr>
        <w:spacing w:line="360" w:lineRule="auto"/>
        <w:ind w:firstLine="480" w:firstLineChars="200"/>
        <w:rPr>
          <w:rFonts w:hint="eastAsia" w:ascii="宋体" w:hAnsi="宋体" w:eastAsia="宋体" w:cs="宋体"/>
          <w:color w:val="auto"/>
          <w:sz w:val="24"/>
          <w:lang w:val="en-US" w:eastAsia="zh-CN"/>
        </w:rPr>
      </w:pPr>
      <w:r>
        <w:rPr>
          <w:rFonts w:hint="eastAsia" w:ascii="宋体" w:hAnsi="宋体" w:eastAsia="宋体" w:cs="宋体"/>
          <w:color w:val="auto"/>
          <w:sz w:val="24"/>
          <w:lang w:val="en-US" w:eastAsia="zh-CN"/>
        </w:rPr>
        <w:t>考量内容：（1）项目建议书；（2）环境影响评价报告；（3）水源管理安全巡查制度（4）应急安全处置方案；（5）投诉与监督办理记录。</w:t>
      </w:r>
    </w:p>
    <w:p w14:paraId="349024A1">
      <w:pPr>
        <w:spacing w:line="360" w:lineRule="auto"/>
        <w:rPr>
          <w:rFonts w:hint="eastAsia" w:ascii="宋体" w:hAnsi="宋体" w:eastAsia="宋体" w:cs="宋体"/>
          <w:color w:val="auto"/>
          <w:sz w:val="24"/>
          <w:lang w:val="en-US" w:eastAsia="zh-CN"/>
        </w:rPr>
      </w:pPr>
      <w:r>
        <w:rPr>
          <w:rFonts w:hint="eastAsia" w:ascii="宋体" w:hAnsi="宋体" w:cs="宋体"/>
          <w:color w:val="auto"/>
          <w:sz w:val="24"/>
          <w:lang w:val="en-US" w:eastAsia="zh-CN"/>
        </w:rPr>
        <w:t>B.8</w:t>
      </w:r>
      <w:r>
        <w:rPr>
          <w:rFonts w:hint="eastAsia" w:ascii="宋体" w:hAnsi="宋体" w:eastAsia="宋体" w:cs="宋体"/>
          <w:color w:val="auto"/>
          <w:sz w:val="24"/>
          <w:lang w:val="en-US" w:eastAsia="zh-CN"/>
        </w:rPr>
        <w:t>.2本条款适用于城市供水工程运行阶段的评价。</w:t>
      </w:r>
    </w:p>
    <w:p w14:paraId="34FE6973">
      <w:pPr>
        <w:spacing w:line="360" w:lineRule="auto"/>
        <w:ind w:firstLine="480" w:firstLineChars="200"/>
        <w:rPr>
          <w:rFonts w:hint="eastAsia" w:ascii="宋体" w:hAnsi="宋体" w:eastAsia="宋体" w:cs="宋体"/>
          <w:color w:val="auto"/>
          <w:sz w:val="24"/>
          <w:lang w:eastAsia="zh-CN"/>
        </w:rPr>
      </w:pPr>
      <w:r>
        <w:rPr>
          <w:rFonts w:hint="eastAsia" w:ascii="宋体" w:hAnsi="宋体" w:eastAsia="宋体" w:cs="宋体"/>
          <w:color w:val="auto"/>
          <w:sz w:val="24"/>
          <w:lang w:val="en-US" w:eastAsia="zh-CN"/>
        </w:rPr>
        <w:t>为贯彻落实《中华人民共和国水污染防治法》《中华人民共和国水法》等法律法规，严格执行《生活饮用水卫生标准》（GB 5749-2022）、《地表水环境质量标准》（GB 3838-2002）、《地下水质量标准》（GB/T 14848-2017）等技术规范，确保供水水质安全，保障人民群众健康，制定本评分条款。本条款通过规范原水水质保护、强化水质监测与应急处置，实现从水源到用户终端的全过程水质达标管理。</w:t>
      </w:r>
      <w:r>
        <w:rPr>
          <w:rFonts w:hint="eastAsia" w:ascii="宋体" w:hAnsi="宋体" w:eastAsia="宋体" w:cs="宋体"/>
          <w:color w:val="auto"/>
          <w:sz w:val="24"/>
        </w:rPr>
        <w:t>对水源水质实施月度常规监测</w:t>
      </w:r>
      <w:r>
        <w:rPr>
          <w:rFonts w:hint="eastAsia" w:ascii="宋体" w:hAnsi="宋体" w:eastAsia="宋体" w:cs="宋体"/>
          <w:color w:val="auto"/>
          <w:sz w:val="24"/>
          <w:lang w:eastAsia="zh-CN"/>
        </w:rPr>
        <w:t>、</w:t>
      </w:r>
      <w:r>
        <w:rPr>
          <w:rFonts w:hint="eastAsia" w:ascii="宋体" w:hAnsi="宋体" w:eastAsia="宋体" w:cs="宋体"/>
          <w:color w:val="auto"/>
          <w:sz w:val="24"/>
        </w:rPr>
        <w:t>年度全分析监测，重点监控重金属、有机物等指标</w:t>
      </w:r>
      <w:r>
        <w:rPr>
          <w:rFonts w:hint="eastAsia" w:ascii="宋体" w:hAnsi="宋体" w:eastAsia="宋体" w:cs="宋体"/>
          <w:color w:val="auto"/>
          <w:sz w:val="24"/>
          <w:lang w:eastAsia="zh-CN"/>
        </w:rPr>
        <w:t>；</w:t>
      </w:r>
      <w:r>
        <w:rPr>
          <w:rFonts w:hint="eastAsia" w:ascii="宋体" w:hAnsi="宋体" w:eastAsia="宋体" w:cs="宋体"/>
          <w:color w:val="auto"/>
          <w:sz w:val="24"/>
        </w:rPr>
        <w:t>建立水质异常预警机制，配备应急物资储备，防范突发污染事件</w:t>
      </w:r>
      <w:r>
        <w:rPr>
          <w:rFonts w:hint="eastAsia" w:ascii="宋体" w:hAnsi="宋体" w:eastAsia="宋体" w:cs="宋体"/>
          <w:color w:val="auto"/>
          <w:sz w:val="24"/>
          <w:lang w:eastAsia="zh-CN"/>
        </w:rPr>
        <w:t>；</w:t>
      </w:r>
      <w:r>
        <w:rPr>
          <w:rFonts w:hint="eastAsia" w:ascii="宋体" w:hAnsi="宋体" w:eastAsia="宋体" w:cs="宋体"/>
          <w:color w:val="auto"/>
          <w:sz w:val="24"/>
          <w:lang w:val="en-US" w:eastAsia="zh-CN"/>
        </w:rPr>
        <w:t xml:space="preserve"> 建立原水水质在线监测及预警体系，发现异常时立即启动应急净化处理，确保供水水质达标。对原水水质超标、处理不达标等情况及净化处理效果进行记录和检验；供水企业定期向监管部门提交水质报告；公众和用户可通过政府门户网站查询水质检测结果；设立举报奖励机制，对查实的水质问题举报给予奖励。</w:t>
      </w:r>
    </w:p>
    <w:p w14:paraId="61D35CD1">
      <w:pPr>
        <w:numPr>
          <w:ilvl w:val="0"/>
          <w:numId w:val="0"/>
        </w:numPr>
        <w:spacing w:line="360" w:lineRule="auto"/>
        <w:ind w:firstLine="480" w:firstLineChars="200"/>
        <w:rPr>
          <w:rFonts w:hint="eastAsia" w:ascii="宋体" w:hAnsi="宋体" w:eastAsia="宋体" w:cs="宋体"/>
          <w:color w:val="auto"/>
          <w:sz w:val="24"/>
          <w:lang w:val="en-US" w:eastAsia="zh-CN"/>
        </w:rPr>
      </w:pPr>
      <w:r>
        <w:rPr>
          <w:rFonts w:hint="eastAsia" w:ascii="宋体" w:hAnsi="宋体" w:eastAsia="宋体" w:cs="宋体"/>
          <w:color w:val="auto"/>
          <w:sz w:val="24"/>
          <w:lang w:val="en-US" w:eastAsia="zh-CN"/>
        </w:rPr>
        <w:t>考量内容：（1）在线监测与预警体系建设；（2）原水水质报告；（3）净化处理与检验记录（4）应急安全处置方案；（5）投诉与监督办理记录。</w:t>
      </w:r>
    </w:p>
    <w:p w14:paraId="531546BE">
      <w:pPr>
        <w:spacing w:line="360" w:lineRule="auto"/>
        <w:rPr>
          <w:rFonts w:hint="eastAsia" w:ascii="宋体" w:hAnsi="宋体" w:eastAsia="宋体" w:cs="宋体"/>
          <w:color w:val="auto"/>
          <w:sz w:val="24"/>
          <w:lang w:val="en-US" w:eastAsia="zh-CN"/>
        </w:rPr>
      </w:pPr>
      <w:r>
        <w:rPr>
          <w:rFonts w:hint="eastAsia" w:ascii="宋体" w:hAnsi="宋体" w:cs="宋体"/>
          <w:color w:val="auto"/>
          <w:sz w:val="24"/>
          <w:lang w:val="en-US" w:eastAsia="zh-CN"/>
        </w:rPr>
        <w:t>B.8</w:t>
      </w:r>
      <w:r>
        <w:rPr>
          <w:rFonts w:hint="eastAsia" w:ascii="宋体" w:hAnsi="宋体" w:eastAsia="宋体" w:cs="宋体"/>
          <w:color w:val="auto"/>
          <w:sz w:val="24"/>
          <w:lang w:val="en-US" w:eastAsia="zh-CN"/>
        </w:rPr>
        <w:t>.3本条款适用于城市供水工程规划设计、运行阶段的评价。</w:t>
      </w:r>
    </w:p>
    <w:p w14:paraId="76305EA5">
      <w:pPr>
        <w:spacing w:line="360" w:lineRule="auto"/>
        <w:ind w:firstLine="480" w:firstLineChars="200"/>
        <w:rPr>
          <w:rFonts w:hint="eastAsia" w:ascii="宋体" w:hAnsi="宋体" w:eastAsia="宋体" w:cs="宋体"/>
          <w:color w:val="auto"/>
          <w:sz w:val="24"/>
          <w:lang w:val="en-US" w:eastAsia="zh-CN"/>
        </w:rPr>
      </w:pPr>
      <w:r>
        <w:rPr>
          <w:rFonts w:hint="eastAsia" w:ascii="宋体" w:hAnsi="宋体" w:eastAsia="宋体" w:cs="宋体"/>
          <w:color w:val="auto"/>
          <w:sz w:val="24"/>
          <w:lang w:val="en-US" w:eastAsia="zh-CN"/>
        </w:rPr>
        <w:t>为贯彻落实《中华人民共和国水污染防治法》《地下水管理条例》等法律法规，严格执行《地下水质量标准》（GB/T 14848-2017）、《饮用水水源保护区划分技术规范》（HJ 338-2018）等技术要求，强化地下水源保护的科学性与规范性，保障饮用水安全及地下水资源的可持续利用，制定本评分条款。本条款通过建立动态监测体系和科学划定防护范围，构建观测网，管理监测设备，展开常规监测与动态预警，对地下水脆弱性评价，实现数据管理与共享，鼓励公共监督与参与等措施，实现对地下水源的全方位保护。</w:t>
      </w:r>
    </w:p>
    <w:p w14:paraId="29B6B463">
      <w:pPr>
        <w:numPr>
          <w:ilvl w:val="0"/>
          <w:numId w:val="0"/>
        </w:numPr>
        <w:spacing w:line="360" w:lineRule="auto"/>
        <w:ind w:firstLine="480" w:firstLineChars="200"/>
        <w:rPr>
          <w:rFonts w:hint="eastAsia" w:ascii="宋体" w:hAnsi="宋体" w:eastAsia="宋体" w:cs="宋体"/>
          <w:color w:val="auto"/>
          <w:sz w:val="24"/>
          <w:lang w:val="en-US" w:eastAsia="zh-CN"/>
        </w:rPr>
      </w:pPr>
      <w:r>
        <w:rPr>
          <w:rFonts w:hint="eastAsia" w:ascii="宋体" w:hAnsi="宋体" w:eastAsia="宋体" w:cs="宋体"/>
          <w:color w:val="auto"/>
          <w:sz w:val="24"/>
          <w:lang w:val="en-US" w:eastAsia="zh-CN"/>
        </w:rPr>
        <w:t>考量内容：（1）物联网在线监测体系建设；（2）保护区划分文件；（3）地下水质监测记录（4）应急处置方案；（5）投诉与监督办理记录。</w:t>
      </w:r>
    </w:p>
    <w:p w14:paraId="51896D3F">
      <w:pPr>
        <w:spacing w:line="360" w:lineRule="auto"/>
        <w:rPr>
          <w:rFonts w:hint="eastAsia" w:ascii="宋体" w:hAnsi="宋体" w:eastAsia="宋体" w:cs="宋体"/>
          <w:color w:val="auto"/>
          <w:sz w:val="24"/>
          <w:lang w:val="en-US" w:eastAsia="zh-CN"/>
        </w:rPr>
      </w:pPr>
      <w:r>
        <w:rPr>
          <w:rFonts w:hint="eastAsia" w:ascii="宋体" w:hAnsi="宋体" w:cs="宋体"/>
          <w:color w:val="auto"/>
          <w:sz w:val="24"/>
          <w:lang w:val="en-US" w:eastAsia="zh-CN"/>
        </w:rPr>
        <w:t>B.8</w:t>
      </w:r>
      <w:r>
        <w:rPr>
          <w:rFonts w:hint="eastAsia" w:ascii="宋体" w:hAnsi="宋体" w:eastAsia="宋体" w:cs="宋体"/>
          <w:color w:val="auto"/>
          <w:sz w:val="24"/>
          <w:lang w:val="en-US" w:eastAsia="zh-CN"/>
        </w:rPr>
        <w:t>.4本条款适用于城市供水工程运行阶段的评价。</w:t>
      </w:r>
    </w:p>
    <w:p w14:paraId="06629150">
      <w:pPr>
        <w:spacing w:line="360" w:lineRule="auto"/>
        <w:ind w:firstLine="480" w:firstLineChars="200"/>
        <w:rPr>
          <w:rFonts w:hint="eastAsia" w:ascii="宋体" w:hAnsi="宋体" w:eastAsia="宋体" w:cs="宋体"/>
          <w:color w:val="auto"/>
          <w:sz w:val="24"/>
          <w:lang w:val="en-US" w:eastAsia="zh-CN"/>
        </w:rPr>
      </w:pPr>
      <w:r>
        <w:rPr>
          <w:rFonts w:hint="eastAsia" w:ascii="宋体" w:hAnsi="宋体" w:eastAsia="宋体" w:cs="宋体"/>
          <w:color w:val="auto"/>
          <w:sz w:val="24"/>
          <w:lang w:val="en-US" w:eastAsia="zh-CN"/>
        </w:rPr>
        <w:t>根据《生活饮用水卫生标准》（GB 5749）、《城市供水水质标准》（CJ/T 206）、《城镇供水条例》等规范要求，集中式供水单位需系统性防控取水、输水、净水、蓄水及配水全流程的污染风险，确保供水安全。水源受到来自工农业污染、非法排放、洪水倒灌、生物污染（如藻类、病原微生物）等方面威胁，应实施水源保护区管理，安装水质在线监测：在线设备实时监测、巡查与应急管理等防范措施；输水环节，应采取管道防渗漏、防腐蚀避免污水渗入，管材耐腐蚀与施工工艺，监控压力与流量，定期巡检与维护等防范措施； 净水环节，通过工艺控制保障混凝、沉淀、过滤有效，消毒剂投加适量，避免净水设备故障导致微生物或化学污染物残留；蓄水环节通过结构防护、清洗消毒、水位与停留时间控制等防范措施，防止清水池密封不严导致异物侵入，死水区滋生微生物或藻类，水池结构渗漏污染地下水等情况发生。在配水环节，通过加强管网、二次供水设施、用户端防护管理等防范措施，避免管网破损致污水倒灌，二次供水设施污染（水箱、加压泵房）；末梢水滞留导致消毒剂衰减等情况发生。针对污染事件制定应急响应方案。</w:t>
      </w:r>
    </w:p>
    <w:p w14:paraId="6EA0F8C1">
      <w:pPr>
        <w:numPr>
          <w:ilvl w:val="0"/>
          <w:numId w:val="0"/>
        </w:numPr>
        <w:spacing w:line="360" w:lineRule="auto"/>
        <w:ind w:firstLine="480" w:firstLineChars="200"/>
        <w:rPr>
          <w:rFonts w:hint="eastAsia" w:ascii="宋体" w:hAnsi="宋体" w:eastAsia="宋体" w:cs="宋体"/>
          <w:color w:val="auto"/>
          <w:sz w:val="24"/>
          <w:lang w:val="en-US" w:eastAsia="zh-CN"/>
        </w:rPr>
      </w:pPr>
      <w:r>
        <w:rPr>
          <w:rFonts w:hint="eastAsia" w:ascii="宋体" w:hAnsi="宋体" w:eastAsia="宋体" w:cs="宋体"/>
          <w:color w:val="auto"/>
          <w:sz w:val="24"/>
          <w:lang w:val="en-US" w:eastAsia="zh-CN"/>
        </w:rPr>
        <w:t>考量内容：（1）在线监测与预警体系建设；（2）净化处理与检验记录（3）巡检与维护管理制度（4）应急处置方案；（5）投诉与监督办理记录。</w:t>
      </w:r>
    </w:p>
    <w:p w14:paraId="588E99D6">
      <w:pPr>
        <w:numPr>
          <w:ilvl w:val="0"/>
          <w:numId w:val="0"/>
        </w:numPr>
        <w:spacing w:line="360" w:lineRule="auto"/>
        <w:rPr>
          <w:rFonts w:hint="eastAsia" w:ascii="宋体" w:hAnsi="宋体" w:eastAsia="宋体" w:cs="宋体"/>
          <w:color w:val="auto"/>
          <w:sz w:val="24"/>
          <w:lang w:val="en-US" w:eastAsia="zh-CN"/>
        </w:rPr>
      </w:pPr>
      <w:r>
        <w:rPr>
          <w:rFonts w:hint="eastAsia" w:ascii="宋体" w:hAnsi="宋体" w:cs="宋体"/>
          <w:color w:val="auto"/>
          <w:sz w:val="24"/>
          <w:lang w:val="en-US" w:eastAsia="zh-CN"/>
        </w:rPr>
        <w:t>B.8</w:t>
      </w:r>
      <w:r>
        <w:rPr>
          <w:rFonts w:hint="eastAsia" w:ascii="宋体" w:hAnsi="宋体" w:eastAsia="宋体" w:cs="宋体"/>
          <w:color w:val="auto"/>
          <w:sz w:val="24"/>
          <w:lang w:val="en-US" w:eastAsia="zh-CN"/>
        </w:rPr>
        <w:t>.5本条款适用于城市供水工程规划设计、运行阶段的评价。</w:t>
      </w:r>
    </w:p>
    <w:p w14:paraId="3CF7C7E9">
      <w:pPr>
        <w:numPr>
          <w:ilvl w:val="0"/>
          <w:numId w:val="0"/>
        </w:numPr>
        <w:spacing w:line="360" w:lineRule="auto"/>
        <w:ind w:firstLine="480" w:firstLineChars="200"/>
        <w:rPr>
          <w:rFonts w:hint="eastAsia" w:ascii="宋体" w:hAnsi="宋体" w:eastAsia="宋体" w:cs="宋体"/>
          <w:color w:val="auto"/>
          <w:sz w:val="24"/>
          <w:lang w:val="en-US" w:eastAsia="zh-CN"/>
        </w:rPr>
      </w:pPr>
      <w:r>
        <w:rPr>
          <w:rFonts w:hint="eastAsia" w:ascii="宋体" w:hAnsi="宋体" w:eastAsia="宋体" w:cs="宋体"/>
          <w:color w:val="auto"/>
          <w:sz w:val="24"/>
        </w:rPr>
        <w:t>根据《建筑给水排水设计标准》（GB 50015）、《二次供水工程技术规程》（CJJ 140）及《二次供水设施卫生规范》（GB 17051）等规范要求，结合水质安全保障与环境污染防控目标，制定以下污染防范措施</w:t>
      </w:r>
      <w:r>
        <w:rPr>
          <w:rFonts w:hint="eastAsia" w:ascii="宋体" w:hAnsi="宋体" w:eastAsia="宋体" w:cs="宋体"/>
          <w:color w:val="auto"/>
          <w:sz w:val="24"/>
          <w:lang w:eastAsia="zh-CN"/>
        </w:rPr>
        <w:t>，</w:t>
      </w:r>
      <w:r>
        <w:rPr>
          <w:rFonts w:hint="eastAsia" w:ascii="宋体" w:hAnsi="宋体" w:eastAsia="宋体" w:cs="宋体"/>
          <w:color w:val="auto"/>
          <w:sz w:val="24"/>
        </w:rPr>
        <w:t>通过环境控制、污染源隔离及材料安全性管理，降低生物污染与化学污染风险，保障供水水质符合《生活饮用水卫生标准》（GB 5749），实现二次供水系统全周期卫生安全。</w:t>
      </w:r>
    </w:p>
    <w:p w14:paraId="759B977E">
      <w:pPr>
        <w:numPr>
          <w:ilvl w:val="0"/>
          <w:numId w:val="0"/>
        </w:numPr>
        <w:spacing w:line="360" w:lineRule="auto"/>
        <w:ind w:firstLine="480" w:firstLineChars="200"/>
        <w:rPr>
          <w:rFonts w:hint="eastAsia" w:ascii="宋体" w:hAnsi="宋体" w:eastAsia="宋体" w:cs="宋体"/>
          <w:color w:val="auto"/>
          <w:sz w:val="24"/>
          <w:lang w:val="en-US" w:eastAsia="zh-CN"/>
        </w:rPr>
      </w:pPr>
      <w:r>
        <w:rPr>
          <w:rFonts w:hint="eastAsia" w:ascii="宋体" w:hAnsi="宋体" w:eastAsia="宋体" w:cs="宋体"/>
          <w:color w:val="auto"/>
          <w:sz w:val="24"/>
          <w:lang w:val="en-US" w:eastAsia="zh-CN"/>
        </w:rPr>
        <w:t>考量内容：（1）二次供水设施污染防控措施与制度；（2）日常运行管理记录；（3）</w:t>
      </w:r>
      <w:r>
        <w:rPr>
          <w:rFonts w:hint="eastAsia" w:ascii="宋体" w:hAnsi="宋体" w:eastAsia="宋体" w:cs="宋体"/>
          <w:color w:val="auto"/>
          <w:sz w:val="24"/>
        </w:rPr>
        <w:t>现场检查</w:t>
      </w:r>
      <w:r>
        <w:rPr>
          <w:rFonts w:hint="eastAsia" w:ascii="宋体" w:hAnsi="宋体" w:eastAsia="宋体" w:cs="宋体"/>
          <w:color w:val="auto"/>
          <w:sz w:val="24"/>
          <w:lang w:eastAsia="zh-CN"/>
        </w:rPr>
        <w:t>；（</w:t>
      </w:r>
      <w:r>
        <w:rPr>
          <w:rFonts w:hint="eastAsia" w:ascii="宋体" w:hAnsi="宋体" w:eastAsia="宋体" w:cs="宋体"/>
          <w:color w:val="auto"/>
          <w:sz w:val="24"/>
          <w:lang w:val="en-US" w:eastAsia="zh-CN"/>
        </w:rPr>
        <w:t>4</w:t>
      </w:r>
      <w:r>
        <w:rPr>
          <w:rFonts w:hint="eastAsia" w:ascii="宋体" w:hAnsi="宋体" w:eastAsia="宋体" w:cs="宋体"/>
          <w:color w:val="auto"/>
          <w:sz w:val="24"/>
          <w:lang w:eastAsia="zh-CN"/>
        </w:rPr>
        <w:t>）</w:t>
      </w:r>
      <w:r>
        <w:rPr>
          <w:rFonts w:hint="eastAsia" w:ascii="宋体" w:hAnsi="宋体" w:eastAsia="宋体" w:cs="宋体"/>
          <w:color w:val="auto"/>
          <w:sz w:val="24"/>
        </w:rPr>
        <w:t>资料核查及水质检测综合判定</w:t>
      </w:r>
      <w:r>
        <w:rPr>
          <w:rFonts w:hint="eastAsia" w:ascii="宋体" w:hAnsi="宋体" w:eastAsia="宋体" w:cs="宋体"/>
          <w:color w:val="auto"/>
          <w:sz w:val="24"/>
          <w:lang w:eastAsia="zh-CN"/>
        </w:rPr>
        <w:t>；</w:t>
      </w:r>
      <w:r>
        <w:rPr>
          <w:rFonts w:hint="eastAsia" w:ascii="宋体" w:hAnsi="宋体" w:eastAsia="宋体" w:cs="宋体"/>
          <w:color w:val="auto"/>
          <w:sz w:val="24"/>
          <w:lang w:val="en-US" w:eastAsia="zh-CN"/>
        </w:rPr>
        <w:t>（5）投诉与监督办理记录；（6）</w:t>
      </w:r>
      <w:r>
        <w:rPr>
          <w:rFonts w:hint="eastAsia" w:ascii="宋体" w:hAnsi="宋体" w:eastAsia="宋体" w:cs="宋体"/>
          <w:color w:val="auto"/>
          <w:sz w:val="24"/>
        </w:rPr>
        <w:t>特殊情况下需提供等效安全性证明</w:t>
      </w:r>
      <w:r>
        <w:rPr>
          <w:rFonts w:hint="eastAsia" w:ascii="宋体" w:hAnsi="宋体" w:eastAsia="宋体" w:cs="宋体"/>
          <w:color w:val="auto"/>
          <w:sz w:val="24"/>
          <w:lang w:val="en-US" w:eastAsia="zh-CN"/>
        </w:rPr>
        <w:t>等。</w:t>
      </w:r>
    </w:p>
    <w:p w14:paraId="78F307C9">
      <w:pPr>
        <w:numPr>
          <w:ilvl w:val="0"/>
          <w:numId w:val="0"/>
        </w:numPr>
        <w:spacing w:line="360" w:lineRule="auto"/>
        <w:rPr>
          <w:rFonts w:hint="eastAsia" w:ascii="宋体" w:hAnsi="宋体" w:eastAsia="宋体" w:cs="宋体"/>
          <w:color w:val="auto"/>
          <w:sz w:val="24"/>
          <w:lang w:val="en-US" w:eastAsia="zh-CN"/>
        </w:rPr>
      </w:pPr>
      <w:r>
        <w:rPr>
          <w:rFonts w:hint="eastAsia" w:ascii="宋体" w:hAnsi="宋体" w:cs="宋体"/>
          <w:color w:val="auto"/>
          <w:sz w:val="24"/>
          <w:lang w:val="en-US" w:eastAsia="zh-CN"/>
        </w:rPr>
        <w:t>B.8</w:t>
      </w:r>
      <w:r>
        <w:rPr>
          <w:rFonts w:hint="eastAsia" w:ascii="宋体" w:hAnsi="宋体" w:eastAsia="宋体" w:cs="宋体"/>
          <w:color w:val="auto"/>
          <w:sz w:val="24"/>
          <w:lang w:val="en-US" w:eastAsia="zh-CN"/>
        </w:rPr>
        <w:t>.6本条款适用于城市供水工程规划设计、运行阶段的评价。</w:t>
      </w:r>
    </w:p>
    <w:p w14:paraId="6DCF9442">
      <w:pPr>
        <w:numPr>
          <w:ilvl w:val="0"/>
          <w:numId w:val="0"/>
        </w:numPr>
        <w:spacing w:line="360" w:lineRule="auto"/>
        <w:ind w:firstLine="480" w:firstLineChars="200"/>
        <w:rPr>
          <w:rFonts w:hint="eastAsia" w:ascii="宋体" w:hAnsi="宋体" w:eastAsia="宋体" w:cs="宋体"/>
          <w:color w:val="auto"/>
          <w:sz w:val="24"/>
          <w:lang w:val="en-US" w:eastAsia="zh-CN"/>
        </w:rPr>
      </w:pPr>
      <w:r>
        <w:rPr>
          <w:rFonts w:hint="eastAsia" w:ascii="宋体" w:hAnsi="宋体" w:eastAsia="宋体" w:cs="宋体"/>
          <w:color w:val="auto"/>
          <w:sz w:val="24"/>
          <w:lang w:val="en-US" w:eastAsia="zh-CN"/>
        </w:rPr>
        <w:t>根据《建筑给水排水设计标准》GB 50015、《二次供水工程技术规程》CJJ 140、《紫外线消毒技术规范》GB/T 32076及《生活饮用水卫生标准》GB 5749等</w:t>
      </w:r>
      <w:r>
        <w:rPr>
          <w:rFonts w:hint="eastAsia" w:ascii="宋体" w:hAnsi="宋体" w:cs="宋体"/>
          <w:color w:val="auto"/>
          <w:sz w:val="24"/>
          <w:lang w:val="en-US" w:eastAsia="zh-CN"/>
        </w:rPr>
        <w:t>规定</w:t>
      </w:r>
      <w:r>
        <w:rPr>
          <w:rFonts w:hint="eastAsia" w:ascii="宋体" w:hAnsi="宋体" w:eastAsia="宋体" w:cs="宋体"/>
          <w:color w:val="auto"/>
          <w:sz w:val="24"/>
          <w:lang w:val="en-US" w:eastAsia="zh-CN"/>
        </w:rPr>
        <w:t>要求，通过紫外线强度物理监测与生物验证的双重保障，在确保微生物灭活效果的前提下，显著减少化学消毒剂投加量，降低三卤甲烷等有毒副产物生成风险，符合《水污染防治行动计划》中“以物理消毒替代化学消毒”的环保导向。同时，通过智能化监测与数据留痕，实现二次供水消毒系统的精细化、低碳化管理。</w:t>
      </w:r>
    </w:p>
    <w:p w14:paraId="43D7B8B6">
      <w:pPr>
        <w:numPr>
          <w:ilvl w:val="0"/>
          <w:numId w:val="0"/>
        </w:numPr>
        <w:spacing w:line="360" w:lineRule="auto"/>
        <w:ind w:firstLine="480" w:firstLineChars="200"/>
        <w:rPr>
          <w:rFonts w:hint="eastAsia" w:ascii="宋体" w:hAnsi="宋体" w:eastAsia="宋体" w:cs="宋体"/>
          <w:color w:val="auto"/>
          <w:sz w:val="24"/>
          <w:lang w:val="en-US" w:eastAsia="zh-CN"/>
        </w:rPr>
      </w:pPr>
      <w:r>
        <w:rPr>
          <w:rFonts w:hint="eastAsia" w:ascii="宋体" w:hAnsi="宋体" w:eastAsia="宋体" w:cs="宋体"/>
          <w:color w:val="auto"/>
          <w:sz w:val="24"/>
          <w:lang w:val="en-US" w:eastAsia="zh-CN"/>
        </w:rPr>
        <w:t>考量内容：（1）物联网在线监测数据报告；（2）日常运行管理记录；（3）</w:t>
      </w:r>
      <w:r>
        <w:rPr>
          <w:rFonts w:hint="eastAsia" w:ascii="宋体" w:hAnsi="宋体" w:eastAsia="宋体" w:cs="宋体"/>
          <w:color w:val="auto"/>
          <w:sz w:val="24"/>
        </w:rPr>
        <w:t>现场检查</w:t>
      </w:r>
      <w:r>
        <w:rPr>
          <w:rFonts w:hint="eastAsia" w:ascii="宋体" w:hAnsi="宋体" w:eastAsia="宋体" w:cs="宋体"/>
          <w:color w:val="auto"/>
          <w:sz w:val="24"/>
          <w:lang w:eastAsia="zh-CN"/>
        </w:rPr>
        <w:t>；（</w:t>
      </w:r>
      <w:r>
        <w:rPr>
          <w:rFonts w:hint="eastAsia" w:ascii="宋体" w:hAnsi="宋体" w:eastAsia="宋体" w:cs="宋体"/>
          <w:color w:val="auto"/>
          <w:sz w:val="24"/>
          <w:lang w:val="en-US" w:eastAsia="zh-CN"/>
        </w:rPr>
        <w:t>4</w:t>
      </w:r>
      <w:r>
        <w:rPr>
          <w:rFonts w:hint="eastAsia" w:ascii="宋体" w:hAnsi="宋体" w:eastAsia="宋体" w:cs="宋体"/>
          <w:color w:val="auto"/>
          <w:sz w:val="24"/>
          <w:lang w:eastAsia="zh-CN"/>
        </w:rPr>
        <w:t>）</w:t>
      </w:r>
      <w:r>
        <w:rPr>
          <w:rFonts w:hint="eastAsia" w:ascii="宋体" w:hAnsi="宋体" w:eastAsia="宋体" w:cs="宋体"/>
          <w:color w:val="auto"/>
          <w:sz w:val="24"/>
          <w:lang w:val="en-US" w:eastAsia="zh-CN"/>
        </w:rPr>
        <w:t>投诉与监督办理记录；（5）</w:t>
      </w:r>
      <w:r>
        <w:rPr>
          <w:rFonts w:hint="eastAsia" w:ascii="宋体" w:hAnsi="宋体" w:eastAsia="宋体" w:cs="宋体"/>
          <w:color w:val="auto"/>
          <w:sz w:val="24"/>
        </w:rPr>
        <w:t>特殊情况下需提供等效安全性证明</w:t>
      </w:r>
      <w:r>
        <w:rPr>
          <w:rFonts w:hint="eastAsia" w:ascii="宋体" w:hAnsi="宋体" w:eastAsia="宋体" w:cs="宋体"/>
          <w:color w:val="auto"/>
          <w:sz w:val="24"/>
          <w:lang w:val="en-US" w:eastAsia="zh-CN"/>
        </w:rPr>
        <w:t>等。</w:t>
      </w:r>
    </w:p>
    <w:p w14:paraId="0DA517AD">
      <w:pPr>
        <w:numPr>
          <w:ilvl w:val="0"/>
          <w:numId w:val="0"/>
        </w:numPr>
        <w:spacing w:line="360" w:lineRule="auto"/>
        <w:rPr>
          <w:rFonts w:hint="eastAsia" w:ascii="宋体" w:hAnsi="宋体" w:eastAsia="宋体" w:cs="宋体"/>
          <w:color w:val="auto"/>
          <w:sz w:val="24"/>
          <w:lang w:val="en-US" w:eastAsia="zh-CN"/>
        </w:rPr>
      </w:pPr>
      <w:r>
        <w:rPr>
          <w:rFonts w:hint="eastAsia" w:ascii="宋体" w:hAnsi="宋体" w:cs="宋体"/>
          <w:color w:val="auto"/>
          <w:sz w:val="24"/>
          <w:lang w:val="en-US" w:eastAsia="zh-CN"/>
        </w:rPr>
        <w:t>B.8</w:t>
      </w:r>
      <w:r>
        <w:rPr>
          <w:rFonts w:hint="eastAsia" w:ascii="宋体" w:hAnsi="宋体" w:eastAsia="宋体" w:cs="宋体"/>
          <w:color w:val="auto"/>
          <w:sz w:val="24"/>
          <w:lang w:val="en-US" w:eastAsia="zh-CN"/>
        </w:rPr>
        <w:t>.7本条款适用于城市供水工程规划设计、运行阶段的评价。</w:t>
      </w:r>
    </w:p>
    <w:p w14:paraId="5917B944">
      <w:pPr>
        <w:numPr>
          <w:ilvl w:val="0"/>
          <w:numId w:val="0"/>
        </w:numPr>
        <w:spacing w:line="360" w:lineRule="auto"/>
        <w:ind w:firstLine="480" w:firstLineChars="200"/>
        <w:rPr>
          <w:rFonts w:hint="eastAsia" w:ascii="宋体" w:hAnsi="宋体" w:eastAsia="宋体" w:cs="宋体"/>
          <w:color w:val="auto"/>
          <w:sz w:val="24"/>
          <w:lang w:val="en-US" w:eastAsia="zh-CN"/>
        </w:rPr>
      </w:pPr>
      <w:r>
        <w:rPr>
          <w:rFonts w:hint="eastAsia" w:ascii="宋体" w:hAnsi="宋体" w:eastAsia="宋体" w:cs="宋体"/>
          <w:color w:val="auto"/>
          <w:sz w:val="24"/>
          <w:lang w:val="en-US" w:eastAsia="zh-CN"/>
        </w:rPr>
        <w:t>根据《室外排水设计规范》（GB 50014）、《城镇给水厂污泥处理技术规程》（CJJ/T 313）、《污水综合排放标准》（GB 8978）及《水污染防治法》等法规标准要求，结合污泥减量化、无害化与资源化目标，制定污泥处理污染防控措施，通过系统化设计、脱水液严控及全过程监测，确保污泥处理环节符合《“十四五”城镇污水处理及资源化利用发展规划》中“泥水并重”要求，防范重金属渗入土壤、高盐废水破坏水体生态等环境风险，推进供水厂绿色低碳转型。</w:t>
      </w:r>
    </w:p>
    <w:p w14:paraId="186037CE">
      <w:pPr>
        <w:numPr>
          <w:ilvl w:val="0"/>
          <w:numId w:val="0"/>
        </w:numPr>
        <w:spacing w:line="360" w:lineRule="auto"/>
        <w:ind w:firstLine="480" w:firstLineChars="200"/>
        <w:rPr>
          <w:rFonts w:hint="eastAsia" w:ascii="宋体" w:hAnsi="宋体" w:eastAsia="宋体" w:cs="宋体"/>
          <w:color w:val="auto"/>
          <w:sz w:val="24"/>
          <w:lang w:val="en-US" w:eastAsia="zh-CN"/>
        </w:rPr>
      </w:pPr>
      <w:r>
        <w:rPr>
          <w:rFonts w:hint="eastAsia" w:ascii="宋体" w:hAnsi="宋体" w:eastAsia="宋体" w:cs="宋体"/>
          <w:color w:val="auto"/>
          <w:sz w:val="24"/>
          <w:lang w:val="en-US" w:eastAsia="zh-CN"/>
        </w:rPr>
        <w:t>考量内容：（1）供水厂污泥处理系统设计文件；（2）运行污染防控措施制度；（3）物联网在线监测指标数据报告；（4）排放水质达标检测报告；（5）日常运行管理记录；</w:t>
      </w:r>
      <w:r>
        <w:rPr>
          <w:rFonts w:hint="eastAsia" w:ascii="宋体" w:hAnsi="宋体" w:eastAsia="宋体" w:cs="宋体"/>
          <w:color w:val="auto"/>
          <w:sz w:val="24"/>
          <w:lang w:eastAsia="zh-CN"/>
        </w:rPr>
        <w:t>（</w:t>
      </w:r>
      <w:r>
        <w:rPr>
          <w:rFonts w:hint="eastAsia" w:ascii="宋体" w:hAnsi="宋体" w:eastAsia="宋体" w:cs="宋体"/>
          <w:color w:val="auto"/>
          <w:sz w:val="24"/>
          <w:lang w:val="en-US" w:eastAsia="zh-CN"/>
        </w:rPr>
        <w:t>6</w:t>
      </w:r>
      <w:r>
        <w:rPr>
          <w:rFonts w:hint="eastAsia" w:ascii="宋体" w:hAnsi="宋体" w:eastAsia="宋体" w:cs="宋体"/>
          <w:color w:val="auto"/>
          <w:sz w:val="24"/>
          <w:lang w:eastAsia="zh-CN"/>
        </w:rPr>
        <w:t>）</w:t>
      </w:r>
      <w:r>
        <w:rPr>
          <w:rFonts w:hint="eastAsia" w:ascii="宋体" w:hAnsi="宋体" w:eastAsia="宋体" w:cs="宋体"/>
          <w:color w:val="auto"/>
          <w:sz w:val="24"/>
        </w:rPr>
        <w:t>现场检查</w:t>
      </w:r>
      <w:r>
        <w:rPr>
          <w:rFonts w:hint="eastAsia" w:ascii="宋体" w:hAnsi="宋体" w:eastAsia="宋体" w:cs="宋体"/>
          <w:color w:val="auto"/>
          <w:sz w:val="24"/>
          <w:lang w:eastAsia="zh-CN"/>
        </w:rPr>
        <w:t>；</w:t>
      </w:r>
      <w:r>
        <w:rPr>
          <w:rFonts w:hint="eastAsia" w:ascii="宋体" w:hAnsi="宋体" w:eastAsia="宋体" w:cs="宋体"/>
          <w:color w:val="auto"/>
          <w:sz w:val="24"/>
          <w:lang w:val="en-US" w:eastAsia="zh-CN"/>
        </w:rPr>
        <w:t>（7）</w:t>
      </w:r>
      <w:r>
        <w:rPr>
          <w:rFonts w:hint="eastAsia" w:ascii="宋体" w:hAnsi="宋体" w:eastAsia="宋体" w:cs="宋体"/>
          <w:color w:val="auto"/>
          <w:sz w:val="24"/>
        </w:rPr>
        <w:t>资料核查及水质检测综合判定</w:t>
      </w:r>
      <w:r>
        <w:rPr>
          <w:rFonts w:hint="eastAsia" w:ascii="宋体" w:hAnsi="宋体" w:eastAsia="宋体" w:cs="宋体"/>
          <w:color w:val="auto"/>
          <w:sz w:val="24"/>
          <w:lang w:eastAsia="zh-CN"/>
        </w:rPr>
        <w:t>；</w:t>
      </w:r>
      <w:r>
        <w:rPr>
          <w:rFonts w:hint="eastAsia" w:ascii="宋体" w:hAnsi="宋体" w:eastAsia="宋体" w:cs="宋体"/>
          <w:color w:val="auto"/>
          <w:sz w:val="24"/>
          <w:lang w:val="en-US" w:eastAsia="zh-CN"/>
        </w:rPr>
        <w:t>（8）投诉与监督办理记录；（9）</w:t>
      </w:r>
      <w:r>
        <w:rPr>
          <w:rFonts w:hint="eastAsia" w:ascii="宋体" w:hAnsi="宋体" w:eastAsia="宋体" w:cs="宋体"/>
          <w:color w:val="auto"/>
          <w:sz w:val="24"/>
        </w:rPr>
        <w:t>特殊情况下需提供等效安全性证明</w:t>
      </w:r>
      <w:r>
        <w:rPr>
          <w:rFonts w:hint="eastAsia" w:ascii="宋体" w:hAnsi="宋体" w:eastAsia="宋体" w:cs="宋体"/>
          <w:color w:val="auto"/>
          <w:sz w:val="24"/>
          <w:lang w:val="en-US" w:eastAsia="zh-CN"/>
        </w:rPr>
        <w:t>等。</w:t>
      </w:r>
    </w:p>
    <w:p w14:paraId="61510A83">
      <w:pPr>
        <w:numPr>
          <w:ilvl w:val="0"/>
          <w:numId w:val="0"/>
        </w:numPr>
        <w:spacing w:line="360" w:lineRule="auto"/>
        <w:ind w:leftChars="0"/>
        <w:rPr>
          <w:rFonts w:hint="eastAsia" w:ascii="宋体" w:hAnsi="宋体" w:eastAsia="宋体" w:cs="宋体"/>
          <w:color w:val="auto"/>
          <w:sz w:val="24"/>
          <w:lang w:val="en-US" w:eastAsia="zh-CN"/>
        </w:rPr>
      </w:pPr>
      <w:r>
        <w:rPr>
          <w:rFonts w:hint="eastAsia" w:ascii="宋体" w:hAnsi="宋体" w:cs="宋体"/>
          <w:color w:val="auto"/>
          <w:sz w:val="24"/>
          <w:lang w:val="en-US" w:eastAsia="zh-CN"/>
        </w:rPr>
        <w:t>B.8</w:t>
      </w:r>
      <w:r>
        <w:rPr>
          <w:rFonts w:hint="eastAsia" w:ascii="宋体" w:hAnsi="宋体" w:eastAsia="宋体" w:cs="宋体"/>
          <w:color w:val="auto"/>
          <w:sz w:val="24"/>
          <w:lang w:val="en-US" w:eastAsia="zh-CN"/>
        </w:rPr>
        <w:t>.</w:t>
      </w:r>
      <w:r>
        <w:rPr>
          <w:rFonts w:hint="eastAsia" w:ascii="宋体" w:hAnsi="宋体" w:cs="宋体"/>
          <w:color w:val="auto"/>
          <w:sz w:val="24"/>
          <w:lang w:val="en-US" w:eastAsia="zh-CN"/>
        </w:rPr>
        <w:t>8</w:t>
      </w:r>
      <w:r>
        <w:rPr>
          <w:rFonts w:hint="eastAsia" w:ascii="宋体" w:hAnsi="宋体" w:eastAsia="宋体" w:cs="宋体"/>
          <w:color w:val="auto"/>
          <w:sz w:val="24"/>
          <w:lang w:val="en-US" w:eastAsia="zh-CN"/>
        </w:rPr>
        <w:t xml:space="preserve"> 本条款适用于城市供水工程规划设计、运行阶段的评价。</w:t>
      </w:r>
    </w:p>
    <w:p w14:paraId="0919656D">
      <w:pPr>
        <w:numPr>
          <w:ilvl w:val="0"/>
          <w:numId w:val="0"/>
        </w:numPr>
        <w:spacing w:line="360" w:lineRule="auto"/>
        <w:ind w:leftChars="0" w:firstLine="480" w:firstLineChars="200"/>
        <w:rPr>
          <w:rFonts w:hint="eastAsia" w:ascii="宋体" w:hAnsi="宋体" w:eastAsia="宋体" w:cs="宋体"/>
          <w:color w:val="auto"/>
          <w:sz w:val="24"/>
        </w:rPr>
      </w:pPr>
      <w:r>
        <w:rPr>
          <w:rFonts w:hint="eastAsia" w:ascii="宋体" w:hAnsi="宋体" w:eastAsia="宋体" w:cs="宋体"/>
          <w:color w:val="auto"/>
          <w:sz w:val="24"/>
        </w:rPr>
        <w:t>根据《城镇供水管网运行、维护及安全技术规程》（CJJ 207-2013）、《泵站设计规范》（GB 50265-2022）、《建筑给水排水设计标准》（GB 50015-2019）及《城镇供水管网漏损控制及评定标准》（CJJ 92-2016）等规范要求，结合“双碳”目标与供水系统节能降耗需求</w:t>
      </w:r>
      <w:r>
        <w:rPr>
          <w:rFonts w:hint="eastAsia" w:ascii="宋体" w:hAnsi="宋体" w:eastAsia="宋体" w:cs="宋体"/>
          <w:color w:val="auto"/>
          <w:sz w:val="24"/>
          <w:lang w:eastAsia="zh-CN"/>
        </w:rPr>
        <w:t>，</w:t>
      </w:r>
      <w:r>
        <w:rPr>
          <w:rFonts w:hint="eastAsia" w:ascii="宋体" w:hAnsi="宋体" w:eastAsia="宋体" w:cs="宋体"/>
          <w:color w:val="auto"/>
          <w:sz w:val="24"/>
        </w:rPr>
        <w:t>通过水力模型精准调控与中途泵站分级加压，可降低管网平均运行压力10%~20%，减少无效扬程导致的电耗浪费，符合《国家节水行动方案》中“降低供水管网漏损和能耗”要求</w:t>
      </w:r>
      <w:r>
        <w:rPr>
          <w:rFonts w:hint="eastAsia" w:ascii="宋体" w:hAnsi="宋体" w:eastAsia="宋体" w:cs="宋体"/>
          <w:color w:val="auto"/>
          <w:sz w:val="24"/>
          <w:lang w:eastAsia="zh-CN"/>
        </w:rPr>
        <w:t>，</w:t>
      </w:r>
      <w:r>
        <w:rPr>
          <w:rFonts w:hint="eastAsia" w:ascii="宋体" w:hAnsi="宋体" w:eastAsia="宋体" w:cs="宋体"/>
          <w:color w:val="auto"/>
          <w:sz w:val="24"/>
        </w:rPr>
        <w:t>兼具经济效益与环境效益。</w:t>
      </w:r>
    </w:p>
    <w:p w14:paraId="58B7B8A7">
      <w:pPr>
        <w:numPr>
          <w:ilvl w:val="0"/>
          <w:numId w:val="0"/>
        </w:numPr>
        <w:spacing w:line="360" w:lineRule="auto"/>
        <w:ind w:leftChars="0" w:firstLine="480" w:firstLineChars="200"/>
        <w:rPr>
          <w:rFonts w:hint="eastAsia" w:ascii="宋体" w:hAnsi="宋体" w:eastAsia="宋体" w:cs="宋体"/>
          <w:color w:val="auto"/>
          <w:sz w:val="24"/>
        </w:rPr>
      </w:pPr>
      <w:r>
        <w:rPr>
          <w:rFonts w:hint="eastAsia" w:ascii="宋体" w:hAnsi="宋体" w:eastAsia="宋体" w:cs="宋体"/>
          <w:color w:val="auto"/>
          <w:sz w:val="24"/>
          <w:lang w:val="en-US" w:eastAsia="zh-CN"/>
        </w:rPr>
        <w:t>考量内容：（1）供水企业</w:t>
      </w:r>
      <w:r>
        <w:rPr>
          <w:rFonts w:hint="eastAsia" w:ascii="宋体" w:hAnsi="宋体" w:eastAsia="宋体" w:cs="宋体"/>
          <w:color w:val="auto"/>
          <w:sz w:val="24"/>
        </w:rPr>
        <w:t>管网运行智能调度</w:t>
      </w:r>
      <w:r>
        <w:rPr>
          <w:rFonts w:hint="eastAsia" w:ascii="宋体" w:hAnsi="宋体" w:eastAsia="宋体" w:cs="宋体"/>
          <w:color w:val="auto"/>
          <w:sz w:val="24"/>
          <w:lang w:val="en-US" w:eastAsia="zh-CN"/>
        </w:rPr>
        <w:t>系统；（2）运行措施管理制度；（3）泵站节能设计文件；（4）多级泵站水力平衡调试机率；（5）日常运行管理记录；（6）投诉与监督办理记录。</w:t>
      </w:r>
    </w:p>
    <w:p w14:paraId="1DE2B2DA">
      <w:pPr>
        <w:spacing w:line="360" w:lineRule="auto"/>
        <w:rPr>
          <w:rFonts w:hint="eastAsia" w:ascii="宋体" w:hAnsi="宋体" w:eastAsia="宋体" w:cs="宋体"/>
          <w:color w:val="auto"/>
          <w:sz w:val="24"/>
          <w:lang w:val="en-US" w:eastAsia="zh-CN"/>
        </w:rPr>
      </w:pPr>
      <w:r>
        <w:rPr>
          <w:rFonts w:hint="eastAsia" w:ascii="宋体" w:hAnsi="宋体" w:cs="宋体"/>
          <w:color w:val="auto"/>
          <w:sz w:val="24"/>
          <w:lang w:val="en-US" w:eastAsia="zh-CN"/>
        </w:rPr>
        <w:t>B.8</w:t>
      </w:r>
      <w:r>
        <w:rPr>
          <w:rFonts w:hint="eastAsia" w:ascii="宋体" w:hAnsi="宋体" w:eastAsia="宋体" w:cs="宋体"/>
          <w:color w:val="auto"/>
          <w:sz w:val="24"/>
          <w:lang w:val="en-US" w:eastAsia="zh-CN"/>
        </w:rPr>
        <w:t>.</w:t>
      </w:r>
      <w:r>
        <w:rPr>
          <w:rFonts w:hint="eastAsia" w:ascii="宋体" w:hAnsi="宋体" w:cs="宋体"/>
          <w:color w:val="auto"/>
          <w:sz w:val="24"/>
          <w:lang w:val="en-US" w:eastAsia="zh-CN"/>
        </w:rPr>
        <w:t>9</w:t>
      </w:r>
      <w:r>
        <w:rPr>
          <w:rFonts w:hint="eastAsia" w:ascii="宋体" w:hAnsi="宋体" w:eastAsia="宋体" w:cs="宋体"/>
          <w:color w:val="auto"/>
          <w:sz w:val="24"/>
          <w:lang w:val="en-US" w:eastAsia="zh-CN"/>
        </w:rPr>
        <w:t>本条款适用于城市供水工程运行阶段的评价。</w:t>
      </w:r>
    </w:p>
    <w:p w14:paraId="33609587">
      <w:pPr>
        <w:spacing w:line="360" w:lineRule="auto"/>
        <w:ind w:firstLine="480" w:firstLineChars="200"/>
        <w:rPr>
          <w:rFonts w:hint="eastAsia" w:ascii="宋体" w:hAnsi="宋体" w:eastAsia="宋体" w:cs="宋体"/>
          <w:color w:val="auto"/>
          <w:sz w:val="24"/>
          <w:lang w:eastAsia="zh-CN"/>
        </w:rPr>
      </w:pPr>
      <w:r>
        <w:rPr>
          <w:rFonts w:hint="eastAsia" w:ascii="宋体" w:hAnsi="宋体" w:eastAsia="宋体" w:cs="宋体"/>
          <w:color w:val="auto"/>
          <w:sz w:val="24"/>
          <w:lang w:eastAsia="zh-CN"/>
        </w:rPr>
        <w:t>本条文依据《城镇供水管网漏损控制及评定标准》（CJJ92-2016）要求，对供水管网漏损控制提出系统性要求。明确</w:t>
      </w:r>
      <w:r>
        <w:rPr>
          <w:rFonts w:hint="eastAsia" w:ascii="宋体" w:hAnsi="宋体" w:eastAsia="宋体" w:cs="宋体"/>
          <w:color w:val="auto"/>
          <w:sz w:val="24"/>
          <w:lang w:val="en-US" w:eastAsia="zh-CN"/>
        </w:rPr>
        <w:t>了</w:t>
      </w:r>
      <w:r>
        <w:rPr>
          <w:rFonts w:hint="eastAsia" w:ascii="宋体" w:hAnsi="宋体" w:eastAsia="宋体" w:cs="宋体"/>
          <w:color w:val="auto"/>
          <w:sz w:val="24"/>
          <w:lang w:eastAsia="zh-CN"/>
        </w:rPr>
        <w:t>管网漏损率应分级控制（一级≤8%、二级≤10%、三级≤12%），并规定必须采取分区计量管理、压力调控和计量损失控制等综合措施：分区管理需建立三级计量体系并配备在线监测设备；压力调控要求将管网压力控制在0.14-0.35MPa合理区间，设置减压设施控制压力波动在±5%以内；计量管理严格执行水表周期更换和检定制度。通过优化管网运行压力，可有效降低漏失水量30%以上，同时减少爆管事故40%以上，从而避免因管道破裂造成的水资源浪费和道路塌陷、地下水污染等环境问题。条文还要求建立包括漏损率指标（40%）、分区管理（20%）、压力调控（20%）和计量管理（20%）的量化考核体系，确保各项措施落实到位，实现《水污染防治行动计划》提出的节水减污目标。</w:t>
      </w:r>
    </w:p>
    <w:p w14:paraId="5255BC0F">
      <w:pPr>
        <w:numPr>
          <w:ilvl w:val="0"/>
          <w:numId w:val="0"/>
        </w:numPr>
        <w:spacing w:line="360" w:lineRule="auto"/>
        <w:ind w:leftChars="0" w:firstLine="480" w:firstLineChars="200"/>
        <w:rPr>
          <w:rFonts w:hint="eastAsia" w:ascii="宋体" w:hAnsi="宋体" w:eastAsia="宋体" w:cs="宋体"/>
          <w:color w:val="auto"/>
          <w:sz w:val="24"/>
          <w:lang w:val="en-US" w:eastAsia="zh-CN"/>
        </w:rPr>
      </w:pPr>
      <w:r>
        <w:rPr>
          <w:rFonts w:hint="eastAsia" w:ascii="宋体" w:hAnsi="宋体" w:eastAsia="宋体" w:cs="宋体"/>
          <w:color w:val="auto"/>
          <w:sz w:val="24"/>
          <w:lang w:val="en-US" w:eastAsia="zh-CN"/>
        </w:rPr>
        <w:t>考量内容：（1）供水企业</w:t>
      </w:r>
      <w:r>
        <w:rPr>
          <w:rFonts w:hint="eastAsia" w:ascii="宋体" w:hAnsi="宋体" w:eastAsia="宋体" w:cs="宋体"/>
          <w:color w:val="auto"/>
          <w:sz w:val="24"/>
        </w:rPr>
        <w:t>管网运行智能调度</w:t>
      </w:r>
      <w:r>
        <w:rPr>
          <w:rFonts w:hint="eastAsia" w:ascii="宋体" w:hAnsi="宋体" w:eastAsia="宋体" w:cs="宋体"/>
          <w:color w:val="auto"/>
          <w:sz w:val="24"/>
          <w:lang w:val="en-US" w:eastAsia="zh-CN"/>
        </w:rPr>
        <w:t>系统；（2）供水管网漏损控制运行管理制度；（3）日常运行管理记录；（4）投诉与监督办理记录。</w:t>
      </w:r>
    </w:p>
    <w:p w14:paraId="4F54E7BC">
      <w:pPr>
        <w:spacing w:line="360" w:lineRule="auto"/>
        <w:rPr>
          <w:rFonts w:hint="eastAsia" w:ascii="宋体" w:hAnsi="宋体" w:eastAsia="宋体" w:cs="宋体"/>
          <w:color w:val="auto"/>
          <w:sz w:val="24"/>
          <w:lang w:val="en-US" w:eastAsia="zh-CN"/>
        </w:rPr>
      </w:pPr>
      <w:r>
        <w:rPr>
          <w:rFonts w:hint="eastAsia" w:ascii="宋体" w:hAnsi="宋体" w:cs="宋体"/>
          <w:color w:val="auto"/>
          <w:sz w:val="24"/>
          <w:lang w:val="en-US" w:eastAsia="zh-CN"/>
        </w:rPr>
        <w:t>B.8</w:t>
      </w:r>
      <w:r>
        <w:rPr>
          <w:rFonts w:hint="eastAsia" w:ascii="宋体" w:hAnsi="宋体" w:eastAsia="宋体" w:cs="宋体"/>
          <w:color w:val="auto"/>
          <w:sz w:val="24"/>
          <w:lang w:val="en-US" w:eastAsia="zh-CN"/>
        </w:rPr>
        <w:t>.</w:t>
      </w:r>
      <w:r>
        <w:rPr>
          <w:rFonts w:hint="eastAsia" w:ascii="宋体" w:hAnsi="宋体" w:cs="宋体"/>
          <w:color w:val="auto"/>
          <w:sz w:val="24"/>
          <w:lang w:val="en-US" w:eastAsia="zh-CN"/>
        </w:rPr>
        <w:t>10</w:t>
      </w:r>
      <w:r>
        <w:rPr>
          <w:rFonts w:hint="eastAsia" w:ascii="宋体" w:hAnsi="宋体" w:eastAsia="宋体" w:cs="宋体"/>
          <w:color w:val="auto"/>
          <w:sz w:val="24"/>
          <w:lang w:val="en-US" w:eastAsia="zh-CN"/>
        </w:rPr>
        <w:t>本条款适用于城市供水工程规划设计阶段的评价。</w:t>
      </w:r>
    </w:p>
    <w:p w14:paraId="1D85D3CB">
      <w:pPr>
        <w:spacing w:line="360" w:lineRule="auto"/>
        <w:ind w:firstLine="480" w:firstLineChars="200"/>
        <w:rPr>
          <w:rFonts w:hint="eastAsia" w:ascii="宋体" w:hAnsi="宋体" w:eastAsia="宋体" w:cs="宋体"/>
          <w:color w:val="auto"/>
          <w:sz w:val="24"/>
          <w:lang w:eastAsia="zh-CN"/>
        </w:rPr>
      </w:pPr>
      <w:r>
        <w:rPr>
          <w:rFonts w:hint="eastAsia" w:ascii="宋体" w:hAnsi="宋体" w:eastAsia="宋体" w:cs="宋体"/>
          <w:color w:val="auto"/>
          <w:sz w:val="24"/>
          <w:lang w:eastAsia="zh-CN"/>
        </w:rPr>
        <w:t>本条款依据《建筑给水排水设计规范》（GB 50015-2019）第3.3.10条及《二次供水工程技术规程》（CJJ 140-2020）第4.3节</w:t>
      </w:r>
      <w:r>
        <w:rPr>
          <w:rFonts w:hint="eastAsia" w:ascii="宋体" w:hAnsi="宋体" w:eastAsia="宋体" w:cs="宋体"/>
          <w:color w:val="auto"/>
          <w:sz w:val="24"/>
          <w:lang w:val="en-US" w:eastAsia="zh-CN"/>
        </w:rPr>
        <w:t>内容</w:t>
      </w:r>
      <w:r>
        <w:rPr>
          <w:rFonts w:hint="eastAsia" w:ascii="宋体" w:hAnsi="宋体" w:eastAsia="宋体" w:cs="宋体"/>
          <w:color w:val="auto"/>
          <w:sz w:val="24"/>
          <w:lang w:eastAsia="zh-CN"/>
        </w:rPr>
        <w:t>，对二次供水设施提出节水与防污染设计</w:t>
      </w:r>
      <w:r>
        <w:rPr>
          <w:rFonts w:hint="eastAsia" w:ascii="宋体" w:hAnsi="宋体" w:eastAsia="宋体" w:cs="宋体"/>
          <w:color w:val="auto"/>
          <w:sz w:val="24"/>
          <w:lang w:val="en-US" w:eastAsia="zh-CN"/>
        </w:rPr>
        <w:t>与实施要求。</w:t>
      </w:r>
      <w:r>
        <w:rPr>
          <w:rFonts w:hint="eastAsia" w:ascii="宋体" w:hAnsi="宋体" w:eastAsia="宋体" w:cs="宋体"/>
          <w:color w:val="auto"/>
          <w:sz w:val="24"/>
          <w:lang w:eastAsia="zh-CN"/>
        </w:rPr>
        <w:t>二次供水设施的合理设置对于减少水资源浪费至关重要，这些措施共同作用，有助于提高二次供水系统的水资源利用效率，减少不必要的水资源浪费。</w:t>
      </w:r>
    </w:p>
    <w:p w14:paraId="2536CD1F">
      <w:pPr>
        <w:numPr>
          <w:ilvl w:val="0"/>
          <w:numId w:val="0"/>
        </w:numPr>
        <w:spacing w:line="360" w:lineRule="auto"/>
        <w:ind w:firstLine="480" w:firstLineChars="200"/>
        <w:rPr>
          <w:rFonts w:hint="eastAsia" w:ascii="宋体" w:hAnsi="宋体" w:eastAsia="宋体" w:cs="宋体"/>
          <w:color w:val="auto"/>
          <w:sz w:val="24"/>
          <w:lang w:val="en-US" w:eastAsia="zh-CN"/>
        </w:rPr>
      </w:pPr>
      <w:r>
        <w:rPr>
          <w:rFonts w:hint="eastAsia" w:ascii="宋体" w:hAnsi="宋体" w:eastAsia="宋体" w:cs="宋体"/>
          <w:color w:val="auto"/>
          <w:sz w:val="24"/>
          <w:lang w:val="en-US" w:eastAsia="zh-CN"/>
        </w:rPr>
        <w:t>考量内容：（1）二次供水设施系统设计文件；（2）运行污染防控措施制度；（3）日常运行管理记录；</w:t>
      </w:r>
      <w:r>
        <w:rPr>
          <w:rFonts w:hint="eastAsia" w:ascii="宋体" w:hAnsi="宋体" w:eastAsia="宋体" w:cs="宋体"/>
          <w:color w:val="auto"/>
          <w:sz w:val="24"/>
          <w:lang w:eastAsia="zh-CN"/>
        </w:rPr>
        <w:t>（</w:t>
      </w:r>
      <w:r>
        <w:rPr>
          <w:rFonts w:hint="eastAsia" w:ascii="宋体" w:hAnsi="宋体" w:eastAsia="宋体" w:cs="宋体"/>
          <w:color w:val="auto"/>
          <w:sz w:val="24"/>
          <w:lang w:val="en-US" w:eastAsia="zh-CN"/>
        </w:rPr>
        <w:t>4</w:t>
      </w:r>
      <w:r>
        <w:rPr>
          <w:rFonts w:hint="eastAsia" w:ascii="宋体" w:hAnsi="宋体" w:eastAsia="宋体" w:cs="宋体"/>
          <w:color w:val="auto"/>
          <w:sz w:val="24"/>
          <w:lang w:eastAsia="zh-CN"/>
        </w:rPr>
        <w:t>）</w:t>
      </w:r>
      <w:r>
        <w:rPr>
          <w:rFonts w:hint="eastAsia" w:ascii="宋体" w:hAnsi="宋体" w:eastAsia="宋体" w:cs="宋体"/>
          <w:color w:val="auto"/>
          <w:sz w:val="24"/>
        </w:rPr>
        <w:t>现场检查</w:t>
      </w:r>
      <w:r>
        <w:rPr>
          <w:rFonts w:hint="eastAsia" w:ascii="宋体" w:hAnsi="宋体" w:eastAsia="宋体" w:cs="宋体"/>
          <w:color w:val="auto"/>
          <w:sz w:val="24"/>
          <w:lang w:val="en-US" w:eastAsia="zh-CN"/>
        </w:rPr>
        <w:t>记录</w:t>
      </w:r>
      <w:r>
        <w:rPr>
          <w:rFonts w:hint="eastAsia" w:ascii="宋体" w:hAnsi="宋体" w:eastAsia="宋体" w:cs="宋体"/>
          <w:color w:val="auto"/>
          <w:sz w:val="24"/>
          <w:lang w:eastAsia="zh-CN"/>
        </w:rPr>
        <w:t>；</w:t>
      </w:r>
      <w:r>
        <w:rPr>
          <w:rFonts w:hint="eastAsia" w:ascii="宋体" w:hAnsi="宋体" w:eastAsia="宋体" w:cs="宋体"/>
          <w:color w:val="auto"/>
          <w:sz w:val="24"/>
          <w:lang w:val="en-US" w:eastAsia="zh-CN"/>
        </w:rPr>
        <w:t>（5）投诉与监督办理记录；（6）</w:t>
      </w:r>
      <w:r>
        <w:rPr>
          <w:rFonts w:hint="eastAsia" w:ascii="宋体" w:hAnsi="宋体" w:eastAsia="宋体" w:cs="宋体"/>
          <w:color w:val="auto"/>
          <w:sz w:val="24"/>
        </w:rPr>
        <w:t>特殊情况下需提供等效安全性证明</w:t>
      </w:r>
      <w:r>
        <w:rPr>
          <w:rFonts w:hint="eastAsia" w:ascii="宋体" w:hAnsi="宋体" w:eastAsia="宋体" w:cs="宋体"/>
          <w:color w:val="auto"/>
          <w:sz w:val="24"/>
          <w:lang w:val="en-US" w:eastAsia="zh-CN"/>
        </w:rPr>
        <w:t>等。</w:t>
      </w:r>
    </w:p>
    <w:p w14:paraId="16F3202C">
      <w:pPr>
        <w:spacing w:line="360" w:lineRule="auto"/>
        <w:rPr>
          <w:rFonts w:hint="eastAsia" w:ascii="宋体" w:hAnsi="宋体" w:eastAsia="宋体" w:cs="宋体"/>
          <w:color w:val="auto"/>
          <w:sz w:val="24"/>
          <w:lang w:val="en-US" w:eastAsia="zh-CN"/>
        </w:rPr>
      </w:pPr>
      <w:r>
        <w:rPr>
          <w:rFonts w:hint="eastAsia" w:ascii="宋体" w:hAnsi="宋体" w:cs="宋体"/>
          <w:color w:val="auto"/>
          <w:sz w:val="24"/>
          <w:lang w:val="en-US" w:eastAsia="zh-CN"/>
        </w:rPr>
        <w:t>B.8</w:t>
      </w:r>
      <w:r>
        <w:rPr>
          <w:rFonts w:hint="eastAsia" w:ascii="宋体" w:hAnsi="宋体" w:eastAsia="宋体" w:cs="宋体"/>
          <w:color w:val="auto"/>
          <w:sz w:val="24"/>
          <w:lang w:val="en-US" w:eastAsia="zh-CN"/>
        </w:rPr>
        <w:t>.</w:t>
      </w:r>
      <w:r>
        <w:rPr>
          <w:rFonts w:hint="eastAsia" w:ascii="宋体" w:hAnsi="宋体" w:cs="宋体"/>
          <w:color w:val="auto"/>
          <w:sz w:val="24"/>
          <w:lang w:val="en-US" w:eastAsia="zh-CN"/>
        </w:rPr>
        <w:t>11</w:t>
      </w:r>
      <w:r>
        <w:rPr>
          <w:rFonts w:hint="eastAsia" w:ascii="宋体" w:hAnsi="宋体" w:eastAsia="宋体" w:cs="宋体"/>
          <w:color w:val="auto"/>
          <w:sz w:val="24"/>
          <w:lang w:val="en-US" w:eastAsia="zh-CN"/>
        </w:rPr>
        <w:t xml:space="preserve"> 本条款适用于城市供水工程规划设计、施工建造阶段的评价。</w:t>
      </w:r>
    </w:p>
    <w:p w14:paraId="71312D8D">
      <w:pPr>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rPr>
        <w:t>本条款依据《生活饮用水输配水设备及防护材料的安全性评价标准》GB/T 17219-2021、《给水排水管道工程施工及验收规范》GB 50268-2020及《埋地塑料给水管道工程技术规程》CJJ 101-2016等规范制定，明确给水管道材料选用要求，</w:t>
      </w:r>
      <w:r>
        <w:rPr>
          <w:rFonts w:hint="eastAsia" w:ascii="宋体" w:hAnsi="宋体" w:eastAsia="宋体" w:cs="宋体"/>
          <w:color w:val="auto"/>
          <w:sz w:val="24"/>
          <w:lang w:val="en-US" w:eastAsia="zh-CN"/>
        </w:rPr>
        <w:t>包括：</w:t>
      </w:r>
      <w:r>
        <w:rPr>
          <w:rFonts w:hint="eastAsia" w:ascii="宋体" w:hAnsi="宋体" w:eastAsia="宋体" w:cs="宋体"/>
          <w:color w:val="auto"/>
          <w:sz w:val="24"/>
        </w:rPr>
        <w:t>卫生性能</w:t>
      </w:r>
      <w:r>
        <w:rPr>
          <w:rFonts w:hint="eastAsia" w:ascii="宋体" w:hAnsi="宋体" w:eastAsia="宋体" w:cs="宋体"/>
          <w:color w:val="auto"/>
          <w:sz w:val="24"/>
          <w:lang w:eastAsia="zh-CN"/>
        </w:rPr>
        <w:t>、</w:t>
      </w:r>
      <w:r>
        <w:rPr>
          <w:rFonts w:hint="eastAsia" w:ascii="宋体" w:hAnsi="宋体" w:eastAsia="宋体" w:cs="宋体"/>
          <w:color w:val="auto"/>
          <w:sz w:val="24"/>
        </w:rPr>
        <w:t>耐腐蚀性与寿命</w:t>
      </w:r>
      <w:r>
        <w:rPr>
          <w:rFonts w:hint="eastAsia" w:ascii="宋体" w:hAnsi="宋体" w:eastAsia="宋体" w:cs="宋体"/>
          <w:color w:val="auto"/>
          <w:sz w:val="24"/>
          <w:lang w:eastAsia="zh-CN"/>
        </w:rPr>
        <w:t>、</w:t>
      </w:r>
      <w:r>
        <w:rPr>
          <w:rFonts w:hint="eastAsia" w:ascii="宋体" w:hAnsi="宋体" w:eastAsia="宋体" w:cs="宋体"/>
          <w:color w:val="auto"/>
          <w:sz w:val="24"/>
        </w:rPr>
        <w:t>环保连接工艺</w:t>
      </w:r>
      <w:r>
        <w:rPr>
          <w:rFonts w:hint="eastAsia" w:ascii="宋体" w:hAnsi="宋体" w:eastAsia="宋体" w:cs="宋体"/>
          <w:color w:val="auto"/>
          <w:sz w:val="24"/>
          <w:lang w:eastAsia="zh-CN"/>
        </w:rPr>
        <w:t>、</w:t>
      </w:r>
      <w:r>
        <w:rPr>
          <w:rFonts w:hint="eastAsia" w:ascii="宋体" w:hAnsi="宋体" w:eastAsia="宋体" w:cs="宋体"/>
          <w:color w:val="auto"/>
          <w:sz w:val="24"/>
        </w:rPr>
        <w:t>综合性能优化</w:t>
      </w:r>
      <w:r>
        <w:rPr>
          <w:rFonts w:hint="eastAsia" w:ascii="宋体" w:hAnsi="宋体" w:eastAsia="宋体" w:cs="宋体"/>
          <w:color w:val="auto"/>
          <w:sz w:val="24"/>
          <w:lang w:val="en-US" w:eastAsia="zh-CN"/>
        </w:rPr>
        <w:t>等</w:t>
      </w:r>
      <w:r>
        <w:rPr>
          <w:rFonts w:hint="eastAsia" w:ascii="宋体" w:hAnsi="宋体" w:eastAsia="宋体" w:cs="宋体"/>
          <w:color w:val="auto"/>
          <w:sz w:val="24"/>
          <w:lang w:eastAsia="zh-CN"/>
        </w:rPr>
        <w:t>，</w:t>
      </w:r>
      <w:r>
        <w:rPr>
          <w:rFonts w:hint="eastAsia" w:ascii="宋体" w:hAnsi="宋体" w:eastAsia="宋体" w:cs="宋体"/>
          <w:color w:val="auto"/>
          <w:sz w:val="24"/>
        </w:rPr>
        <w:t>实现管道系统安全、高效、低碳运行，符合《水污染防治法》及《城镇节水工作指南》的环保与资源节约要求。</w:t>
      </w:r>
    </w:p>
    <w:p w14:paraId="0B5C0709">
      <w:pPr>
        <w:numPr>
          <w:ilvl w:val="0"/>
          <w:numId w:val="0"/>
        </w:numPr>
        <w:spacing w:line="360" w:lineRule="auto"/>
        <w:ind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考量内容：（1）给水管道系统设计文件；（2）采购产品性能指标要求的招标文件；（3）产品出厂合格证；（4）产品性能检测报告；（5）施工验收文件；</w:t>
      </w:r>
    </w:p>
    <w:p w14:paraId="4856B222">
      <w:pPr>
        <w:spacing w:line="360" w:lineRule="auto"/>
        <w:rPr>
          <w:rFonts w:hint="eastAsia" w:ascii="宋体" w:hAnsi="宋体" w:eastAsia="宋体" w:cs="宋体"/>
          <w:color w:val="auto"/>
          <w:sz w:val="24"/>
          <w:lang w:val="en-US" w:eastAsia="zh-CN"/>
        </w:rPr>
      </w:pPr>
      <w:r>
        <w:rPr>
          <w:rFonts w:hint="eastAsia" w:ascii="宋体" w:hAnsi="宋体" w:cs="宋体"/>
          <w:color w:val="auto"/>
          <w:sz w:val="24"/>
          <w:lang w:val="en-US" w:eastAsia="zh-CN"/>
        </w:rPr>
        <w:t>B.8</w:t>
      </w:r>
      <w:r>
        <w:rPr>
          <w:rFonts w:hint="eastAsia" w:ascii="宋体" w:hAnsi="宋体" w:eastAsia="宋体" w:cs="宋体"/>
          <w:color w:val="auto"/>
          <w:sz w:val="24"/>
          <w:lang w:val="en-US" w:eastAsia="zh-CN"/>
        </w:rPr>
        <w:t>.</w:t>
      </w:r>
      <w:r>
        <w:rPr>
          <w:rFonts w:hint="eastAsia" w:ascii="宋体" w:hAnsi="宋体" w:cs="宋体"/>
          <w:color w:val="auto"/>
          <w:sz w:val="24"/>
          <w:lang w:val="en-US" w:eastAsia="zh-CN"/>
        </w:rPr>
        <w:t>12</w:t>
      </w:r>
      <w:r>
        <w:rPr>
          <w:rFonts w:hint="eastAsia" w:ascii="宋体" w:hAnsi="宋体" w:eastAsia="宋体" w:cs="宋体"/>
          <w:color w:val="auto"/>
          <w:sz w:val="24"/>
          <w:lang w:val="en-US" w:eastAsia="zh-CN"/>
        </w:rPr>
        <w:t>本条款适用于城市供水工程规划设计、施工建造阶段的评价。</w:t>
      </w:r>
    </w:p>
    <w:p w14:paraId="4AB7998C">
      <w:pPr>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rPr>
        <w:t>本条款依据《给水排水工程管道结构设计规范》GB 50332-2002第3.3.2条、《建筑给水排水设计规范》GB 50015-2019第3.4.1条及《给水用硬聚氯乙烯（PVC-U）管材》GB/T 10002.1-2020等规范制定：</w:t>
      </w:r>
      <w:r>
        <w:rPr>
          <w:rFonts w:hint="eastAsia" w:ascii="宋体" w:hAnsi="宋体" w:eastAsia="宋体" w:cs="宋体"/>
          <w:color w:val="auto"/>
          <w:sz w:val="24"/>
          <w:lang w:val="en-US" w:eastAsia="zh-CN"/>
        </w:rPr>
        <w:t>包括管道</w:t>
      </w:r>
      <w:r>
        <w:rPr>
          <w:rFonts w:hint="eastAsia" w:ascii="宋体" w:hAnsi="宋体" w:eastAsia="宋体" w:cs="宋体"/>
          <w:color w:val="auto"/>
          <w:sz w:val="24"/>
        </w:rPr>
        <w:t>耐久性要求</w:t>
      </w:r>
      <w:r>
        <w:rPr>
          <w:rFonts w:hint="eastAsia" w:ascii="宋体" w:hAnsi="宋体" w:eastAsia="宋体" w:cs="宋体"/>
          <w:color w:val="auto"/>
          <w:sz w:val="24"/>
          <w:lang w:eastAsia="zh-CN"/>
        </w:rPr>
        <w:t>、</w:t>
      </w:r>
      <w:r>
        <w:rPr>
          <w:rFonts w:hint="eastAsia" w:ascii="宋体" w:hAnsi="宋体" w:eastAsia="宋体" w:cs="宋体"/>
          <w:color w:val="auto"/>
          <w:sz w:val="24"/>
        </w:rPr>
        <w:t>存放时限。通过严控材料寿命周期，可降低30%以上的非必要资源损耗，符合《循环经济促进法》及《绿色建筑评价标准》GB/T 50378的可持续建设要求。</w:t>
      </w:r>
    </w:p>
    <w:p w14:paraId="29668EF8">
      <w:pPr>
        <w:numPr>
          <w:ilvl w:val="0"/>
          <w:numId w:val="0"/>
        </w:numPr>
        <w:spacing w:line="360" w:lineRule="auto"/>
        <w:ind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考量内容：（1）给水管道系统设计文件；（2）采购产品性能指标要求的招标文件；（3）产品出厂合格证；（4）产品性能检测报告；（5）施工验收文件；</w:t>
      </w:r>
    </w:p>
    <w:p w14:paraId="00E12996">
      <w:pPr>
        <w:spacing w:line="360" w:lineRule="auto"/>
        <w:rPr>
          <w:rFonts w:hint="eastAsia" w:ascii="宋体" w:hAnsi="宋体" w:eastAsia="宋体" w:cs="宋体"/>
          <w:color w:val="auto"/>
          <w:sz w:val="24"/>
          <w:lang w:val="en-US" w:eastAsia="zh-CN"/>
        </w:rPr>
      </w:pPr>
      <w:r>
        <w:rPr>
          <w:rFonts w:hint="eastAsia" w:ascii="宋体" w:hAnsi="宋体" w:cs="宋体"/>
          <w:color w:val="auto"/>
          <w:sz w:val="24"/>
          <w:lang w:val="en-US" w:eastAsia="zh-CN"/>
        </w:rPr>
        <w:t>B.8</w:t>
      </w:r>
      <w:r>
        <w:rPr>
          <w:rFonts w:hint="eastAsia" w:ascii="宋体" w:hAnsi="宋体" w:eastAsia="宋体" w:cs="宋体"/>
          <w:color w:val="auto"/>
          <w:sz w:val="24"/>
          <w:lang w:val="en-US" w:eastAsia="zh-CN"/>
        </w:rPr>
        <w:t>.</w:t>
      </w:r>
      <w:r>
        <w:rPr>
          <w:rFonts w:hint="eastAsia" w:ascii="宋体" w:hAnsi="宋体" w:cs="宋体"/>
          <w:color w:val="auto"/>
          <w:sz w:val="24"/>
          <w:lang w:val="en-US" w:eastAsia="zh-CN"/>
        </w:rPr>
        <w:t>13</w:t>
      </w:r>
      <w:r>
        <w:rPr>
          <w:rFonts w:hint="eastAsia" w:ascii="宋体" w:hAnsi="宋体" w:eastAsia="宋体" w:cs="宋体"/>
          <w:color w:val="auto"/>
          <w:sz w:val="24"/>
          <w:lang w:val="en-US" w:eastAsia="zh-CN"/>
        </w:rPr>
        <w:t xml:space="preserve"> 本条款适用于城市供水工程施工建造阶段的评价。</w:t>
      </w:r>
    </w:p>
    <w:p w14:paraId="53963FA2">
      <w:pPr>
        <w:spacing w:line="360" w:lineRule="auto"/>
        <w:ind w:firstLine="480" w:firstLineChars="200"/>
        <w:rPr>
          <w:rFonts w:hint="eastAsia" w:ascii="宋体" w:hAnsi="宋体" w:eastAsia="宋体" w:cs="宋体"/>
          <w:color w:val="auto"/>
          <w:sz w:val="24"/>
          <w:lang w:val="en-US" w:eastAsia="zh-CN"/>
        </w:rPr>
      </w:pPr>
      <w:r>
        <w:rPr>
          <w:rFonts w:hint="eastAsia" w:ascii="宋体" w:hAnsi="宋体" w:eastAsia="宋体" w:cs="宋体"/>
          <w:color w:val="auto"/>
          <w:sz w:val="24"/>
          <w:lang w:val="en-US" w:eastAsia="zh-CN"/>
        </w:rPr>
        <w:t>本条款依据《给水排水管道工程施工及验收规范》GB 50268-2020第4.2节及《建筑给水排水及采暖工程施工质量验收规范》GB 50242-2022第3.2.3条制定，明确在给水管道系统施工过程中要求，实现管材保护、回填控制。通过规范施工操作，避免因损坏而导致资源浪费，可降低材料损耗率30%-50%，符合《绿色施工导则》（建质〔2021〕26号）及《循环经济促进法》的低碳施工要求。</w:t>
      </w:r>
    </w:p>
    <w:p w14:paraId="7B431C72">
      <w:pPr>
        <w:numPr>
          <w:ilvl w:val="0"/>
          <w:numId w:val="0"/>
        </w:numPr>
        <w:spacing w:line="360" w:lineRule="auto"/>
        <w:ind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考量内容：（1）绿色施工方案；（2）现场材料管理办法；（3）施工过程记录；（4）材料进场检验报告；（5）现场监理旁站记录；（6）施工验收文件。</w:t>
      </w:r>
    </w:p>
    <w:p w14:paraId="798234A4">
      <w:pPr>
        <w:numPr>
          <w:ilvl w:val="0"/>
          <w:numId w:val="0"/>
        </w:numPr>
        <w:spacing w:line="360" w:lineRule="auto"/>
        <w:rPr>
          <w:rFonts w:hint="eastAsia" w:ascii="宋体" w:hAnsi="宋体" w:eastAsia="宋体" w:cs="宋体"/>
          <w:color w:val="auto"/>
          <w:sz w:val="24"/>
          <w:lang w:val="en-US" w:eastAsia="zh-CN"/>
        </w:rPr>
      </w:pPr>
      <w:r>
        <w:rPr>
          <w:rFonts w:hint="eastAsia" w:ascii="宋体" w:hAnsi="宋体" w:cs="宋体"/>
          <w:color w:val="auto"/>
          <w:sz w:val="24"/>
          <w:lang w:val="en-US" w:eastAsia="zh-CN"/>
        </w:rPr>
        <w:t>B.8</w:t>
      </w:r>
      <w:r>
        <w:rPr>
          <w:rFonts w:hint="eastAsia" w:ascii="宋体" w:hAnsi="宋体" w:eastAsia="宋体" w:cs="宋体"/>
          <w:color w:val="auto"/>
          <w:sz w:val="24"/>
          <w:lang w:val="en-US" w:eastAsia="zh-CN"/>
        </w:rPr>
        <w:t>.</w:t>
      </w:r>
      <w:r>
        <w:rPr>
          <w:rFonts w:hint="eastAsia" w:ascii="宋体" w:hAnsi="宋体" w:cs="宋体"/>
          <w:color w:val="auto"/>
          <w:sz w:val="24"/>
          <w:lang w:val="en-US" w:eastAsia="zh-CN"/>
        </w:rPr>
        <w:t>14</w:t>
      </w:r>
      <w:r>
        <w:rPr>
          <w:rFonts w:hint="eastAsia" w:ascii="宋体" w:hAnsi="宋体" w:eastAsia="宋体" w:cs="宋体"/>
          <w:color w:val="auto"/>
          <w:sz w:val="24"/>
          <w:lang w:val="en-US" w:eastAsia="zh-CN"/>
        </w:rPr>
        <w:t xml:space="preserve"> 本条款适用于城市供水工程运行阶段的评价。</w:t>
      </w:r>
    </w:p>
    <w:p w14:paraId="01CD2047">
      <w:pPr>
        <w:numPr>
          <w:ilvl w:val="0"/>
          <w:numId w:val="0"/>
        </w:numPr>
        <w:spacing w:line="360" w:lineRule="auto"/>
        <w:ind w:firstLine="480" w:firstLineChars="200"/>
        <w:rPr>
          <w:rFonts w:hint="eastAsia" w:ascii="宋体" w:hAnsi="宋体" w:eastAsia="宋体" w:cs="宋体"/>
          <w:color w:val="auto"/>
          <w:sz w:val="24"/>
          <w:lang w:eastAsia="zh-CN"/>
        </w:rPr>
      </w:pPr>
      <w:r>
        <w:rPr>
          <w:rFonts w:hint="eastAsia" w:ascii="宋体" w:hAnsi="宋体" w:eastAsia="宋体" w:cs="宋体"/>
          <w:color w:val="auto"/>
          <w:sz w:val="24"/>
          <w:lang w:eastAsia="zh-CN"/>
        </w:rPr>
        <w:t>本条款要求供水企业建立完善的水质检测制度，旨在从源头到用户端的各个环节保障供水水质安全，确保供水水质符合国家规定的饮用水卫生标准。供水企业建立水质检测制度，需制定明确的水质检测计划，涵盖水源水、净化构筑物出水、出厂水和管网水的检测项目、频次和方法。企业应设立水质检验室，配备专业人员和设备，配备符合《城镇供水与污水处理化验室技术规范》CJJ/T182要求的检测设备和专业人员。对不同环节的水进行定期检验，确保水质达标。同时，企业应根据水源水质状况、污染源状况和水处理工艺特征，筛选优先关注的水质风险指标，定期开展检测。供水水质必须符合《生活饮用水卫生标准》GB 5749-2022。该标准规定了生活饮用水的水质要求、水源水质要求、集中式供水单位卫生要求等内容。供水企业需严格按照标准要求进行水质检测和管理，防止水质污染对环境和公众健康造成危害。</w:t>
      </w:r>
    </w:p>
    <w:p w14:paraId="1A96B3DE">
      <w:pPr>
        <w:numPr>
          <w:ilvl w:val="0"/>
          <w:numId w:val="0"/>
        </w:numPr>
        <w:spacing w:line="360" w:lineRule="auto"/>
        <w:ind w:firstLine="480" w:firstLineChars="200"/>
        <w:rPr>
          <w:rFonts w:hint="eastAsia" w:ascii="宋体" w:hAnsi="宋体" w:eastAsia="宋体" w:cs="宋体"/>
          <w:color w:val="auto"/>
          <w:sz w:val="24"/>
          <w:lang w:val="en-US" w:eastAsia="zh-CN"/>
        </w:rPr>
      </w:pPr>
      <w:r>
        <w:rPr>
          <w:rFonts w:hint="eastAsia" w:ascii="宋体" w:hAnsi="宋体" w:eastAsia="宋体" w:cs="宋体"/>
          <w:color w:val="auto"/>
          <w:sz w:val="24"/>
          <w:lang w:val="en-US" w:eastAsia="zh-CN"/>
        </w:rPr>
        <w:t>考量内容：（1）水质检测制度；（2）检验室设备配置台账；（3）水质检测记录；</w:t>
      </w:r>
      <w:r>
        <w:rPr>
          <w:rFonts w:hint="eastAsia" w:ascii="宋体" w:hAnsi="宋体" w:eastAsia="宋体" w:cs="宋体"/>
          <w:color w:val="auto"/>
          <w:sz w:val="24"/>
          <w:lang w:eastAsia="zh-CN"/>
        </w:rPr>
        <w:t>（</w:t>
      </w:r>
      <w:r>
        <w:rPr>
          <w:rFonts w:hint="eastAsia" w:ascii="宋体" w:hAnsi="宋体" w:eastAsia="宋体" w:cs="宋体"/>
          <w:color w:val="auto"/>
          <w:sz w:val="24"/>
          <w:lang w:val="en-US" w:eastAsia="zh-CN"/>
        </w:rPr>
        <w:t>4</w:t>
      </w:r>
      <w:r>
        <w:rPr>
          <w:rFonts w:hint="eastAsia" w:ascii="宋体" w:hAnsi="宋体" w:eastAsia="宋体" w:cs="宋体"/>
          <w:color w:val="auto"/>
          <w:sz w:val="24"/>
          <w:lang w:eastAsia="zh-CN"/>
        </w:rPr>
        <w:t>）</w:t>
      </w:r>
      <w:r>
        <w:rPr>
          <w:rFonts w:hint="eastAsia" w:ascii="宋体" w:hAnsi="宋体" w:eastAsia="宋体" w:cs="宋体"/>
          <w:color w:val="auto"/>
          <w:sz w:val="24"/>
          <w:lang w:val="en-US" w:eastAsia="zh-CN"/>
        </w:rPr>
        <w:t>岗位人员台账</w:t>
      </w:r>
      <w:r>
        <w:rPr>
          <w:rFonts w:hint="eastAsia" w:ascii="宋体" w:hAnsi="宋体" w:eastAsia="宋体" w:cs="宋体"/>
          <w:color w:val="auto"/>
          <w:sz w:val="24"/>
          <w:lang w:eastAsia="zh-CN"/>
        </w:rPr>
        <w:t>；</w:t>
      </w:r>
      <w:r>
        <w:rPr>
          <w:rFonts w:hint="eastAsia" w:ascii="宋体" w:hAnsi="宋体" w:eastAsia="宋体" w:cs="宋体"/>
          <w:color w:val="auto"/>
          <w:sz w:val="24"/>
          <w:lang w:val="en-US" w:eastAsia="zh-CN"/>
        </w:rPr>
        <w:t>（5）培训记录。</w:t>
      </w:r>
    </w:p>
    <w:p w14:paraId="771A5E2B">
      <w:pPr>
        <w:spacing w:line="360" w:lineRule="auto"/>
        <w:rPr>
          <w:rFonts w:hint="eastAsia" w:ascii="宋体" w:hAnsi="宋体" w:eastAsia="宋体" w:cs="宋体"/>
          <w:color w:val="auto"/>
          <w:sz w:val="24"/>
          <w:lang w:val="en-US" w:eastAsia="zh-CN"/>
        </w:rPr>
      </w:pPr>
      <w:r>
        <w:rPr>
          <w:rFonts w:hint="eastAsia" w:ascii="宋体" w:hAnsi="宋体" w:cs="宋体"/>
          <w:color w:val="auto"/>
          <w:sz w:val="24"/>
          <w:lang w:val="en-US" w:eastAsia="zh-CN"/>
        </w:rPr>
        <w:t>B.8</w:t>
      </w:r>
      <w:r>
        <w:rPr>
          <w:rFonts w:hint="eastAsia" w:ascii="宋体" w:hAnsi="宋体" w:eastAsia="宋体" w:cs="宋体"/>
          <w:color w:val="auto"/>
          <w:sz w:val="24"/>
          <w:lang w:val="en-US" w:eastAsia="zh-CN"/>
        </w:rPr>
        <w:t>.</w:t>
      </w:r>
      <w:r>
        <w:rPr>
          <w:rFonts w:hint="eastAsia" w:ascii="宋体" w:hAnsi="宋体" w:cs="宋体"/>
          <w:color w:val="auto"/>
          <w:sz w:val="24"/>
          <w:lang w:val="en-US" w:eastAsia="zh-CN"/>
        </w:rPr>
        <w:t>15</w:t>
      </w:r>
      <w:r>
        <w:rPr>
          <w:rFonts w:hint="eastAsia" w:ascii="宋体" w:hAnsi="宋体" w:eastAsia="宋体" w:cs="宋体"/>
          <w:color w:val="auto"/>
          <w:sz w:val="24"/>
          <w:lang w:val="en-US" w:eastAsia="zh-CN"/>
        </w:rPr>
        <w:t xml:space="preserve"> 本条款适用于城市供水工程运行阶段的评价。</w:t>
      </w:r>
    </w:p>
    <w:p w14:paraId="541E8D03">
      <w:pPr>
        <w:spacing w:line="360" w:lineRule="auto"/>
        <w:ind w:firstLine="480" w:firstLineChars="200"/>
        <w:rPr>
          <w:rFonts w:hint="eastAsia" w:ascii="宋体" w:hAnsi="宋体" w:eastAsia="宋体" w:cs="宋体"/>
          <w:color w:val="auto"/>
          <w:sz w:val="24"/>
          <w:lang w:eastAsia="zh-CN"/>
        </w:rPr>
      </w:pPr>
      <w:r>
        <w:rPr>
          <w:rFonts w:hint="eastAsia" w:ascii="宋体" w:hAnsi="宋体" w:eastAsia="宋体" w:cs="宋体"/>
          <w:color w:val="auto"/>
          <w:sz w:val="24"/>
          <w:lang w:eastAsia="zh-CN"/>
        </w:rPr>
        <w:t>本条依据《生活饮用水卫生标准》GB 5749-2022、《城镇供水管网运行、维护及安全技术规程》CJJ 207-2013及《城镇供水管网漏损控制及评定标准》CJJ 92-2016等规范制定，要求供水企业在压力调控和分区管理中建立水质安全防控机制：通过设置管网水质在线监测点（浊度、余氯、pH等关键指标），结合人工巡检实时掌握水质动态；当监测数据异常（如余氯值低于0.05mg/L或浊度超标）时，须按《城镇供水系统应急技术规范》CJJ/T 223启动冲洗消毒、局部断水等处置措施，并在2小时内上报监管部门。针对管网封闭运行可能引发的“死水区”问题，应通过水力模型优化调控阀门启闭频率，控制管道水力停留时间不超过48小时，并设置末端放空装置。同时，通过分区压力智能调控（压力波动范围≤0.05MPa）和漏损实时监测（DMA分区漏损率≤8%），避免负压吸入污染物或漏损点污染扩散，确保管网水质符合GB 5749-2022中“管网末梢水”指标限值要求，履行《城市供水条例》第三十二条规定的供水安全保障义务。</w:t>
      </w:r>
    </w:p>
    <w:p w14:paraId="5A5FBE55">
      <w:pPr>
        <w:numPr>
          <w:ilvl w:val="0"/>
          <w:numId w:val="0"/>
        </w:numPr>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lang w:val="en-US" w:eastAsia="zh-CN"/>
        </w:rPr>
        <w:t>考量内容：（1）供水企业</w:t>
      </w:r>
      <w:r>
        <w:rPr>
          <w:rFonts w:hint="eastAsia" w:ascii="宋体" w:hAnsi="宋体" w:eastAsia="宋体" w:cs="宋体"/>
          <w:color w:val="auto"/>
          <w:sz w:val="24"/>
        </w:rPr>
        <w:t>管网运行智能调度</w:t>
      </w:r>
      <w:r>
        <w:rPr>
          <w:rFonts w:hint="eastAsia" w:ascii="宋体" w:hAnsi="宋体" w:eastAsia="宋体" w:cs="宋体"/>
          <w:color w:val="auto"/>
          <w:sz w:val="24"/>
          <w:lang w:val="en-US" w:eastAsia="zh-CN"/>
        </w:rPr>
        <w:t>系统建设；（2）水质安全防控机制；（3）应急安全响应预案；</w:t>
      </w:r>
      <w:r>
        <w:rPr>
          <w:rFonts w:hint="eastAsia" w:ascii="宋体" w:hAnsi="宋体" w:eastAsia="宋体" w:cs="宋体"/>
          <w:color w:val="auto"/>
          <w:sz w:val="24"/>
          <w:lang w:eastAsia="zh-CN"/>
        </w:rPr>
        <w:t>（</w:t>
      </w:r>
      <w:r>
        <w:rPr>
          <w:rFonts w:hint="eastAsia" w:ascii="宋体" w:hAnsi="宋体" w:eastAsia="宋体" w:cs="宋体"/>
          <w:color w:val="auto"/>
          <w:sz w:val="24"/>
          <w:lang w:val="en-US" w:eastAsia="zh-CN"/>
        </w:rPr>
        <w:t>4</w:t>
      </w:r>
      <w:r>
        <w:rPr>
          <w:rFonts w:hint="eastAsia" w:ascii="宋体" w:hAnsi="宋体" w:eastAsia="宋体" w:cs="宋体"/>
          <w:color w:val="auto"/>
          <w:sz w:val="24"/>
          <w:lang w:eastAsia="zh-CN"/>
        </w:rPr>
        <w:t>）</w:t>
      </w:r>
      <w:r>
        <w:rPr>
          <w:rFonts w:hint="eastAsia" w:ascii="宋体" w:hAnsi="宋体" w:eastAsia="宋体" w:cs="宋体"/>
          <w:color w:val="auto"/>
          <w:sz w:val="24"/>
          <w:lang w:val="en-US" w:eastAsia="zh-CN"/>
        </w:rPr>
        <w:t>水质检测记录。</w:t>
      </w:r>
      <w:r>
        <w:rPr>
          <w:rFonts w:hint="eastAsia" w:ascii="宋体" w:hAnsi="宋体" w:eastAsia="宋体" w:cs="宋体"/>
          <w:color w:val="auto"/>
          <w:sz w:val="24"/>
        </w:rPr>
        <w:t xml:space="preserve"> </w:t>
      </w:r>
    </w:p>
    <w:p w14:paraId="49F3AC5E">
      <w:pPr>
        <w:spacing w:line="360" w:lineRule="auto"/>
        <w:rPr>
          <w:rFonts w:hint="eastAsia" w:ascii="宋体" w:hAnsi="宋体" w:eastAsia="宋体" w:cs="宋体"/>
          <w:color w:val="auto"/>
          <w:sz w:val="24"/>
          <w:lang w:val="en-US" w:eastAsia="zh-CN"/>
        </w:rPr>
      </w:pPr>
      <w:r>
        <w:rPr>
          <w:rFonts w:hint="eastAsia" w:ascii="宋体" w:hAnsi="宋体" w:cs="宋体"/>
          <w:color w:val="auto"/>
          <w:sz w:val="24"/>
          <w:lang w:val="en-US" w:eastAsia="zh-CN"/>
        </w:rPr>
        <w:t>B.8</w:t>
      </w:r>
      <w:r>
        <w:rPr>
          <w:rFonts w:hint="eastAsia" w:ascii="宋体" w:hAnsi="宋体" w:eastAsia="宋体" w:cs="宋体"/>
          <w:color w:val="auto"/>
          <w:sz w:val="24"/>
          <w:lang w:val="en-US" w:eastAsia="zh-CN"/>
        </w:rPr>
        <w:t>.</w:t>
      </w:r>
      <w:r>
        <w:rPr>
          <w:rFonts w:hint="eastAsia" w:ascii="宋体" w:hAnsi="宋体" w:cs="宋体"/>
          <w:color w:val="auto"/>
          <w:sz w:val="24"/>
          <w:lang w:val="en-US" w:eastAsia="zh-CN"/>
        </w:rPr>
        <w:t>16</w:t>
      </w:r>
      <w:r>
        <w:rPr>
          <w:rFonts w:hint="eastAsia" w:ascii="宋体" w:hAnsi="宋体" w:eastAsia="宋体" w:cs="宋体"/>
          <w:color w:val="auto"/>
          <w:sz w:val="24"/>
          <w:lang w:val="en-US" w:eastAsia="zh-CN"/>
        </w:rPr>
        <w:t xml:space="preserve"> 本条款适用于城市供水工程运行阶段的评价。</w:t>
      </w:r>
    </w:p>
    <w:p w14:paraId="5E9B4D55">
      <w:pPr>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rPr>
        <w:t>本条依据《生活饮用水卫生标准》GB 5749-2022、《给水排水管道工程施工及验收规范》GB 50268及《城镇供水管网运行、维护及安全技术规程》CJJ 207-2013等规范制定，明确供水管道并网运行前置程序</w:t>
      </w:r>
      <w:r>
        <w:rPr>
          <w:rFonts w:hint="eastAsia" w:ascii="宋体" w:hAnsi="宋体" w:eastAsia="宋体" w:cs="宋体"/>
          <w:color w:val="auto"/>
          <w:sz w:val="24"/>
          <w:lang w:eastAsia="zh-CN"/>
        </w:rPr>
        <w:t>。</w:t>
      </w:r>
      <w:r>
        <w:rPr>
          <w:rFonts w:hint="eastAsia" w:ascii="宋体" w:hAnsi="宋体" w:eastAsia="宋体" w:cs="宋体"/>
          <w:color w:val="auto"/>
          <w:sz w:val="24"/>
        </w:rPr>
        <w:t>管道冲洗应采用不低于1.5m/s流速的清洁水连续冲洗至出水浊度差值≤1NTU，消毒执行《室外给水设计标准》GB 50013要求，采用含氯消毒剂（游离氯浓度≥20mg/L）浸泡24小时后二次冲洗至余氯≤0.3mg/L；水质检验须覆盖微生物指标（菌落总数、总大肠菌群）、感官性状指标（浊度、色度）及消毒剂余量等GB 5749-2022常规项目，并由CMA认证实验室出具合格报告后方可通水。同时，依据《城市供水条例》第二十四条规定，冲洗消毒记录及水质检测报告应存档备查，未通过验收的管道严禁并入市政管网，确保消除施工残留物、生物膜滋生等污染风险，切实维护公众饮水安全与社会公共利益。</w:t>
      </w:r>
    </w:p>
    <w:p w14:paraId="32B93F58">
      <w:pPr>
        <w:numPr>
          <w:ilvl w:val="0"/>
          <w:numId w:val="0"/>
        </w:numPr>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lang w:val="en-US" w:eastAsia="zh-CN"/>
        </w:rPr>
        <w:t>考量内容：（1）供水管道并网；（2）水质安全防控机制；（3）应急安全响应预案；</w:t>
      </w:r>
      <w:r>
        <w:rPr>
          <w:rFonts w:hint="eastAsia" w:ascii="宋体" w:hAnsi="宋体" w:eastAsia="宋体" w:cs="宋体"/>
          <w:color w:val="auto"/>
          <w:sz w:val="24"/>
          <w:lang w:eastAsia="zh-CN"/>
        </w:rPr>
        <w:t>（</w:t>
      </w:r>
      <w:r>
        <w:rPr>
          <w:rFonts w:hint="eastAsia" w:ascii="宋体" w:hAnsi="宋体" w:eastAsia="宋体" w:cs="宋体"/>
          <w:color w:val="auto"/>
          <w:sz w:val="24"/>
          <w:lang w:val="en-US" w:eastAsia="zh-CN"/>
        </w:rPr>
        <w:t>4</w:t>
      </w:r>
      <w:r>
        <w:rPr>
          <w:rFonts w:hint="eastAsia" w:ascii="宋体" w:hAnsi="宋体" w:eastAsia="宋体" w:cs="宋体"/>
          <w:color w:val="auto"/>
          <w:sz w:val="24"/>
          <w:lang w:eastAsia="zh-CN"/>
        </w:rPr>
        <w:t>）</w:t>
      </w:r>
      <w:r>
        <w:rPr>
          <w:rFonts w:hint="eastAsia" w:ascii="宋体" w:hAnsi="宋体" w:eastAsia="宋体" w:cs="宋体"/>
          <w:color w:val="auto"/>
          <w:sz w:val="24"/>
          <w:lang w:val="en-US" w:eastAsia="zh-CN"/>
        </w:rPr>
        <w:t>水质检测记录。</w:t>
      </w:r>
      <w:r>
        <w:rPr>
          <w:rFonts w:hint="eastAsia" w:ascii="宋体" w:hAnsi="宋体" w:eastAsia="宋体" w:cs="宋体"/>
          <w:color w:val="auto"/>
          <w:sz w:val="24"/>
        </w:rPr>
        <w:t xml:space="preserve"> </w:t>
      </w:r>
    </w:p>
    <w:p w14:paraId="3138B35A">
      <w:pPr>
        <w:spacing w:line="360" w:lineRule="auto"/>
        <w:rPr>
          <w:rFonts w:hint="eastAsia" w:ascii="宋体" w:hAnsi="宋体" w:eastAsia="宋体" w:cs="宋体"/>
          <w:color w:val="auto"/>
          <w:sz w:val="24"/>
          <w:lang w:val="en-US" w:eastAsia="zh-CN"/>
        </w:rPr>
      </w:pPr>
      <w:r>
        <w:rPr>
          <w:rFonts w:hint="eastAsia" w:ascii="宋体" w:hAnsi="宋体" w:cs="宋体"/>
          <w:color w:val="auto"/>
          <w:sz w:val="24"/>
          <w:lang w:val="en-US" w:eastAsia="zh-CN"/>
        </w:rPr>
        <w:t>B.8</w:t>
      </w:r>
      <w:r>
        <w:rPr>
          <w:rFonts w:hint="eastAsia" w:ascii="宋体" w:hAnsi="宋体" w:eastAsia="宋体" w:cs="宋体"/>
          <w:color w:val="auto"/>
          <w:sz w:val="24"/>
          <w:lang w:val="en-US" w:eastAsia="zh-CN"/>
        </w:rPr>
        <w:t>.</w:t>
      </w:r>
      <w:r>
        <w:rPr>
          <w:rFonts w:hint="eastAsia" w:ascii="宋体" w:hAnsi="宋体" w:cs="宋体"/>
          <w:color w:val="auto"/>
          <w:sz w:val="24"/>
          <w:lang w:val="en-US" w:eastAsia="zh-CN"/>
        </w:rPr>
        <w:t>17</w:t>
      </w:r>
      <w:r>
        <w:rPr>
          <w:rFonts w:hint="eastAsia" w:ascii="宋体" w:hAnsi="宋体" w:eastAsia="宋体" w:cs="宋体"/>
          <w:color w:val="auto"/>
          <w:sz w:val="24"/>
          <w:lang w:val="en-US" w:eastAsia="zh-CN"/>
        </w:rPr>
        <w:t xml:space="preserve"> 本条款适用于城市供水工程运行阶段的评价。</w:t>
      </w:r>
    </w:p>
    <w:p w14:paraId="28F378BF">
      <w:pPr>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rPr>
        <w:t>本条款旨在确保供水厂生产过程中使用的净水药剂及材料符合国家相关卫生安全标准，从源头上保障供水水质安全，防止因药剂或材料质量问题引发水体污染风险。依据《生活饮用水卫生标准》GB 5749-2022要求，所有化学处理剂及与水接触的材料不得含有危害人体健康的有毒有害物质，其成分、毒理学指标及使用量需严格符合《水处理剂卫生安全评价规范》GB/T 37906-2019等标准规定。供水企业应建立药剂及材料采购、储存、投加的全流程质量控制体系，包括供应商资质审核、产品检测验证、投加过程监测及使用记录留存等环节，确保其安全性与适用性。同时，需定期评估现有药剂及材料的环保性能，优先选用低污染、易降解的环保型产品，避免对水环境造成二次污染，保障供水系统的可持续性和公众健康权益。</w:t>
      </w:r>
    </w:p>
    <w:p w14:paraId="17761713">
      <w:pPr>
        <w:numPr>
          <w:ilvl w:val="0"/>
          <w:numId w:val="0"/>
        </w:numPr>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lang w:val="en-US" w:eastAsia="zh-CN"/>
        </w:rPr>
        <w:t>考量内容：（1）药剂或材料产品合格证；（2）合格供应商名录；（3）产品检验检测记录或证明；</w:t>
      </w:r>
      <w:r>
        <w:rPr>
          <w:rFonts w:hint="eastAsia" w:ascii="宋体" w:hAnsi="宋体" w:eastAsia="宋体" w:cs="宋体"/>
          <w:color w:val="auto"/>
          <w:sz w:val="24"/>
          <w:lang w:eastAsia="zh-CN"/>
        </w:rPr>
        <w:t>（</w:t>
      </w:r>
      <w:r>
        <w:rPr>
          <w:rFonts w:hint="eastAsia" w:ascii="宋体" w:hAnsi="宋体" w:eastAsia="宋体" w:cs="宋体"/>
          <w:color w:val="auto"/>
          <w:sz w:val="24"/>
          <w:lang w:val="en-US" w:eastAsia="zh-CN"/>
        </w:rPr>
        <w:t>4</w:t>
      </w:r>
      <w:r>
        <w:rPr>
          <w:rFonts w:hint="eastAsia" w:ascii="宋体" w:hAnsi="宋体" w:eastAsia="宋体" w:cs="宋体"/>
          <w:color w:val="auto"/>
          <w:sz w:val="24"/>
          <w:lang w:eastAsia="zh-CN"/>
        </w:rPr>
        <w:t>）</w:t>
      </w:r>
      <w:r>
        <w:rPr>
          <w:rFonts w:hint="eastAsia" w:ascii="宋体" w:hAnsi="宋体" w:eastAsia="宋体" w:cs="宋体"/>
          <w:color w:val="auto"/>
          <w:sz w:val="24"/>
          <w:lang w:val="en-US" w:eastAsia="zh-CN"/>
        </w:rPr>
        <w:t>药剂及材料使用记录。</w:t>
      </w:r>
      <w:r>
        <w:rPr>
          <w:rFonts w:hint="eastAsia" w:ascii="宋体" w:hAnsi="宋体" w:eastAsia="宋体" w:cs="宋体"/>
          <w:color w:val="auto"/>
          <w:sz w:val="24"/>
        </w:rPr>
        <w:t xml:space="preserve"> </w:t>
      </w:r>
    </w:p>
    <w:p w14:paraId="0BC30B7D">
      <w:pPr>
        <w:numPr>
          <w:ilvl w:val="0"/>
          <w:numId w:val="0"/>
        </w:numPr>
        <w:spacing w:line="360" w:lineRule="auto"/>
        <w:ind w:leftChars="0"/>
        <w:rPr>
          <w:rFonts w:hint="eastAsia" w:ascii="宋体" w:hAnsi="宋体" w:eastAsia="宋体" w:cs="宋体"/>
          <w:color w:val="auto"/>
          <w:sz w:val="24"/>
          <w:lang w:val="en-US" w:eastAsia="zh-CN"/>
        </w:rPr>
      </w:pPr>
      <w:r>
        <w:rPr>
          <w:rFonts w:hint="eastAsia" w:ascii="宋体" w:hAnsi="宋体" w:cs="宋体"/>
          <w:color w:val="auto"/>
          <w:sz w:val="24"/>
          <w:lang w:val="en-US" w:eastAsia="zh-CN"/>
        </w:rPr>
        <w:t>B.8</w:t>
      </w:r>
      <w:r>
        <w:rPr>
          <w:rFonts w:hint="eastAsia" w:ascii="宋体" w:hAnsi="宋体" w:eastAsia="宋体" w:cs="宋体"/>
          <w:color w:val="auto"/>
          <w:sz w:val="24"/>
          <w:lang w:val="en-US" w:eastAsia="zh-CN"/>
        </w:rPr>
        <w:t>.</w:t>
      </w:r>
      <w:r>
        <w:rPr>
          <w:rFonts w:hint="eastAsia" w:ascii="宋体" w:hAnsi="宋体" w:cs="宋体"/>
          <w:color w:val="auto"/>
          <w:sz w:val="24"/>
          <w:lang w:val="en-US" w:eastAsia="zh-CN"/>
        </w:rPr>
        <w:t>18</w:t>
      </w:r>
      <w:r>
        <w:rPr>
          <w:rFonts w:hint="eastAsia" w:ascii="宋体" w:hAnsi="宋体" w:eastAsia="宋体" w:cs="宋体"/>
          <w:color w:val="auto"/>
          <w:sz w:val="24"/>
          <w:lang w:val="en-US" w:eastAsia="zh-CN"/>
        </w:rPr>
        <w:t xml:space="preserve"> 本条款适用于城市供水工程规划设计、施工建造、运行阶段的评价。</w:t>
      </w:r>
    </w:p>
    <w:p w14:paraId="636E58AE">
      <w:pPr>
        <w:numPr>
          <w:ilvl w:val="0"/>
          <w:numId w:val="0"/>
        </w:numPr>
        <w:spacing w:line="360" w:lineRule="auto"/>
        <w:ind w:leftChars="0" w:firstLine="480" w:firstLineChars="200"/>
        <w:rPr>
          <w:rFonts w:hint="eastAsia" w:ascii="宋体" w:hAnsi="宋体" w:eastAsia="宋体" w:cs="宋体"/>
          <w:color w:val="auto"/>
          <w:sz w:val="24"/>
        </w:rPr>
      </w:pPr>
      <w:r>
        <w:rPr>
          <w:rFonts w:hint="eastAsia" w:ascii="宋体" w:hAnsi="宋体" w:eastAsia="宋体" w:cs="宋体"/>
          <w:color w:val="auto"/>
          <w:sz w:val="24"/>
        </w:rPr>
        <w:t>根据《二次供水设施卫生规范》GB 17051-1997及《生活饮用水卫生标准》GB 5749-2022，卫生部门需全程介入设施设计审查、施工验收及水质检测，重点核查设施材质、防护措施、消毒设备配置等是否符合《建筑给水排水设计标准》GB 50015-2019要求，从源头防控污染风险。同时，依据《二次供水工程技术规程》CJJ 140-2010，管理单位须严格落实年度清洗消毒制度，采用符合《饮用水化学处理剂卫生安全性评价标准》GB/T 17218-1998的消毒剂，清洗后水质须经法定机构检测达标，并留存完整记录；建立水质异常应急响应机制，及时消除微生物滋生、污染物渗入等隐患，确保设施运行卫生安全，维护用户健康权益。</w:t>
      </w:r>
    </w:p>
    <w:p w14:paraId="6FF1B395">
      <w:pPr>
        <w:numPr>
          <w:ilvl w:val="0"/>
          <w:numId w:val="0"/>
        </w:numPr>
        <w:spacing w:line="360" w:lineRule="auto"/>
        <w:ind w:firstLine="480" w:firstLineChars="200"/>
        <w:rPr>
          <w:rFonts w:hint="eastAsia" w:ascii="宋体" w:hAnsi="宋体" w:eastAsia="宋体" w:cs="宋体"/>
          <w:color w:val="auto"/>
          <w:sz w:val="24"/>
          <w:lang w:val="en-US" w:eastAsia="zh-CN"/>
        </w:rPr>
      </w:pPr>
      <w:r>
        <w:rPr>
          <w:rFonts w:hint="eastAsia" w:ascii="宋体" w:hAnsi="宋体" w:eastAsia="宋体" w:cs="宋体"/>
          <w:color w:val="auto"/>
          <w:sz w:val="24"/>
          <w:lang w:val="en-US" w:eastAsia="zh-CN"/>
        </w:rPr>
        <w:t>考量内容：（1）二次供水设施设计审查资料；（2）年度清洗消毒制度及落实记录；（3）水质检测记录或证明；</w:t>
      </w:r>
      <w:r>
        <w:rPr>
          <w:rFonts w:hint="eastAsia" w:ascii="宋体" w:hAnsi="宋体" w:eastAsia="宋体" w:cs="宋体"/>
          <w:color w:val="auto"/>
          <w:sz w:val="24"/>
          <w:lang w:eastAsia="zh-CN"/>
        </w:rPr>
        <w:t>（</w:t>
      </w:r>
      <w:r>
        <w:rPr>
          <w:rFonts w:hint="eastAsia" w:ascii="宋体" w:hAnsi="宋体" w:eastAsia="宋体" w:cs="宋体"/>
          <w:color w:val="auto"/>
          <w:sz w:val="24"/>
          <w:lang w:val="en-US" w:eastAsia="zh-CN"/>
        </w:rPr>
        <w:t>4</w:t>
      </w:r>
      <w:r>
        <w:rPr>
          <w:rFonts w:hint="eastAsia" w:ascii="宋体" w:hAnsi="宋体" w:eastAsia="宋体" w:cs="宋体"/>
          <w:color w:val="auto"/>
          <w:sz w:val="24"/>
          <w:lang w:eastAsia="zh-CN"/>
        </w:rPr>
        <w:t>）</w:t>
      </w:r>
      <w:r>
        <w:rPr>
          <w:rFonts w:hint="eastAsia" w:ascii="宋体" w:hAnsi="宋体" w:eastAsia="宋体" w:cs="宋体"/>
          <w:color w:val="auto"/>
          <w:sz w:val="24"/>
          <w:lang w:val="en-US" w:eastAsia="zh-CN"/>
        </w:rPr>
        <w:t>应急响应机制；（5）投诉与监督办理记录。</w:t>
      </w:r>
    </w:p>
    <w:p w14:paraId="2560FA4D">
      <w:pPr>
        <w:spacing w:line="360" w:lineRule="auto"/>
        <w:rPr>
          <w:rFonts w:hint="eastAsia" w:ascii="宋体" w:hAnsi="宋体" w:eastAsia="宋体" w:cs="宋体"/>
          <w:color w:val="auto"/>
          <w:sz w:val="24"/>
          <w:lang w:val="en-US" w:eastAsia="zh-CN"/>
        </w:rPr>
      </w:pPr>
      <w:r>
        <w:rPr>
          <w:rFonts w:hint="eastAsia" w:ascii="宋体" w:hAnsi="宋体" w:cs="宋体"/>
          <w:color w:val="auto"/>
          <w:sz w:val="24"/>
          <w:lang w:val="en-US" w:eastAsia="zh-CN"/>
        </w:rPr>
        <w:t>B.8</w:t>
      </w:r>
      <w:r>
        <w:rPr>
          <w:rFonts w:hint="eastAsia" w:ascii="宋体" w:hAnsi="宋体" w:eastAsia="宋体" w:cs="宋体"/>
          <w:color w:val="auto"/>
          <w:sz w:val="24"/>
          <w:lang w:val="en-US" w:eastAsia="zh-CN"/>
        </w:rPr>
        <w:t>.</w:t>
      </w:r>
      <w:r>
        <w:rPr>
          <w:rFonts w:hint="eastAsia" w:ascii="宋体" w:hAnsi="宋体" w:cs="宋体"/>
          <w:color w:val="auto"/>
          <w:sz w:val="24"/>
          <w:lang w:val="en-US" w:eastAsia="zh-CN"/>
        </w:rPr>
        <w:t>19</w:t>
      </w:r>
      <w:r>
        <w:rPr>
          <w:rFonts w:hint="eastAsia" w:ascii="宋体" w:hAnsi="宋体" w:eastAsia="宋体" w:cs="宋体"/>
          <w:color w:val="auto"/>
          <w:sz w:val="24"/>
          <w:lang w:val="en-US" w:eastAsia="zh-CN"/>
        </w:rPr>
        <w:t xml:space="preserve"> 本条款适用于城市供水工程运行阶段的评价。</w:t>
      </w:r>
    </w:p>
    <w:p w14:paraId="478FF963">
      <w:pPr>
        <w:spacing w:line="360" w:lineRule="auto"/>
        <w:ind w:firstLine="480" w:firstLineChars="200"/>
        <w:rPr>
          <w:rFonts w:hint="eastAsia" w:ascii="宋体" w:hAnsi="宋体" w:eastAsia="宋体" w:cs="宋体"/>
          <w:color w:val="auto"/>
          <w:sz w:val="24"/>
          <w:lang w:val="en-US" w:eastAsia="zh-CN"/>
        </w:rPr>
      </w:pPr>
      <w:r>
        <w:rPr>
          <w:rFonts w:hint="eastAsia" w:ascii="宋体" w:hAnsi="宋体" w:eastAsia="宋体" w:cs="宋体"/>
          <w:color w:val="auto"/>
          <w:sz w:val="24"/>
          <w:lang w:val="en-US" w:eastAsia="zh-CN"/>
        </w:rPr>
        <w:t>本条款明确要求直接参与制水及水质检验的从业人员须通过系统的卫生知识培训和专业技术考核，取得合格资质后方可上岗，旨在提升供水服务的规范性和水质安全保障能力。依据《生活饮用水卫生标准》GB 5749-2022及《城镇供水厂运行、维护及安全技术规程》CJJ 58-2021，人员培训内容应涵盖饮用水卫生法规、水处理工艺原理、水质检测方法、安全操作规范及突发污染应急处置等，确保其具备科学操作和风险防控能力。同时，参照《饮用水供水单位卫生规范》要求，从业人员需定期接受复训与考核，强化卫生安全意识及技术更新能力，杜绝因操作不当导致的水质污染或检测误差。持证上岗制度进一步规范了从业资质管理，从人员专业素养层面保障制水工艺的精准性和水质数据的可靠性，切实维护供水安全与公众健康权益。</w:t>
      </w:r>
    </w:p>
    <w:p w14:paraId="5995A0B9">
      <w:pPr>
        <w:numPr>
          <w:ilvl w:val="0"/>
          <w:numId w:val="0"/>
        </w:numPr>
        <w:spacing w:line="360" w:lineRule="auto"/>
        <w:ind w:firstLine="480" w:firstLineChars="200"/>
        <w:rPr>
          <w:rFonts w:hint="eastAsia" w:ascii="宋体" w:hAnsi="宋体" w:eastAsia="宋体" w:cs="宋体"/>
          <w:color w:val="auto"/>
          <w:sz w:val="24"/>
          <w:lang w:val="en-US" w:eastAsia="zh-CN"/>
        </w:rPr>
      </w:pPr>
      <w:r>
        <w:rPr>
          <w:rFonts w:hint="eastAsia" w:ascii="宋体" w:hAnsi="宋体" w:eastAsia="宋体" w:cs="宋体"/>
          <w:color w:val="auto"/>
          <w:sz w:val="24"/>
          <w:lang w:val="en-US" w:eastAsia="zh-CN"/>
        </w:rPr>
        <w:t xml:space="preserve">考量内容：（1）培训与考核记录；（2）岗位人员清册及资格证书；（3）持证上岗规章制度。 </w:t>
      </w:r>
    </w:p>
    <w:p w14:paraId="5139F92F">
      <w:pPr>
        <w:spacing w:line="360" w:lineRule="auto"/>
        <w:rPr>
          <w:rFonts w:hint="eastAsia" w:ascii="宋体" w:hAnsi="宋体" w:eastAsia="宋体" w:cs="宋体"/>
          <w:color w:val="auto"/>
          <w:sz w:val="24"/>
          <w:lang w:val="en-US" w:eastAsia="zh-CN"/>
        </w:rPr>
      </w:pPr>
      <w:r>
        <w:rPr>
          <w:rFonts w:hint="eastAsia" w:ascii="宋体" w:hAnsi="宋体" w:cs="宋体"/>
          <w:color w:val="auto"/>
          <w:sz w:val="24"/>
          <w:lang w:val="en-US" w:eastAsia="zh-CN"/>
        </w:rPr>
        <w:t>B.8</w:t>
      </w:r>
      <w:r>
        <w:rPr>
          <w:rFonts w:hint="eastAsia" w:ascii="宋体" w:hAnsi="宋体" w:eastAsia="宋体" w:cs="宋体"/>
          <w:color w:val="auto"/>
          <w:sz w:val="24"/>
          <w:lang w:val="en-US" w:eastAsia="zh-CN"/>
        </w:rPr>
        <w:t>.</w:t>
      </w:r>
      <w:r>
        <w:rPr>
          <w:rFonts w:hint="eastAsia" w:ascii="宋体" w:hAnsi="宋体" w:cs="宋体"/>
          <w:color w:val="auto"/>
          <w:sz w:val="24"/>
          <w:lang w:val="en-US" w:eastAsia="zh-CN"/>
        </w:rPr>
        <w:t>20</w:t>
      </w:r>
      <w:r>
        <w:rPr>
          <w:rFonts w:hint="eastAsia" w:ascii="宋体" w:hAnsi="宋体" w:eastAsia="宋体" w:cs="宋体"/>
          <w:color w:val="auto"/>
          <w:sz w:val="24"/>
          <w:lang w:val="en-US" w:eastAsia="zh-CN"/>
        </w:rPr>
        <w:t xml:space="preserve"> 本条款适用于城市供水工程规划设计、运行阶段的评价。</w:t>
      </w:r>
    </w:p>
    <w:p w14:paraId="365E2089">
      <w:pPr>
        <w:spacing w:line="360" w:lineRule="auto"/>
        <w:ind w:firstLine="480" w:firstLineChars="200"/>
        <w:rPr>
          <w:rFonts w:hint="eastAsia" w:ascii="宋体" w:hAnsi="宋体" w:eastAsia="宋体" w:cs="宋体"/>
          <w:color w:val="auto"/>
          <w:sz w:val="24"/>
          <w:lang w:val="en-US" w:eastAsia="zh-CN"/>
        </w:rPr>
      </w:pPr>
      <w:r>
        <w:rPr>
          <w:rFonts w:hint="eastAsia" w:ascii="宋体" w:hAnsi="宋体" w:eastAsia="宋体" w:cs="宋体"/>
          <w:color w:val="auto"/>
          <w:sz w:val="24"/>
          <w:lang w:val="en-US" w:eastAsia="zh-CN"/>
        </w:rPr>
        <w:t>本条款旨在规范新建、扩建、改建工程项目用水增量对应的供水工程资金保障机制，确保供水设施建设与城市规划及用水需求同步匹配。依据《城市供水条例》</w:t>
      </w:r>
      <w:r>
        <w:rPr>
          <w:rFonts w:hint="eastAsia" w:ascii="宋体" w:hAnsi="宋体" w:cs="宋体"/>
          <w:color w:val="auto"/>
          <w:sz w:val="24"/>
          <w:lang w:val="en-US" w:eastAsia="zh-CN"/>
        </w:rPr>
        <w:t>、</w:t>
      </w:r>
      <w:r>
        <w:rPr>
          <w:rFonts w:hint="eastAsia" w:ascii="宋体" w:hAnsi="宋体" w:eastAsia="宋体" w:cs="宋体"/>
          <w:color w:val="auto"/>
          <w:sz w:val="24"/>
          <w:lang w:val="en-US" w:eastAsia="zh-CN"/>
        </w:rPr>
        <w:t>《城镇供水工程项目规范》GB 50282-2022及《城市给水工程规划规范》GB 50318-2017，项目建设单位需将新增供水工程投资纳入项目总概算，其费用构成应符合《建设项目总投资费用组成》（建标〔2013〕44号）相关规定，避免因资金缺位导致供水能力不足或重复建设。若需增加城市公共供水量，建设单位须向城市供水行政主管部门缴纳供水工程建设投资，由其统筹实施规模化、标准化供水工程，确保管网布局、水质安全及运行效率符合《室外给水设计标准》GB 50013-2018等技术要求。此举强化了供水系统的统一规划与管理，避免分散建设引发的资源浪费或水质风险，保障城市供水安全性与可持续性。</w:t>
      </w:r>
    </w:p>
    <w:p w14:paraId="2776FCBC">
      <w:pPr>
        <w:numPr>
          <w:ilvl w:val="0"/>
          <w:numId w:val="0"/>
        </w:numPr>
        <w:spacing w:line="360" w:lineRule="auto"/>
        <w:ind w:firstLine="480" w:firstLineChars="200"/>
        <w:rPr>
          <w:rFonts w:hint="eastAsia" w:ascii="宋体" w:hAnsi="宋体" w:eastAsia="宋体" w:cs="宋体"/>
          <w:color w:val="auto"/>
          <w:sz w:val="24"/>
          <w:lang w:val="en-US" w:eastAsia="zh-CN"/>
        </w:rPr>
      </w:pPr>
      <w:r>
        <w:rPr>
          <w:rFonts w:hint="eastAsia" w:ascii="宋体" w:hAnsi="宋体" w:eastAsia="宋体" w:cs="宋体"/>
          <w:color w:val="auto"/>
          <w:sz w:val="24"/>
          <w:lang w:val="en-US" w:eastAsia="zh-CN"/>
        </w:rPr>
        <w:t>考量内容：（1）新建、扩建、改建工程立项可行性研究报告；（2）供水工程投资项目总概算文件；（3）城市供水行政主管部分同意建设批复文件；</w:t>
      </w:r>
      <w:r>
        <w:rPr>
          <w:rFonts w:hint="eastAsia" w:ascii="宋体" w:hAnsi="宋体" w:eastAsia="宋体" w:cs="宋体"/>
          <w:color w:val="auto"/>
          <w:sz w:val="24"/>
          <w:lang w:eastAsia="zh-CN"/>
        </w:rPr>
        <w:t>（</w:t>
      </w:r>
      <w:r>
        <w:rPr>
          <w:rFonts w:hint="eastAsia" w:ascii="宋体" w:hAnsi="宋体" w:eastAsia="宋体" w:cs="宋体"/>
          <w:color w:val="auto"/>
          <w:sz w:val="24"/>
          <w:lang w:val="en-US" w:eastAsia="zh-CN"/>
        </w:rPr>
        <w:t>4</w:t>
      </w:r>
      <w:r>
        <w:rPr>
          <w:rFonts w:hint="eastAsia" w:ascii="宋体" w:hAnsi="宋体" w:eastAsia="宋体" w:cs="宋体"/>
          <w:color w:val="auto"/>
          <w:sz w:val="24"/>
          <w:lang w:eastAsia="zh-CN"/>
        </w:rPr>
        <w:t>）</w:t>
      </w:r>
      <w:r>
        <w:rPr>
          <w:rFonts w:hint="eastAsia" w:ascii="宋体" w:hAnsi="宋体" w:eastAsia="宋体" w:cs="宋体"/>
          <w:color w:val="auto"/>
          <w:sz w:val="24"/>
          <w:lang w:val="en-US" w:eastAsia="zh-CN"/>
        </w:rPr>
        <w:t xml:space="preserve">供水系统设计文件与说明文件。 </w:t>
      </w:r>
    </w:p>
    <w:p w14:paraId="70EF9A43">
      <w:pPr>
        <w:numPr>
          <w:ilvl w:val="0"/>
          <w:numId w:val="0"/>
        </w:numPr>
        <w:spacing w:line="360" w:lineRule="auto"/>
        <w:rPr>
          <w:rFonts w:hint="eastAsia" w:ascii="宋体" w:hAnsi="宋体" w:eastAsia="宋体" w:cs="宋体"/>
          <w:color w:val="auto"/>
          <w:sz w:val="24"/>
          <w:lang w:val="en-US" w:eastAsia="zh-CN"/>
        </w:rPr>
      </w:pPr>
      <w:r>
        <w:rPr>
          <w:rFonts w:hint="eastAsia" w:ascii="宋体" w:hAnsi="宋体" w:cs="宋体"/>
          <w:color w:val="auto"/>
          <w:sz w:val="24"/>
          <w:lang w:val="en-US" w:eastAsia="zh-CN"/>
        </w:rPr>
        <w:t>B.8</w:t>
      </w:r>
      <w:r>
        <w:rPr>
          <w:rFonts w:hint="eastAsia" w:ascii="宋体" w:hAnsi="宋体" w:eastAsia="宋体" w:cs="宋体"/>
          <w:color w:val="auto"/>
          <w:sz w:val="24"/>
          <w:lang w:val="en-US" w:eastAsia="zh-CN"/>
        </w:rPr>
        <w:t>.</w:t>
      </w:r>
      <w:r>
        <w:rPr>
          <w:rFonts w:hint="eastAsia" w:ascii="宋体" w:hAnsi="宋体" w:cs="宋体"/>
          <w:color w:val="auto"/>
          <w:sz w:val="24"/>
          <w:lang w:val="en-US" w:eastAsia="zh-CN"/>
        </w:rPr>
        <w:t>21</w:t>
      </w:r>
      <w:r>
        <w:rPr>
          <w:rFonts w:hint="eastAsia" w:ascii="宋体" w:hAnsi="宋体" w:eastAsia="宋体" w:cs="宋体"/>
          <w:color w:val="auto"/>
          <w:sz w:val="24"/>
          <w:lang w:val="en-US" w:eastAsia="zh-CN"/>
        </w:rPr>
        <w:t>本条款适用于城市供水工程运行阶段的评价。</w:t>
      </w:r>
    </w:p>
    <w:p w14:paraId="5BB3A1BB">
      <w:pPr>
        <w:numPr>
          <w:ilvl w:val="0"/>
          <w:numId w:val="0"/>
        </w:numPr>
        <w:spacing w:line="360" w:lineRule="auto"/>
        <w:ind w:firstLine="480" w:firstLineChars="200"/>
        <w:rPr>
          <w:rFonts w:hint="eastAsia" w:ascii="宋体" w:hAnsi="宋体" w:eastAsia="宋体" w:cs="宋体"/>
          <w:color w:val="auto"/>
          <w:sz w:val="24"/>
          <w:lang w:val="en-US" w:eastAsia="zh-CN"/>
        </w:rPr>
      </w:pPr>
      <w:r>
        <w:rPr>
          <w:rFonts w:hint="eastAsia" w:ascii="宋体" w:hAnsi="宋体" w:eastAsia="宋体" w:cs="宋体"/>
          <w:color w:val="auto"/>
          <w:sz w:val="24"/>
          <w:lang w:val="en-US" w:eastAsia="zh-CN"/>
        </w:rPr>
        <w:t>本条款旨在通过系统性措施强化供水安全保障与服务质量，提升居民用水满意度。依据《城镇供水管网漏损控制及评定标准》CJJ 92-2016及《城镇供水管网运行、维护及安全技术规程》CJJ 207-2013，要求通过建立管网漏损监测、分区计量、压力调控等全流程漏损管控体系，降低漏损率，保障供水稳定性；同时参照《城镇供水厂运行、维护及安全技术规程》CJJ 58-2021，规定压力调控需采用智能化分区分压策略，逐步调整管网压力参数，避免因骤降压差引发管道破裂或用户用水波动，减少投诉风险。针对漏损导致的供水不足问题，须结合《城市供水条例》要求，优先采用声学检测、智能探漏等技术手段定位漏点，并依据《城镇供水系统应急技术规范》CJJ/T 223-2014建立分级应急抢修机制，明确抢修时限、物资储备及联动响应流程，确保漏损事件快速处置，最大限度减少对用户的影响。上述措施协同实施，可有效提升供水可靠性及服务响应效率，切实保障用户用水权益，实现供水安全与民生满意度的双重优化。</w:t>
      </w:r>
    </w:p>
    <w:p w14:paraId="7AD82E17">
      <w:pPr>
        <w:numPr>
          <w:ilvl w:val="0"/>
          <w:numId w:val="0"/>
        </w:numPr>
        <w:spacing w:line="360" w:lineRule="auto"/>
        <w:ind w:firstLine="480" w:firstLineChars="200"/>
        <w:rPr>
          <w:rFonts w:hint="eastAsia" w:ascii="宋体" w:hAnsi="宋体" w:eastAsia="宋体" w:cs="宋体"/>
          <w:color w:val="auto"/>
          <w:sz w:val="24"/>
          <w:lang w:val="en-US" w:eastAsia="zh-CN"/>
        </w:rPr>
      </w:pPr>
      <w:r>
        <w:rPr>
          <w:rFonts w:hint="eastAsia" w:ascii="宋体" w:hAnsi="宋体" w:eastAsia="宋体" w:cs="宋体"/>
          <w:color w:val="auto"/>
          <w:sz w:val="24"/>
          <w:lang w:val="en-US" w:eastAsia="zh-CN"/>
        </w:rPr>
        <w:t>考量内容：（1）用户满意度调查；（2）应急保障机制；（3）数字化监测系统及运行情况；（4）培训和演习记录等；（5）事故检修记录等相关文件等。</w:t>
      </w:r>
      <w:r>
        <w:rPr>
          <w:rFonts w:hint="eastAsia" w:ascii="宋体" w:hAnsi="宋体" w:eastAsia="宋体" w:cs="宋体"/>
          <w:color w:val="auto"/>
          <w:sz w:val="24"/>
          <w:lang w:eastAsia="zh-CN"/>
        </w:rPr>
        <w:t>（</w:t>
      </w:r>
      <w:r>
        <w:rPr>
          <w:rFonts w:hint="eastAsia" w:ascii="宋体" w:hAnsi="宋体" w:eastAsia="宋体" w:cs="宋体"/>
          <w:color w:val="auto"/>
          <w:sz w:val="24"/>
          <w:lang w:val="en-US" w:eastAsia="zh-CN"/>
        </w:rPr>
        <w:t>6</w:t>
      </w:r>
      <w:r>
        <w:rPr>
          <w:rFonts w:hint="eastAsia" w:ascii="宋体" w:hAnsi="宋体" w:eastAsia="宋体" w:cs="宋体"/>
          <w:color w:val="auto"/>
          <w:sz w:val="24"/>
          <w:lang w:eastAsia="zh-CN"/>
        </w:rPr>
        <w:t>）</w:t>
      </w:r>
      <w:r>
        <w:rPr>
          <w:rFonts w:hint="eastAsia" w:ascii="宋体" w:hAnsi="宋体" w:eastAsia="宋体" w:cs="宋体"/>
          <w:color w:val="auto"/>
          <w:sz w:val="24"/>
          <w:lang w:val="en-US" w:eastAsia="zh-CN"/>
        </w:rPr>
        <w:t>应急响应机制；（7）投诉与监督办理记录。</w:t>
      </w:r>
    </w:p>
    <w:p w14:paraId="4C7B1D2D">
      <w:pPr>
        <w:spacing w:line="360" w:lineRule="auto"/>
        <w:rPr>
          <w:rFonts w:hint="eastAsia" w:ascii="宋体" w:hAnsi="宋体" w:eastAsia="宋体" w:cs="宋体"/>
          <w:color w:val="auto"/>
          <w:sz w:val="24"/>
          <w:lang w:val="en-US" w:eastAsia="zh-CN"/>
        </w:rPr>
      </w:pPr>
      <w:r>
        <w:rPr>
          <w:rFonts w:hint="eastAsia" w:ascii="宋体" w:hAnsi="宋体" w:cs="宋体"/>
          <w:color w:val="auto"/>
          <w:sz w:val="24"/>
          <w:lang w:val="en-US" w:eastAsia="zh-CN"/>
        </w:rPr>
        <w:t>B.8</w:t>
      </w:r>
      <w:r>
        <w:rPr>
          <w:rFonts w:hint="eastAsia" w:ascii="宋体" w:hAnsi="宋体" w:eastAsia="宋体" w:cs="宋体"/>
          <w:color w:val="auto"/>
          <w:sz w:val="24"/>
          <w:lang w:val="en-US" w:eastAsia="zh-CN"/>
        </w:rPr>
        <w:t>.</w:t>
      </w:r>
      <w:r>
        <w:rPr>
          <w:rFonts w:hint="eastAsia" w:ascii="宋体" w:hAnsi="宋体" w:cs="宋体"/>
          <w:color w:val="auto"/>
          <w:sz w:val="24"/>
          <w:lang w:val="en-US" w:eastAsia="zh-CN"/>
        </w:rPr>
        <w:t>22</w:t>
      </w:r>
      <w:r>
        <w:rPr>
          <w:rFonts w:hint="eastAsia" w:ascii="宋体" w:hAnsi="宋体" w:eastAsia="宋体" w:cs="宋体"/>
          <w:color w:val="auto"/>
          <w:sz w:val="24"/>
          <w:lang w:val="en-US" w:eastAsia="zh-CN"/>
        </w:rPr>
        <w:t xml:space="preserve"> 本条款适用于城市供水工程运行阶段的评价。</w:t>
      </w:r>
    </w:p>
    <w:p w14:paraId="1F3B51E3">
      <w:pPr>
        <w:spacing w:line="360" w:lineRule="auto"/>
        <w:ind w:firstLine="480" w:firstLineChars="200"/>
        <w:rPr>
          <w:rFonts w:hint="eastAsia" w:ascii="宋体" w:hAnsi="宋体" w:eastAsia="宋体" w:cs="宋体"/>
          <w:color w:val="auto"/>
          <w:sz w:val="24"/>
          <w:lang w:val="en-US" w:eastAsia="zh-CN"/>
        </w:rPr>
      </w:pPr>
      <w:r>
        <w:rPr>
          <w:rFonts w:hint="eastAsia" w:ascii="宋体" w:hAnsi="宋体" w:eastAsia="宋体" w:cs="宋体"/>
          <w:color w:val="auto"/>
          <w:sz w:val="24"/>
          <w:lang w:val="en-US" w:eastAsia="zh-CN"/>
        </w:rPr>
        <w:t>本条款要求供水厂构建覆盖水质检测、药剂管理及实验室运行的全流程质量控制体系，以系统性提升供水安全治理水平。依据《生活饮用水卫生标准》GB 5749-2022及《城镇供水厂运行、维护及安全技术规程》CJJ 58-202），水质检验制度需明确原水、过程水、出厂水的检测项目、频次及限值，确保水质达标；净水药剂及材料的采购、储存与投加须符合《水处理剂卫生安全评价规范》GB/T 37906-2019要求，严禁使用含有毒有害成分的药剂，并建立供应商资质审核与产品抽检机制，防范污染风险。实验室质量控制应参照《检测和校准实验室能力的通用要求》GB/T 27025-2019，规范仪器校准、试剂标定、人员操作及数据记录等环节，确保检测结果准确可靠。通过上述体系的协同实施，可有效保障供水水质稳定性与工艺规范性，降低运行风险，全面提升供水服务的管理效能与公众信任度。</w:t>
      </w:r>
    </w:p>
    <w:p w14:paraId="52924F78">
      <w:pPr>
        <w:spacing w:line="360" w:lineRule="auto"/>
        <w:ind w:firstLine="480" w:firstLineChars="200"/>
        <w:rPr>
          <w:rFonts w:hint="eastAsia" w:ascii="宋体" w:hAnsi="宋体" w:eastAsia="宋体" w:cs="宋体"/>
          <w:color w:val="auto"/>
          <w:sz w:val="24"/>
          <w:lang w:eastAsia="zh-CN"/>
        </w:rPr>
      </w:pPr>
      <w:r>
        <w:rPr>
          <w:rFonts w:hint="eastAsia" w:ascii="宋体" w:hAnsi="宋体" w:eastAsia="宋体" w:cs="宋体"/>
          <w:color w:val="auto"/>
          <w:sz w:val="24"/>
          <w:lang w:val="en-US" w:eastAsia="zh-CN"/>
        </w:rPr>
        <w:t>考量内容：（1）质量控制体系文件；（2）现场照片和视频记录；（3）水质检验记录；（4）合格供应商名录；（5）实验室质量控制；（6）相关监管部门监督检查报告；（5）投诉与监督办理记录等。</w:t>
      </w:r>
    </w:p>
    <w:p w14:paraId="219ECE87">
      <w:pPr>
        <w:spacing w:line="360" w:lineRule="auto"/>
        <w:rPr>
          <w:rFonts w:hint="eastAsia" w:ascii="宋体" w:hAnsi="宋体" w:eastAsia="宋体" w:cs="宋体"/>
          <w:color w:val="auto"/>
          <w:sz w:val="24"/>
          <w:lang w:val="en-US" w:eastAsia="zh-CN"/>
        </w:rPr>
      </w:pPr>
      <w:r>
        <w:rPr>
          <w:rFonts w:hint="eastAsia" w:ascii="宋体" w:hAnsi="宋体" w:cs="宋体"/>
          <w:color w:val="auto"/>
          <w:sz w:val="24"/>
          <w:lang w:val="en-US" w:eastAsia="zh-CN"/>
        </w:rPr>
        <w:t>B.8</w:t>
      </w:r>
      <w:r>
        <w:rPr>
          <w:rFonts w:hint="eastAsia" w:ascii="宋体" w:hAnsi="宋体" w:eastAsia="宋体" w:cs="宋体"/>
          <w:color w:val="auto"/>
          <w:sz w:val="24"/>
          <w:lang w:val="en-US" w:eastAsia="zh-CN"/>
        </w:rPr>
        <w:t>.</w:t>
      </w:r>
      <w:r>
        <w:rPr>
          <w:rFonts w:hint="eastAsia" w:ascii="宋体" w:hAnsi="宋体" w:cs="宋体"/>
          <w:color w:val="auto"/>
          <w:sz w:val="24"/>
          <w:lang w:val="en-US" w:eastAsia="zh-CN"/>
        </w:rPr>
        <w:t>23</w:t>
      </w:r>
      <w:r>
        <w:rPr>
          <w:rFonts w:hint="eastAsia" w:ascii="宋体" w:hAnsi="宋体" w:eastAsia="宋体" w:cs="宋体"/>
          <w:color w:val="auto"/>
          <w:sz w:val="24"/>
          <w:lang w:val="en-US" w:eastAsia="zh-CN"/>
        </w:rPr>
        <w:t xml:space="preserve"> 本条款适用于城市供水工程运行阶段的评价。</w:t>
      </w:r>
    </w:p>
    <w:p w14:paraId="63AF3C4E">
      <w:pPr>
        <w:spacing w:line="360" w:lineRule="auto"/>
        <w:ind w:firstLine="480" w:firstLineChars="200"/>
        <w:rPr>
          <w:rFonts w:hint="eastAsia" w:ascii="宋体" w:hAnsi="宋体" w:eastAsia="宋体" w:cs="宋体"/>
          <w:color w:val="auto"/>
          <w:sz w:val="24"/>
          <w:lang w:eastAsia="zh-CN"/>
        </w:rPr>
      </w:pPr>
      <w:r>
        <w:rPr>
          <w:rFonts w:hint="eastAsia" w:ascii="宋体" w:hAnsi="宋体" w:eastAsia="宋体" w:cs="宋体"/>
          <w:color w:val="auto"/>
          <w:sz w:val="24"/>
          <w:lang w:eastAsia="zh-CN"/>
        </w:rPr>
        <w:t>本条款要求供水企业构建覆盖用户管理、计量器具运维及管网数据更新的动态管理体系，</w:t>
      </w:r>
      <w:r>
        <w:rPr>
          <w:rFonts w:hint="eastAsia" w:ascii="宋体" w:hAnsi="宋体" w:eastAsia="宋体" w:cs="宋体"/>
          <w:color w:val="auto"/>
          <w:sz w:val="24"/>
          <w:lang w:val="en-US" w:eastAsia="zh-CN"/>
        </w:rPr>
        <w:t>旨在</w:t>
      </w:r>
      <w:r>
        <w:rPr>
          <w:rFonts w:hint="eastAsia" w:ascii="宋体" w:hAnsi="宋体" w:eastAsia="宋体" w:cs="宋体"/>
          <w:color w:val="auto"/>
          <w:sz w:val="24"/>
          <w:lang w:eastAsia="zh-CN"/>
        </w:rPr>
        <w:t>提升供水服务精准性与运营效率。依据《城镇供水服务》GB/T 32063-2015及《城镇供水管网运行、维护及安全技术规程》CJJ 207-2013，用户注册登记制度需明确用户信息采集、变更及注销流程，并与供水调度系统联动，确保用水数据实时更新；计量器具管理应遵循《饮用冷水水表和热水水表》GB/T 778.1-2018要求，建立周期检定、故障更换及在线监测机制，保障计量准确性与公平性。管网档案管理须依托《城市地下管线探测技术规程》CJJ 61-2017，采用GIS技术完善管网空间属性数据库，动态记录新建、改造、维修等工程信息，支撑管网漏损分析与优化调度。同时，参照《信息安全技术 个人信息安全规范》GB/T 35273-2020，强化用户隐私与数据安全管理，通过系统化、标准化的动态管理机制，降低运营风险，提升供水服务透明度和用户信任度。</w:t>
      </w:r>
    </w:p>
    <w:p w14:paraId="33C871C3">
      <w:pPr>
        <w:spacing w:line="360" w:lineRule="auto"/>
        <w:ind w:firstLine="480" w:firstLineChars="200"/>
        <w:rPr>
          <w:rFonts w:hint="eastAsia" w:ascii="宋体" w:hAnsi="宋体" w:eastAsia="宋体" w:cs="宋体"/>
          <w:color w:val="auto"/>
          <w:sz w:val="24"/>
          <w:lang w:val="en-US" w:eastAsia="zh-CN"/>
        </w:rPr>
      </w:pPr>
      <w:r>
        <w:rPr>
          <w:rFonts w:hint="eastAsia" w:ascii="宋体" w:hAnsi="宋体" w:eastAsia="宋体" w:cs="宋体"/>
          <w:color w:val="auto"/>
          <w:sz w:val="24"/>
          <w:lang w:val="en-US" w:eastAsia="zh-CN"/>
        </w:rPr>
        <w:t>考量内容：（1）用户注册登记制度；（2）计量器具管理办法；（3）管网档案记录；（4）供水企业</w:t>
      </w:r>
      <w:r>
        <w:rPr>
          <w:rFonts w:hint="eastAsia" w:ascii="宋体" w:hAnsi="宋体" w:eastAsia="宋体" w:cs="宋体"/>
          <w:color w:val="auto"/>
          <w:sz w:val="24"/>
        </w:rPr>
        <w:t>管网运行智能调度</w:t>
      </w:r>
      <w:r>
        <w:rPr>
          <w:rFonts w:hint="eastAsia" w:ascii="宋体" w:hAnsi="宋体" w:eastAsia="宋体" w:cs="宋体"/>
          <w:color w:val="auto"/>
          <w:sz w:val="24"/>
          <w:lang w:val="en-US" w:eastAsia="zh-CN"/>
        </w:rPr>
        <w:t>系统；（5）相关监管部门监督检查报告；（6）投诉与监督办理记录等。</w:t>
      </w:r>
    </w:p>
    <w:p w14:paraId="6F55E6CA">
      <w:pPr>
        <w:spacing w:line="360" w:lineRule="auto"/>
        <w:rPr>
          <w:rFonts w:hint="eastAsia" w:ascii="宋体" w:hAnsi="宋体" w:eastAsia="宋体" w:cs="宋体"/>
          <w:color w:val="auto"/>
          <w:sz w:val="24"/>
          <w:lang w:val="en-US" w:eastAsia="zh-CN"/>
        </w:rPr>
      </w:pPr>
      <w:r>
        <w:rPr>
          <w:rFonts w:hint="eastAsia" w:ascii="宋体" w:hAnsi="宋体" w:cs="宋体"/>
          <w:color w:val="auto"/>
          <w:sz w:val="24"/>
          <w:lang w:val="en-US" w:eastAsia="zh-CN"/>
        </w:rPr>
        <w:t>B.8</w:t>
      </w:r>
      <w:r>
        <w:rPr>
          <w:rFonts w:hint="eastAsia" w:ascii="宋体" w:hAnsi="宋体" w:eastAsia="宋体" w:cs="宋体"/>
          <w:color w:val="auto"/>
          <w:sz w:val="24"/>
          <w:lang w:val="en-US" w:eastAsia="zh-CN"/>
        </w:rPr>
        <w:t>.</w:t>
      </w:r>
      <w:r>
        <w:rPr>
          <w:rFonts w:hint="eastAsia" w:ascii="宋体" w:hAnsi="宋体" w:cs="宋体"/>
          <w:color w:val="auto"/>
          <w:sz w:val="24"/>
          <w:lang w:val="en-US" w:eastAsia="zh-CN"/>
        </w:rPr>
        <w:t>24</w:t>
      </w:r>
      <w:r>
        <w:rPr>
          <w:rFonts w:hint="eastAsia" w:ascii="宋体" w:hAnsi="宋体" w:eastAsia="宋体" w:cs="宋体"/>
          <w:color w:val="auto"/>
          <w:sz w:val="24"/>
          <w:lang w:val="en-US" w:eastAsia="zh-CN"/>
        </w:rPr>
        <w:t xml:space="preserve"> 本条款适用于城市供水工程运行阶段的评价。</w:t>
      </w:r>
    </w:p>
    <w:p w14:paraId="4D706C5A">
      <w:pPr>
        <w:spacing w:line="360" w:lineRule="auto"/>
        <w:ind w:firstLine="480" w:firstLineChars="200"/>
        <w:rPr>
          <w:rFonts w:hint="eastAsia" w:ascii="宋体" w:hAnsi="宋体" w:eastAsia="宋体" w:cs="宋体"/>
          <w:color w:val="auto"/>
          <w:sz w:val="24"/>
          <w:lang w:val="en-US" w:eastAsia="zh-CN"/>
        </w:rPr>
      </w:pPr>
      <w:r>
        <w:rPr>
          <w:rFonts w:hint="eastAsia" w:ascii="宋体" w:hAnsi="宋体" w:eastAsia="宋体" w:cs="宋体"/>
          <w:color w:val="auto"/>
          <w:sz w:val="24"/>
          <w:lang w:val="en-US" w:eastAsia="zh-CN"/>
        </w:rPr>
        <w:t>本条款要求用水管理单位建立并严格执行二次供水设施卫生管理制度，强化从业人员健康与专业能力监管，以保障供水卫生安全。依据《二次供水设施卫生规范》GB 17051-1997及《生活饮用水卫生标准》GB 5749-2022，卫生制度应涵盖设施清洗消毒周期、水质检测频次、防护措施及污染应急处置等内容，确保设施运行符合卫生要求。管理人员须按照《生活饮用水卫生监督管理办法》规定，每年进行健康检查并取得健康合格证明，防止传染病传播风险；同时需定期参加《饮用水供水单位卫生规范》要求的卫生知识培训，内容包含水质标准、消毒操作规范、卫生法规及应急预案等，经考核合格后方可上岗。通过制度化管理与人员能力建设，有效预防二次污染隐患，维护用户饮用水安全与公共卫生权益。</w:t>
      </w:r>
    </w:p>
    <w:p w14:paraId="70E20006">
      <w:pPr>
        <w:spacing w:line="360" w:lineRule="auto"/>
        <w:ind w:firstLine="480" w:firstLineChars="200"/>
        <w:rPr>
          <w:rFonts w:hint="eastAsia" w:ascii="宋体" w:hAnsi="宋体" w:eastAsia="宋体" w:cs="宋体"/>
          <w:color w:val="auto"/>
          <w:sz w:val="24"/>
          <w:lang w:val="en-US"/>
        </w:rPr>
      </w:pPr>
      <w:r>
        <w:rPr>
          <w:rFonts w:hint="eastAsia" w:ascii="宋体" w:hAnsi="宋体" w:eastAsia="宋体" w:cs="宋体"/>
          <w:color w:val="auto"/>
          <w:sz w:val="24"/>
          <w:lang w:val="en-US" w:eastAsia="zh-CN"/>
        </w:rPr>
        <w:t>考量内容：（1）二次供水设施卫生制度；（2）人员岗位管理办法；（3）人员培训记录；（4）岗位人员健康体检记录等。</w:t>
      </w:r>
    </w:p>
    <w:p w14:paraId="7AE1370D">
      <w:pPr>
        <w:spacing w:line="360" w:lineRule="auto"/>
        <w:rPr>
          <w:rFonts w:hint="eastAsia" w:ascii="宋体" w:hAnsi="宋体" w:eastAsia="宋体" w:cs="宋体"/>
          <w:color w:val="auto"/>
          <w:sz w:val="24"/>
          <w:lang w:val="en-US" w:eastAsia="zh-CN"/>
        </w:rPr>
      </w:pPr>
      <w:r>
        <w:rPr>
          <w:rFonts w:hint="eastAsia" w:ascii="宋体" w:hAnsi="宋体" w:cs="宋体"/>
          <w:color w:val="auto"/>
          <w:sz w:val="24"/>
          <w:lang w:val="en-US" w:eastAsia="zh-CN"/>
        </w:rPr>
        <w:t>B.8</w:t>
      </w:r>
      <w:r>
        <w:rPr>
          <w:rFonts w:hint="eastAsia" w:ascii="宋体" w:hAnsi="宋体" w:eastAsia="宋体" w:cs="宋体"/>
          <w:color w:val="auto"/>
          <w:sz w:val="24"/>
          <w:lang w:val="en-US" w:eastAsia="zh-CN"/>
        </w:rPr>
        <w:t>.</w:t>
      </w:r>
      <w:r>
        <w:rPr>
          <w:rFonts w:hint="eastAsia" w:ascii="宋体" w:hAnsi="宋体" w:cs="宋体"/>
          <w:color w:val="auto"/>
          <w:sz w:val="24"/>
          <w:lang w:val="en-US" w:eastAsia="zh-CN"/>
        </w:rPr>
        <w:t>25</w:t>
      </w:r>
      <w:r>
        <w:rPr>
          <w:rFonts w:hint="eastAsia" w:ascii="宋体" w:hAnsi="宋体" w:eastAsia="宋体" w:cs="宋体"/>
          <w:color w:val="auto"/>
          <w:sz w:val="24"/>
          <w:lang w:val="en-US" w:eastAsia="zh-CN"/>
        </w:rPr>
        <w:t xml:space="preserve"> 本条款适用于城市供水工程运行阶段的评价。</w:t>
      </w:r>
    </w:p>
    <w:p w14:paraId="323CB5AD">
      <w:pPr>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rPr>
        <w:t>本条款旨在通过规范化供水安全管控与应急响应机制，保障供水连续性和水质可靠性。依据《城镇供水厂运行、维护及安全技术规程》CJJ 58-2021及《城市供水条例》，供水单位须确保供水系统设备维护、备用电源配置及管网压力稳定，实现不间断供水；因计划性停水作业需按《城镇供水系统应急技术规范》CJJ/T 223-2014要求，提前24小时通过公告、短信等渠道通知用户，并经行政主管部门审批，减少对民生及经济活动的干扰。突发停水事件须遵循“抢修与通知同步”原则，依托GIS管网定位技术快速响应，2小时内上报行政主管部门并动态通报进展，确保符合《生活饮用水卫生标准》（GB 5749-2022）的应急供水措施同步启动。水质预警系统建设应参照《城市供水水质管理规定》，集成在线监测、污染溯源及多级报警功能，应急预案须明确不同污染等级下的处置流程、部门联动及公众沟通机制，定期开展应急演练并评估健康影响，全面提升供水系统韧性，维护社会公共健康安全。</w:t>
      </w:r>
    </w:p>
    <w:p w14:paraId="58F53EDE">
      <w:pPr>
        <w:numPr>
          <w:ilvl w:val="0"/>
          <w:numId w:val="0"/>
        </w:numPr>
        <w:spacing w:line="360" w:lineRule="auto"/>
        <w:ind w:firstLine="480" w:firstLineChars="200"/>
        <w:rPr>
          <w:rFonts w:hint="eastAsia" w:ascii="宋体" w:hAnsi="宋体" w:eastAsia="宋体" w:cs="宋体"/>
          <w:color w:val="auto"/>
          <w:sz w:val="24"/>
          <w:lang w:val="en-US" w:eastAsia="zh-CN"/>
        </w:rPr>
      </w:pPr>
      <w:r>
        <w:rPr>
          <w:rFonts w:hint="eastAsia" w:ascii="宋体" w:hAnsi="宋体" w:eastAsia="宋体" w:cs="宋体"/>
          <w:color w:val="auto"/>
          <w:sz w:val="24"/>
          <w:lang w:val="en-US" w:eastAsia="zh-CN"/>
        </w:rPr>
        <w:t>考量内容：（1）供水系统设备维护记录；（2）应急管理预案；（3）应急保障机制；（4）现场照片和视频记录；（5）安全管理检查记录；（6）相关监管部门监督检查报告；（7）事故检修记录等相关文件等。</w:t>
      </w:r>
    </w:p>
    <w:p w14:paraId="0076347F">
      <w:pPr>
        <w:spacing w:line="360" w:lineRule="auto"/>
        <w:rPr>
          <w:rFonts w:hint="eastAsia" w:ascii="宋体" w:hAnsi="宋体" w:eastAsia="宋体" w:cs="宋体"/>
          <w:color w:val="auto"/>
          <w:sz w:val="24"/>
          <w:lang w:val="en-US" w:eastAsia="zh-CN"/>
        </w:rPr>
      </w:pPr>
      <w:r>
        <w:rPr>
          <w:rFonts w:hint="eastAsia" w:ascii="宋体" w:hAnsi="宋体" w:cs="宋体"/>
          <w:color w:val="auto"/>
          <w:sz w:val="24"/>
          <w:lang w:val="en-US" w:eastAsia="zh-CN"/>
        </w:rPr>
        <w:t>B.8</w:t>
      </w:r>
      <w:r>
        <w:rPr>
          <w:rFonts w:hint="eastAsia" w:ascii="宋体" w:hAnsi="宋体" w:eastAsia="宋体" w:cs="宋体"/>
          <w:color w:val="auto"/>
          <w:sz w:val="24"/>
          <w:lang w:val="en-US" w:eastAsia="zh-CN"/>
        </w:rPr>
        <w:t>.</w:t>
      </w:r>
      <w:r>
        <w:rPr>
          <w:rFonts w:hint="eastAsia" w:ascii="宋体" w:hAnsi="宋体" w:cs="宋体"/>
          <w:color w:val="auto"/>
          <w:sz w:val="24"/>
          <w:lang w:val="en-US" w:eastAsia="zh-CN"/>
        </w:rPr>
        <w:t>26</w:t>
      </w:r>
      <w:r>
        <w:rPr>
          <w:rFonts w:hint="eastAsia" w:ascii="宋体" w:hAnsi="宋体" w:eastAsia="宋体" w:cs="宋体"/>
          <w:color w:val="auto"/>
          <w:sz w:val="24"/>
          <w:lang w:val="en-US" w:eastAsia="zh-CN"/>
        </w:rPr>
        <w:t xml:space="preserve"> 本条款适用于城市供水工程运行阶段的评价。</w:t>
      </w:r>
    </w:p>
    <w:p w14:paraId="45E76402">
      <w:pPr>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rPr>
        <w:t>本条款要求供水企业建立健全应急响应机制，确保供水系统在突发情况下安全稳定运行。依据《城镇供水厂运行、维护及安全技术规程》CJJ 58-2021及《国家突发公共事件总体应急预案》，供水厂需制定安全生产应急预案，明确自然灾害（如洪涝、地震）、公共卫生事件（如水源污染）等场景下的风险研判、应急指挥体系、物资储备及备用供水方案，定期开展应急演练，保障社会秩序稳定。针对水质异常或污染事件，须严格遵循《生活饮用水卫生标准》GB 5749-2022和《生活饮用水卫生监督管理办法》，通过在线监测系统实时跟踪水质指标变化，异常情况下加密检测频次，并在2小时内向城市供水行政主管部门及卫生监督部门提交书面报告；对重大污染事件或不明原因水质恶化，应立即启动《城镇供水系统应急技术规范》CJJ/T 223-2014规定的应急程序，采取停用污染水源、启用应急备用水源、强化净水工艺或实施管网冲洗等措施，同步开展污染溯源分析，并向公众发布风险提示及临时用水指引，最大限度降低公共健康危害，确保供水安全与社会稳定。</w:t>
      </w:r>
    </w:p>
    <w:p w14:paraId="131D113D">
      <w:pPr>
        <w:numPr>
          <w:ilvl w:val="0"/>
          <w:numId w:val="0"/>
        </w:numPr>
        <w:spacing w:line="360" w:lineRule="auto"/>
        <w:ind w:firstLine="480" w:firstLineChars="200"/>
        <w:rPr>
          <w:rFonts w:hint="eastAsia" w:ascii="宋体" w:hAnsi="宋体" w:eastAsia="宋体" w:cs="宋体"/>
          <w:color w:val="auto"/>
          <w:sz w:val="24"/>
          <w:lang w:val="en-US" w:eastAsia="zh-CN"/>
        </w:rPr>
      </w:pPr>
      <w:r>
        <w:rPr>
          <w:rFonts w:hint="eastAsia" w:ascii="宋体" w:hAnsi="宋体" w:eastAsia="宋体" w:cs="宋体"/>
          <w:color w:val="auto"/>
          <w:sz w:val="24"/>
          <w:lang w:val="en-US" w:eastAsia="zh-CN"/>
        </w:rPr>
        <w:t>考量内容：（1）安全生产应急管理预案；（2）应急保障机制；（3）供水企业</w:t>
      </w:r>
      <w:r>
        <w:rPr>
          <w:rFonts w:hint="eastAsia" w:ascii="宋体" w:hAnsi="宋体" w:eastAsia="宋体" w:cs="宋体"/>
          <w:color w:val="auto"/>
          <w:sz w:val="24"/>
        </w:rPr>
        <w:t>管网运行智能调度</w:t>
      </w:r>
      <w:r>
        <w:rPr>
          <w:rFonts w:hint="eastAsia" w:ascii="宋体" w:hAnsi="宋体" w:eastAsia="宋体" w:cs="宋体"/>
          <w:color w:val="auto"/>
          <w:sz w:val="24"/>
          <w:lang w:val="en-US" w:eastAsia="zh-CN"/>
        </w:rPr>
        <w:t>系统；（4）现场照片和视频记录；（5）相关监管部门监督检查报告；（6）事故检修记录等相关文件等。</w:t>
      </w:r>
    </w:p>
    <w:p w14:paraId="347BD0F5">
      <w:pPr>
        <w:spacing w:line="360" w:lineRule="auto"/>
        <w:rPr>
          <w:rFonts w:hint="eastAsia" w:ascii="宋体" w:hAnsi="宋体" w:eastAsia="宋体" w:cs="宋体"/>
          <w:color w:val="auto"/>
          <w:sz w:val="24"/>
          <w:lang w:val="en-US" w:eastAsia="zh-CN"/>
        </w:rPr>
      </w:pPr>
      <w:r>
        <w:rPr>
          <w:rFonts w:hint="eastAsia" w:ascii="宋体" w:hAnsi="宋体" w:cs="宋体"/>
          <w:color w:val="auto"/>
          <w:sz w:val="24"/>
          <w:lang w:val="en-US" w:eastAsia="zh-CN"/>
        </w:rPr>
        <w:t>B.8</w:t>
      </w:r>
      <w:r>
        <w:rPr>
          <w:rFonts w:hint="eastAsia" w:ascii="宋体" w:hAnsi="宋体" w:eastAsia="宋体" w:cs="宋体"/>
          <w:color w:val="auto"/>
          <w:sz w:val="24"/>
          <w:lang w:val="en-US" w:eastAsia="zh-CN"/>
        </w:rPr>
        <w:t>.</w:t>
      </w:r>
      <w:r>
        <w:rPr>
          <w:rFonts w:hint="eastAsia" w:ascii="宋体" w:hAnsi="宋体" w:cs="宋体"/>
          <w:color w:val="auto"/>
          <w:sz w:val="24"/>
          <w:lang w:val="en-US" w:eastAsia="zh-CN"/>
        </w:rPr>
        <w:t>27</w:t>
      </w:r>
      <w:r>
        <w:rPr>
          <w:rFonts w:hint="eastAsia" w:ascii="宋体" w:hAnsi="宋体" w:eastAsia="宋体" w:cs="宋体"/>
          <w:color w:val="auto"/>
          <w:sz w:val="24"/>
          <w:lang w:val="en-US" w:eastAsia="zh-CN"/>
        </w:rPr>
        <w:t xml:space="preserve"> 本条款适用于城市供水工程运行阶段的评价。</w:t>
      </w:r>
    </w:p>
    <w:p w14:paraId="4C3EC2EE">
      <w:pPr>
        <w:spacing w:line="360" w:lineRule="auto"/>
        <w:ind w:firstLine="480" w:firstLineChars="200"/>
        <w:rPr>
          <w:rFonts w:hint="eastAsia" w:ascii="宋体" w:hAnsi="宋体" w:eastAsia="宋体" w:cs="宋体"/>
          <w:color w:val="auto"/>
          <w:sz w:val="24"/>
          <w:lang w:val="en-US" w:eastAsia="zh-CN"/>
        </w:rPr>
      </w:pPr>
      <w:r>
        <w:rPr>
          <w:rFonts w:hint="eastAsia" w:ascii="宋体" w:hAnsi="宋体" w:eastAsia="宋体" w:cs="宋体"/>
          <w:color w:val="auto"/>
          <w:sz w:val="24"/>
          <w:lang w:val="en-US" w:eastAsia="zh-CN"/>
        </w:rPr>
        <w:t>本条款要求供水企业对供水系统全链条设施实施标准化巡检与维护，确保设施安全可靠运行。依据《城镇供水厂运行、维护及安全技术规程》CJJ 58-2021及《城市供水条例》，供水企业需针对水库、引水渠道、取水口等关键设施制定周期性检查计划，明确泵站机组维护、管网漏损检测（参照《城镇供水管网漏损控制及评定标准》CJJ 92-2016）、水表计量校准（符合《饮用冷水水表和热水水表》GB/T 778.1-2018）等具体维保要求，并建立设施健康档案动态更新机制。净（配）水厂工艺设备检修须符合《室外给水设计标准》GB 50013-2018，重点监测反应池、滤池及消毒系统效能，防范运行故障；输配水管网应结合《城镇供水管网运行、维护及安全技术规程》CJJ 207-2013开展压力监测、防腐处理及爆管风险评估，对老旧管线优先改造升级。同时，参照《城镇供水系统应急技术规范》CJJ/T 223-2014，储备应急抢修物资并完善突发故障处置流程，通过声学检测、GIS定位等技术快速响应隐患，确保供水连续性及水质稳定性，降低公共安全风险，维护居民用水权益。</w:t>
      </w:r>
    </w:p>
    <w:p w14:paraId="0CF14E17">
      <w:pPr>
        <w:numPr>
          <w:ilvl w:val="0"/>
          <w:numId w:val="0"/>
        </w:numPr>
        <w:spacing w:line="360" w:lineRule="auto"/>
        <w:ind w:firstLine="480" w:firstLineChars="200"/>
        <w:rPr>
          <w:rFonts w:hint="eastAsia" w:ascii="宋体" w:hAnsi="宋体" w:eastAsia="宋体" w:cs="宋体"/>
          <w:color w:val="auto"/>
          <w:sz w:val="24"/>
          <w:lang w:val="en-US" w:eastAsia="zh-CN"/>
        </w:rPr>
      </w:pPr>
      <w:r>
        <w:rPr>
          <w:rFonts w:hint="eastAsia" w:ascii="宋体" w:hAnsi="宋体" w:eastAsia="宋体" w:cs="宋体"/>
          <w:color w:val="auto"/>
          <w:sz w:val="24"/>
          <w:lang w:val="en-US" w:eastAsia="zh-CN"/>
        </w:rPr>
        <w:t>考量内容：（1）供水设施巡检与维护制度、记录；（2）供水系统设备维护记录；（3）供水企业</w:t>
      </w:r>
      <w:r>
        <w:rPr>
          <w:rFonts w:hint="eastAsia" w:ascii="宋体" w:hAnsi="宋体" w:eastAsia="宋体" w:cs="宋体"/>
          <w:color w:val="auto"/>
          <w:sz w:val="24"/>
        </w:rPr>
        <w:t>管网运行智能调度</w:t>
      </w:r>
      <w:r>
        <w:rPr>
          <w:rFonts w:hint="eastAsia" w:ascii="宋体" w:hAnsi="宋体" w:eastAsia="宋体" w:cs="宋体"/>
          <w:color w:val="auto"/>
          <w:sz w:val="24"/>
          <w:lang w:val="en-US" w:eastAsia="zh-CN"/>
        </w:rPr>
        <w:t>系统；（4）现场照片和视频记录；（5）安全管理检查记录；（6）相关监管部门监督检查报告；（7）事故检修记录等相关文件等。</w:t>
      </w:r>
    </w:p>
    <w:p w14:paraId="650C5879">
      <w:pPr>
        <w:numPr>
          <w:ilvl w:val="0"/>
          <w:numId w:val="0"/>
        </w:numPr>
        <w:spacing w:line="360" w:lineRule="auto"/>
        <w:ind w:leftChars="0"/>
        <w:rPr>
          <w:rFonts w:hint="eastAsia" w:ascii="宋体" w:hAnsi="宋体" w:eastAsia="宋体" w:cs="宋体"/>
          <w:color w:val="auto"/>
          <w:sz w:val="24"/>
          <w:lang w:val="en-US" w:eastAsia="zh-CN"/>
        </w:rPr>
      </w:pPr>
      <w:r>
        <w:rPr>
          <w:rFonts w:hint="eastAsia" w:ascii="宋体" w:hAnsi="宋体" w:cs="宋体"/>
          <w:color w:val="auto"/>
          <w:sz w:val="24"/>
          <w:lang w:val="en-US" w:eastAsia="zh-CN"/>
        </w:rPr>
        <w:t>B.8</w:t>
      </w:r>
      <w:r>
        <w:rPr>
          <w:rFonts w:hint="eastAsia" w:ascii="宋体" w:hAnsi="宋体" w:eastAsia="宋体" w:cs="宋体"/>
          <w:color w:val="auto"/>
          <w:sz w:val="24"/>
          <w:lang w:val="en-US" w:eastAsia="zh-CN"/>
        </w:rPr>
        <w:t>.</w:t>
      </w:r>
      <w:r>
        <w:rPr>
          <w:rFonts w:hint="eastAsia" w:ascii="宋体" w:hAnsi="宋体" w:cs="宋体"/>
          <w:color w:val="auto"/>
          <w:sz w:val="24"/>
          <w:lang w:val="en-US" w:eastAsia="zh-CN"/>
        </w:rPr>
        <w:t>28</w:t>
      </w:r>
      <w:r>
        <w:rPr>
          <w:rFonts w:hint="eastAsia" w:ascii="宋体" w:hAnsi="宋体" w:eastAsia="宋体" w:cs="宋体"/>
          <w:color w:val="auto"/>
          <w:sz w:val="24"/>
          <w:lang w:val="en-US" w:eastAsia="zh-CN"/>
        </w:rPr>
        <w:t xml:space="preserve"> 本条款适用于城市供水工程规划设计、运行阶段的评价。</w:t>
      </w:r>
    </w:p>
    <w:p w14:paraId="28528507">
      <w:pPr>
        <w:numPr>
          <w:ilvl w:val="0"/>
          <w:numId w:val="0"/>
        </w:numPr>
        <w:spacing w:line="360" w:lineRule="auto"/>
        <w:ind w:leftChars="0" w:firstLine="480" w:firstLineChars="200"/>
        <w:rPr>
          <w:rFonts w:hint="eastAsia" w:ascii="宋体" w:hAnsi="宋体" w:eastAsia="宋体" w:cs="宋体"/>
          <w:color w:val="auto"/>
          <w:sz w:val="24"/>
          <w:lang w:val="en-US" w:eastAsia="zh-CN"/>
        </w:rPr>
      </w:pPr>
      <w:r>
        <w:rPr>
          <w:rFonts w:hint="eastAsia" w:ascii="宋体" w:hAnsi="宋体" w:eastAsia="宋体" w:cs="宋体"/>
          <w:color w:val="auto"/>
          <w:sz w:val="24"/>
          <w:lang w:val="en-US" w:eastAsia="zh-CN"/>
        </w:rPr>
        <w:t>本条款旨在通过规范化压力监测与管网保护措施，保障供水管网运行安全及水质稳定性。依据《城镇供水管网运行、维护及安全技术规程》CJJ 207-2013及《室外给水设计标准》GB 50013-2018，供水企业应在管网关键节点（如输配水干管交汇处、末端及高地等区域）科学设置测压点，结合在线监测系统实时采集压力数据，动态调控泵站机组运行参数，确保管网压力符合《城镇供水厂运行、维护及安全技术规程》CJJ 58-2021规定的服务压力范围（通常为0.14-0.40MPa），避免超压引发爆管或低压导致供水不足。严禁在城市公共供水管道上直接装泵抽水，该行为违反《城市供水条例》及《建筑给水排水设计标准》GB 50015-2019相关规定，可能造成管网负压、水质倒灌污染或局部压力失衡，需通过执法检查与用户宣传教育予以禁止；确需增设加压设施的，应经供水行政主管部门审批，并采用合规的间接加压技术方案。上述措施协同实施，可有效降低管网运行风险，维护供水系统安全性与用户用水权益。</w:t>
      </w:r>
    </w:p>
    <w:p w14:paraId="50E3AF1B">
      <w:pPr>
        <w:numPr>
          <w:ilvl w:val="0"/>
          <w:numId w:val="0"/>
        </w:numPr>
        <w:spacing w:line="360" w:lineRule="auto"/>
        <w:ind w:firstLine="480" w:firstLineChars="200"/>
        <w:rPr>
          <w:rFonts w:hint="eastAsia" w:ascii="宋体" w:hAnsi="宋体" w:eastAsia="宋体" w:cs="宋体"/>
          <w:color w:val="auto"/>
          <w:sz w:val="24"/>
          <w:lang w:val="en-US" w:eastAsia="zh-CN"/>
        </w:rPr>
      </w:pPr>
      <w:r>
        <w:rPr>
          <w:rFonts w:hint="eastAsia" w:ascii="宋体" w:hAnsi="宋体" w:eastAsia="宋体" w:cs="宋体"/>
          <w:color w:val="auto"/>
          <w:sz w:val="24"/>
          <w:lang w:val="en-US" w:eastAsia="zh-CN"/>
        </w:rPr>
        <w:t>考量内容：（1）供水设施巡检与维护制度、记录；（2）供水系统设备维护记录；（3）供水企业管网运行智能调度系统；（4）现场照片和视频记录；（5）安全管理检查记录；（6）相关监管部门监督检查报告；（7）事故检修记录等相关文件等。</w:t>
      </w:r>
    </w:p>
    <w:p w14:paraId="1F0D840F">
      <w:pPr>
        <w:spacing w:line="360" w:lineRule="auto"/>
        <w:rPr>
          <w:rFonts w:hint="eastAsia" w:ascii="宋体" w:hAnsi="宋体" w:eastAsia="宋体" w:cs="宋体"/>
          <w:color w:val="auto"/>
          <w:sz w:val="24"/>
          <w:lang w:val="en-US" w:eastAsia="zh-CN"/>
        </w:rPr>
      </w:pPr>
      <w:r>
        <w:rPr>
          <w:rFonts w:hint="eastAsia" w:ascii="宋体" w:hAnsi="宋体" w:cs="宋体"/>
          <w:color w:val="auto"/>
          <w:sz w:val="24"/>
          <w:lang w:val="en-US" w:eastAsia="zh-CN"/>
        </w:rPr>
        <w:t>B.8</w:t>
      </w:r>
      <w:r>
        <w:rPr>
          <w:rFonts w:hint="eastAsia" w:ascii="宋体" w:hAnsi="宋体" w:eastAsia="宋体" w:cs="宋体"/>
          <w:color w:val="auto"/>
          <w:sz w:val="24"/>
          <w:lang w:val="en-US" w:eastAsia="zh-CN"/>
        </w:rPr>
        <w:t>.</w:t>
      </w:r>
      <w:r>
        <w:rPr>
          <w:rFonts w:hint="eastAsia" w:ascii="宋体" w:hAnsi="宋体" w:cs="宋体"/>
          <w:color w:val="auto"/>
          <w:sz w:val="24"/>
          <w:lang w:val="en-US" w:eastAsia="zh-CN"/>
        </w:rPr>
        <w:t>29</w:t>
      </w:r>
      <w:r>
        <w:rPr>
          <w:rFonts w:hint="eastAsia" w:ascii="宋体" w:hAnsi="宋体" w:eastAsia="宋体" w:cs="宋体"/>
          <w:color w:val="auto"/>
          <w:sz w:val="24"/>
          <w:lang w:val="en-US" w:eastAsia="zh-CN"/>
        </w:rPr>
        <w:t xml:space="preserve"> 本条款适用于城市供水工程规划设计、运行阶段的评价。</w:t>
      </w:r>
    </w:p>
    <w:p w14:paraId="64EEB6F9">
      <w:pPr>
        <w:spacing w:line="360" w:lineRule="auto"/>
        <w:ind w:firstLine="480" w:firstLineChars="200"/>
        <w:rPr>
          <w:rFonts w:hint="eastAsia" w:ascii="宋体" w:hAnsi="宋体" w:eastAsia="宋体" w:cs="宋体"/>
          <w:color w:val="auto"/>
          <w:sz w:val="24"/>
          <w:lang w:val="en-US" w:eastAsia="zh-CN"/>
        </w:rPr>
      </w:pPr>
      <w:r>
        <w:rPr>
          <w:rFonts w:hint="eastAsia" w:ascii="宋体" w:hAnsi="宋体" w:eastAsia="宋体" w:cs="宋体"/>
          <w:color w:val="auto"/>
          <w:sz w:val="24"/>
          <w:lang w:val="en-US" w:eastAsia="zh-CN"/>
        </w:rPr>
        <w:t>本条款旨在通过严格管控供水设施保护范围内的建设活动，防范外力破坏导致管网泄漏、水质污染或供水中断风险。依据《城市供水条例》及《室外给水设计标准》GB 50013-2018，城市公共供水管道及其附属设施的地面与地下安全保护范围应参照《城市工程管线综合规划规范》GB 50289-2016确定，一般要求与建筑物、构筑物保持不小于1.5米的安全间距。在保护范围内禁止实施挖坑取土、堆载重物、修建地下工程等行为，避免因地基扰动、荷载超限或机械损伤引发管道破裂、接口渗漏或附属设施损毁。确需施工作业的，须按《城镇供水管网运行、维护及安全技术规程》CJJ 207-2013要求，提前向供水企业及行政主管部门申请安全评估，并采取管道支护、监测预警等防护措施。对违规行为，供水企业可依据《城镇供水系统应急技术规范》CJJ/T 223-2014启动应急抢修程序，并报请执法部门按《中华人民共和国水污染防治法》执行。</w:t>
      </w:r>
    </w:p>
    <w:p w14:paraId="26FD1C28">
      <w:pPr>
        <w:numPr>
          <w:ilvl w:val="0"/>
          <w:numId w:val="0"/>
        </w:numPr>
        <w:spacing w:line="360" w:lineRule="auto"/>
        <w:ind w:firstLine="480" w:firstLineChars="200"/>
        <w:rPr>
          <w:rFonts w:hint="eastAsia" w:ascii="宋体" w:hAnsi="宋体" w:eastAsia="宋体" w:cs="宋体"/>
          <w:color w:val="auto"/>
          <w:sz w:val="24"/>
          <w:lang w:val="en-US" w:eastAsia="zh-CN"/>
        </w:rPr>
      </w:pPr>
      <w:r>
        <w:rPr>
          <w:rFonts w:hint="eastAsia" w:ascii="宋体" w:hAnsi="宋体" w:eastAsia="宋体" w:cs="宋体"/>
          <w:color w:val="auto"/>
          <w:sz w:val="24"/>
          <w:lang w:val="en-US" w:eastAsia="zh-CN"/>
        </w:rPr>
        <w:t>考量内容：（1）应急管理预案；（2）应急保障机制；（3）现场照片和视频记录；（4）安全管理检查记录；（5）相关监管部门监督检查报告等。</w:t>
      </w:r>
    </w:p>
    <w:p w14:paraId="59F36364">
      <w:pPr>
        <w:spacing w:line="360" w:lineRule="auto"/>
        <w:rPr>
          <w:rFonts w:hint="eastAsia" w:ascii="宋体" w:hAnsi="宋体" w:eastAsia="宋体" w:cs="宋体"/>
          <w:color w:val="auto"/>
          <w:sz w:val="24"/>
          <w:lang w:val="en-US" w:eastAsia="zh-CN"/>
        </w:rPr>
      </w:pPr>
      <w:r>
        <w:rPr>
          <w:rFonts w:hint="eastAsia" w:ascii="宋体" w:hAnsi="宋体" w:cs="宋体"/>
          <w:color w:val="auto"/>
          <w:sz w:val="24"/>
          <w:lang w:val="en-US" w:eastAsia="zh-CN"/>
        </w:rPr>
        <w:t>B.8</w:t>
      </w:r>
      <w:r>
        <w:rPr>
          <w:rFonts w:hint="eastAsia" w:ascii="宋体" w:hAnsi="宋体" w:eastAsia="宋体" w:cs="宋体"/>
          <w:color w:val="auto"/>
          <w:sz w:val="24"/>
          <w:lang w:val="en-US" w:eastAsia="zh-CN"/>
        </w:rPr>
        <w:t>.</w:t>
      </w:r>
      <w:r>
        <w:rPr>
          <w:rFonts w:hint="eastAsia" w:ascii="宋体" w:hAnsi="宋体" w:cs="宋体"/>
          <w:color w:val="auto"/>
          <w:sz w:val="24"/>
          <w:lang w:val="en-US" w:eastAsia="zh-CN"/>
        </w:rPr>
        <w:t>30</w:t>
      </w:r>
      <w:r>
        <w:rPr>
          <w:rFonts w:hint="eastAsia" w:ascii="宋体" w:hAnsi="宋体" w:eastAsia="宋体" w:cs="宋体"/>
          <w:color w:val="auto"/>
          <w:sz w:val="24"/>
          <w:lang w:val="en-US" w:eastAsia="zh-CN"/>
        </w:rPr>
        <w:t>本条款适用于城市供水工程运行阶段的评价。</w:t>
      </w:r>
    </w:p>
    <w:p w14:paraId="7FFAD1D2">
      <w:pPr>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rPr>
        <w:t>本条款要求供水企业科学制定并严格执行管网更新改造的中长期规划及年度实施计划，系统性提升管网运行安全性与供水可靠性。依据《城镇供水管网运行、维护及安全技术规程》CJJ 207-2013及《城市供水条例》，规划编制需结合管网材质、服役年限、漏损率（参照《城镇供水管网漏损控制及评定标准》CJJ 92-2016、水质稳定性等评估指标，优先改造锈蚀老化、爆管频发或存在二次污染风险的管段，并与城市道路建设、地下空间规划（符合《城市工程管线综合规划规范》GB 50289-2016）同步实施。</w:t>
      </w:r>
    </w:p>
    <w:p w14:paraId="2C00AAB8">
      <w:pPr>
        <w:numPr>
          <w:ilvl w:val="0"/>
          <w:numId w:val="0"/>
        </w:numPr>
        <w:spacing w:line="360" w:lineRule="auto"/>
        <w:rPr>
          <w:rFonts w:hint="eastAsia" w:ascii="宋体" w:hAnsi="宋体" w:eastAsia="宋体" w:cs="宋体"/>
          <w:color w:val="auto"/>
          <w:sz w:val="24"/>
          <w:lang w:val="en-US" w:eastAsia="zh-CN"/>
        </w:rPr>
      </w:pPr>
      <w:r>
        <w:rPr>
          <w:rFonts w:hint="eastAsia" w:ascii="宋体" w:hAnsi="宋体" w:eastAsia="宋体" w:cs="宋体"/>
          <w:color w:val="auto"/>
          <w:sz w:val="24"/>
          <w:lang w:val="en-US" w:eastAsia="zh-CN"/>
        </w:rPr>
        <w:t>考量内容：（1）管网更新改造中长期规划；（2）年度实施计划。</w:t>
      </w:r>
    </w:p>
    <w:p w14:paraId="79ED7DB7">
      <w:pPr>
        <w:spacing w:line="360" w:lineRule="auto"/>
        <w:rPr>
          <w:rFonts w:hint="eastAsia" w:ascii="宋体" w:hAnsi="宋体" w:eastAsia="宋体" w:cs="宋体"/>
          <w:color w:val="auto"/>
          <w:sz w:val="24"/>
          <w:lang w:val="en-US" w:eastAsia="zh-CN"/>
        </w:rPr>
      </w:pPr>
      <w:r>
        <w:rPr>
          <w:rFonts w:hint="eastAsia" w:ascii="宋体" w:hAnsi="宋体" w:cs="宋体"/>
          <w:color w:val="auto"/>
          <w:sz w:val="24"/>
          <w:lang w:val="en-US" w:eastAsia="zh-CN"/>
        </w:rPr>
        <w:t>B.8</w:t>
      </w:r>
      <w:r>
        <w:rPr>
          <w:rFonts w:hint="eastAsia" w:ascii="宋体" w:hAnsi="宋体" w:eastAsia="宋体" w:cs="宋体"/>
          <w:color w:val="auto"/>
          <w:sz w:val="24"/>
          <w:lang w:val="en-US" w:eastAsia="zh-CN"/>
        </w:rPr>
        <w:t>.</w:t>
      </w:r>
      <w:r>
        <w:rPr>
          <w:rFonts w:hint="eastAsia" w:ascii="宋体" w:hAnsi="宋体" w:cs="宋体"/>
          <w:color w:val="auto"/>
          <w:sz w:val="24"/>
          <w:lang w:val="en-US" w:eastAsia="zh-CN"/>
        </w:rPr>
        <w:t>31</w:t>
      </w:r>
      <w:r>
        <w:rPr>
          <w:rFonts w:hint="eastAsia" w:ascii="宋体" w:hAnsi="宋体" w:eastAsia="宋体" w:cs="宋体"/>
          <w:color w:val="auto"/>
          <w:sz w:val="24"/>
          <w:lang w:val="en-US" w:eastAsia="zh-CN"/>
        </w:rPr>
        <w:t xml:space="preserve"> 本条款适用于城市供水工程施工建造阶段的评价。</w:t>
      </w:r>
    </w:p>
    <w:p w14:paraId="51276FDA">
      <w:pPr>
        <w:spacing w:line="360" w:lineRule="auto"/>
        <w:ind w:firstLine="480" w:firstLineChars="200"/>
        <w:rPr>
          <w:rFonts w:hint="eastAsia" w:ascii="宋体" w:hAnsi="宋体" w:eastAsia="宋体" w:cs="宋体"/>
          <w:color w:val="auto"/>
          <w:sz w:val="24"/>
          <w:lang w:eastAsia="zh-CN"/>
        </w:rPr>
      </w:pPr>
      <w:r>
        <w:rPr>
          <w:rFonts w:hint="eastAsia" w:ascii="宋体" w:hAnsi="宋体" w:eastAsia="宋体" w:cs="宋体"/>
          <w:color w:val="auto"/>
          <w:sz w:val="24"/>
          <w:lang w:eastAsia="zh-CN"/>
        </w:rPr>
        <w:t>本条款强调通过技术创新与绿色施工理念降低供水工程改造对城市运行及生态环境的干扰。依据《室外给水设计标准》GB 50013-2018及《城镇供水管网运行、维护及安全技术规程》CJJ 207-2013，供水企业应优先采用非开挖修复技术（如穿插法、喷涂法、胀管法等），其工艺选择需符合《给水排水管道非开挖修复工程技术规程》（CJJ/T 244-2016）要求，减少道路开挖面积、缩短工期并规避传统施工引发的交通拥堵、噪声扬尘等问题。同时，参照《建设工程绿色施工规范》GB/T 50905-2014，施工过程应落实环境影响评价措施，控制土方弃置、能源消耗及地下水扰动，修复后的管道须满足《生活饮用水输配水设备及防护材料卫生安全评价规范》GB/T 17219-2021卫生标准。通过《城镇供水管网漏损控制及评定标准》CJJ 92-2016）评估改造效果，结合GIS技术建立修复档案并制定应急预案（符合《城镇供水系统应急技术规范》CJJ/T 223-2014），实现管网安全、环境友好与社会效益的协同提升，推动供水行业可持续发展。</w:t>
      </w:r>
    </w:p>
    <w:p w14:paraId="74146D30">
      <w:pPr>
        <w:numPr>
          <w:ilvl w:val="0"/>
          <w:numId w:val="0"/>
        </w:numPr>
        <w:spacing w:line="360" w:lineRule="auto"/>
        <w:ind w:firstLine="480" w:firstLineChars="200"/>
        <w:rPr>
          <w:rFonts w:hint="eastAsia" w:ascii="宋体" w:hAnsi="宋体" w:eastAsia="宋体" w:cs="宋体"/>
          <w:color w:val="auto"/>
          <w:sz w:val="24"/>
          <w:lang w:val="en-US" w:eastAsia="zh-CN"/>
        </w:rPr>
      </w:pPr>
      <w:r>
        <w:rPr>
          <w:rFonts w:hint="eastAsia" w:ascii="宋体" w:hAnsi="宋体" w:eastAsia="宋体" w:cs="宋体"/>
          <w:color w:val="auto"/>
          <w:sz w:val="24"/>
          <w:lang w:val="en-US" w:eastAsia="zh-CN"/>
        </w:rPr>
        <w:t xml:space="preserve">考量内容：（1）供水工程改造设计文件；（2）非开挖修复技术施工方案；（3）现场照片和视频记录；（4）减少施工过程对环境影响的措施方案等。 </w:t>
      </w:r>
    </w:p>
    <w:p w14:paraId="07FD27BB">
      <w:pPr>
        <w:spacing w:line="360" w:lineRule="auto"/>
        <w:rPr>
          <w:rFonts w:hint="eastAsia" w:ascii="宋体" w:hAnsi="宋体" w:eastAsia="宋体" w:cs="宋体"/>
          <w:color w:val="auto"/>
          <w:sz w:val="24"/>
          <w:lang w:val="en-US" w:eastAsia="zh-CN"/>
        </w:rPr>
      </w:pPr>
      <w:r>
        <w:rPr>
          <w:rFonts w:hint="eastAsia" w:ascii="宋体" w:hAnsi="宋体" w:cs="宋体"/>
          <w:color w:val="auto"/>
          <w:sz w:val="24"/>
          <w:lang w:val="en-US" w:eastAsia="zh-CN"/>
        </w:rPr>
        <w:t>B.8</w:t>
      </w:r>
      <w:r>
        <w:rPr>
          <w:rFonts w:hint="eastAsia" w:ascii="宋体" w:hAnsi="宋体" w:eastAsia="宋体" w:cs="宋体"/>
          <w:color w:val="auto"/>
          <w:sz w:val="24"/>
          <w:lang w:val="en-US" w:eastAsia="zh-CN"/>
        </w:rPr>
        <w:t>.</w:t>
      </w:r>
      <w:r>
        <w:rPr>
          <w:rFonts w:hint="eastAsia" w:ascii="宋体" w:hAnsi="宋体" w:cs="宋体"/>
          <w:color w:val="auto"/>
          <w:sz w:val="24"/>
          <w:lang w:val="en-US" w:eastAsia="zh-CN"/>
        </w:rPr>
        <w:t>32</w:t>
      </w:r>
      <w:r>
        <w:rPr>
          <w:rFonts w:hint="eastAsia" w:ascii="宋体" w:hAnsi="宋体" w:eastAsia="宋体" w:cs="宋体"/>
          <w:color w:val="auto"/>
          <w:sz w:val="24"/>
          <w:lang w:val="en-US" w:eastAsia="zh-CN"/>
        </w:rPr>
        <w:t xml:space="preserve"> 本条款适用于城市供水工程运行阶段的评价。</w:t>
      </w:r>
    </w:p>
    <w:p w14:paraId="4670B255">
      <w:pPr>
        <w:spacing w:line="360" w:lineRule="auto"/>
        <w:ind w:firstLine="480" w:firstLineChars="200"/>
        <w:rPr>
          <w:rFonts w:hint="eastAsia" w:ascii="宋体" w:hAnsi="宋体" w:eastAsia="宋体" w:cs="宋体"/>
          <w:color w:val="auto"/>
          <w:sz w:val="24"/>
          <w:lang w:val="en-US" w:eastAsia="zh-CN"/>
        </w:rPr>
      </w:pPr>
      <w:r>
        <w:rPr>
          <w:rFonts w:hint="eastAsia" w:ascii="宋体" w:hAnsi="宋体" w:eastAsia="宋体" w:cs="宋体"/>
          <w:color w:val="auto"/>
          <w:sz w:val="24"/>
          <w:lang w:val="en-US" w:eastAsia="zh-CN"/>
        </w:rPr>
        <w:t>本条款要求供水企业依托信息化技术构建智慧化供水管理体系，提升管网运行效率与漏损控制精准度。依据《城镇供水管网运行、维护及安全技术规程》CJJ 207-2013）及《城镇供水管网漏损控制及评定标准》CJJ 92-2016，压力管理区域需按《室外给水设计标准》GB 50013-2018要求布设压力监测点，结合SCADA系统实时采集数据，通过水力模型（符合《城镇供水系统水力模型技术规程》CJJ/T 303-2020）进行压力动态调控，并集成GIS技术建立管网数字化信息系统（参照《城市地下管线探测技术规程》CJJ 61-2017），实现空间属性与运行状态的可视化管理。水量平衡分析应基于DMA分区计量数据（遵循《城镇供水管网分区计量管理工作指南》），结合夜间最小流量法、噪声监测等手段定位漏损热点；漏损水量分布量化需依托大数据分析平台，按《检测和校准实验室能力的通用要求》GB/T 27025-2019）规范数据处理流程，生成漏损等级图谱。针对高漏损区域，制定差异化管理方案，优先采用声学检测、智能探漏及非开挖修复技术（符合《给水排水管道非开挖修复工程技术规程》CJJ/T 244-2016），形成“监测-分析-治理-评估”闭环管理机制，全面提升漏损控制效率与供水系统韧性，降低水资源浪费及运营成本。</w:t>
      </w:r>
    </w:p>
    <w:p w14:paraId="6CBB4D09">
      <w:pPr>
        <w:numPr>
          <w:ilvl w:val="0"/>
          <w:numId w:val="0"/>
        </w:numPr>
        <w:spacing w:line="360" w:lineRule="auto"/>
        <w:ind w:firstLine="480" w:firstLineChars="200"/>
        <w:rPr>
          <w:rFonts w:hint="eastAsia" w:ascii="宋体" w:hAnsi="宋体" w:eastAsia="宋体" w:cs="宋体"/>
          <w:color w:val="auto"/>
          <w:sz w:val="24"/>
          <w:lang w:val="en-US" w:eastAsia="zh-CN"/>
        </w:rPr>
      </w:pPr>
      <w:r>
        <w:rPr>
          <w:rFonts w:hint="eastAsia" w:ascii="宋体" w:hAnsi="宋体" w:eastAsia="宋体" w:cs="宋体"/>
          <w:color w:val="auto"/>
          <w:sz w:val="24"/>
          <w:lang w:val="en-US" w:eastAsia="zh-CN"/>
        </w:rPr>
        <w:t>考量内容：（1）智慧化供水管理体系设计；（2）信息管理系统设计文件；（3）计量、物联网传感器采集终端部署方案；（4）软件使用手册、操作指南等文件（5）运行维护记录和数据分析文件等。</w:t>
      </w:r>
    </w:p>
    <w:p w14:paraId="6ED22DAC">
      <w:pPr>
        <w:spacing w:line="360" w:lineRule="auto"/>
        <w:rPr>
          <w:rFonts w:hint="eastAsia" w:ascii="宋体" w:hAnsi="宋体" w:eastAsia="宋体" w:cs="宋体"/>
          <w:color w:val="auto"/>
          <w:sz w:val="24"/>
          <w:lang w:val="en-US" w:eastAsia="zh-CN"/>
        </w:rPr>
      </w:pPr>
      <w:r>
        <w:rPr>
          <w:rFonts w:hint="eastAsia" w:ascii="宋体" w:hAnsi="宋体" w:cs="宋体"/>
          <w:color w:val="auto"/>
          <w:sz w:val="24"/>
          <w:lang w:val="en-US" w:eastAsia="zh-CN"/>
        </w:rPr>
        <w:t>B.8</w:t>
      </w:r>
      <w:r>
        <w:rPr>
          <w:rFonts w:hint="eastAsia" w:ascii="宋体" w:hAnsi="宋体" w:eastAsia="宋体" w:cs="宋体"/>
          <w:color w:val="auto"/>
          <w:sz w:val="24"/>
          <w:lang w:val="en-US" w:eastAsia="zh-CN"/>
        </w:rPr>
        <w:t>.</w:t>
      </w:r>
      <w:r>
        <w:rPr>
          <w:rFonts w:hint="eastAsia" w:ascii="宋体" w:hAnsi="宋体" w:cs="宋体"/>
          <w:color w:val="auto"/>
          <w:sz w:val="24"/>
          <w:lang w:val="en-US" w:eastAsia="zh-CN"/>
        </w:rPr>
        <w:t>33</w:t>
      </w:r>
      <w:r>
        <w:rPr>
          <w:rFonts w:hint="eastAsia" w:ascii="宋体" w:hAnsi="宋体" w:eastAsia="宋体" w:cs="宋体"/>
          <w:color w:val="auto"/>
          <w:sz w:val="24"/>
          <w:lang w:val="en-US" w:eastAsia="zh-CN"/>
        </w:rPr>
        <w:t xml:space="preserve"> 本条款适用于城市供水工程运行阶段的评价。</w:t>
      </w:r>
    </w:p>
    <w:p w14:paraId="23F57382">
      <w:pPr>
        <w:spacing w:line="360" w:lineRule="auto"/>
        <w:ind w:firstLine="480" w:firstLineChars="200"/>
        <w:rPr>
          <w:rFonts w:hint="eastAsia" w:ascii="宋体" w:hAnsi="宋体" w:eastAsia="宋体" w:cs="宋体"/>
          <w:color w:val="auto"/>
          <w:sz w:val="24"/>
          <w:lang w:val="en-US" w:eastAsia="zh-CN"/>
        </w:rPr>
      </w:pPr>
      <w:r>
        <w:rPr>
          <w:rFonts w:hint="eastAsia" w:ascii="宋体" w:hAnsi="宋体" w:eastAsia="宋体" w:cs="宋体"/>
          <w:color w:val="auto"/>
          <w:sz w:val="24"/>
          <w:lang w:val="en-US" w:eastAsia="zh-CN"/>
        </w:rPr>
        <w:t>本条款强调通过规范化水质监测与透明化信息公开机制，强化公众监督并提升供水安全管理效能。依据《生活饮用水卫生标准》GB 5749-2022及《城市供水水质管理规定》，供水企业需建立涵盖水源水、出厂水、管网水及用户终端水的全流程监测体系，明确检测项目、频次及限值要求，检测方法应符合《生活饮用水标准检验方法》GB/T 5750-2023，并依托通过资质认证的实验室（参照《检测和校准实验室能力的通用要求》GB/T 27025-2019）确保数据准确性。信息公开须遵循《政府信息公开条例》及《环境信息公开办法（试行）》，通过企业官网、政务平台或移动终端定期发布水质达标率、超标项整改情况等核心指标，突发性水质事件应按《城镇供水系统应急技术规范》CJJ/T 223-2014要求，2小时内向公众发布风险警示及应对措施。同时，建立公众参与机制，设立水质查询窗口、投诉反馈渠道及科普宣传平台（符合《生活饮用水卫生监督管理办法》），鼓励公众监督举报违规行为，通过社会共治增强供水透明度与信任度，保障公众知情权与健康权益。</w:t>
      </w:r>
    </w:p>
    <w:p w14:paraId="5781AEB6">
      <w:pPr>
        <w:numPr>
          <w:ilvl w:val="0"/>
          <w:numId w:val="0"/>
        </w:numPr>
        <w:spacing w:line="360" w:lineRule="auto"/>
        <w:ind w:firstLine="480" w:firstLineChars="200"/>
        <w:rPr>
          <w:rFonts w:hint="eastAsia" w:ascii="宋体" w:hAnsi="宋体" w:eastAsia="宋体" w:cs="宋体"/>
          <w:color w:val="auto"/>
          <w:sz w:val="24"/>
          <w:lang w:val="en-US" w:eastAsia="zh-CN"/>
        </w:rPr>
      </w:pPr>
      <w:r>
        <w:rPr>
          <w:rFonts w:hint="eastAsia" w:ascii="宋体" w:hAnsi="宋体" w:eastAsia="宋体" w:cs="宋体"/>
          <w:color w:val="auto"/>
          <w:sz w:val="24"/>
          <w:lang w:val="en-US" w:eastAsia="zh-CN"/>
        </w:rPr>
        <w:t>考量内容：（1）信息公开制度；（2）公众参与机制；（3）现场照片和视频记录；（4）投诉与监督办理记录等。</w:t>
      </w:r>
    </w:p>
    <w:p w14:paraId="7741B94F">
      <w:pPr>
        <w:spacing w:line="360" w:lineRule="auto"/>
        <w:rPr>
          <w:rFonts w:hint="eastAsia" w:ascii="宋体" w:hAnsi="宋体" w:eastAsia="宋体" w:cs="宋体"/>
          <w:color w:val="auto"/>
          <w:sz w:val="24"/>
          <w:lang w:val="en-US" w:eastAsia="zh-CN"/>
        </w:rPr>
      </w:pPr>
    </w:p>
    <w:p w14:paraId="53E3C5ED">
      <w:pPr>
        <w:rPr>
          <w:rFonts w:hint="default"/>
          <w:color w:val="auto"/>
          <w:lang w:val="en-US" w:eastAsia="zh-CN"/>
        </w:rPr>
      </w:pPr>
    </w:p>
    <w:p w14:paraId="5960C1D8">
      <w:pPr>
        <w:rPr>
          <w:rFonts w:hint="default"/>
          <w:color w:val="auto"/>
          <w:lang w:val="en-US" w:eastAsia="zh-CN"/>
        </w:rPr>
      </w:pPr>
    </w:p>
    <w:p w14:paraId="0750526C">
      <w:pPr>
        <w:tabs>
          <w:tab w:val="left" w:pos="5437"/>
        </w:tabs>
        <w:bidi w:val="0"/>
        <w:jc w:val="left"/>
        <w:rPr>
          <w:rFonts w:hint="eastAsia"/>
          <w:lang w:val="en-US" w:eastAsia="zh-CN"/>
        </w:rPr>
        <w:sectPr>
          <w:pgSz w:w="11906" w:h="16838"/>
          <w:pgMar w:top="1440" w:right="1800" w:bottom="1440" w:left="1800" w:header="851" w:footer="992" w:gutter="0"/>
          <w:pgNumType w:fmt="decimal"/>
          <w:cols w:space="425" w:num="1"/>
          <w:docGrid w:type="lines" w:linePitch="312" w:charSpace="0"/>
        </w:sectPr>
      </w:pPr>
    </w:p>
    <w:p w14:paraId="08EC671D">
      <w:pPr>
        <w:snapToGrid w:val="0"/>
        <w:spacing w:line="360" w:lineRule="auto"/>
        <w:jc w:val="center"/>
        <w:outlineLvl w:val="0"/>
        <w:rPr>
          <w:rFonts w:hint="default" w:ascii="宋体" w:hAnsi="宋体" w:eastAsia="宋体" w:cs="宋体"/>
          <w:b/>
          <w:bCs/>
          <w:color w:val="000000" w:themeColor="text1"/>
          <w:sz w:val="30"/>
          <w:szCs w:val="30"/>
          <w:lang w:val="en-US" w:eastAsia="zh-CN"/>
          <w14:textFill>
            <w14:solidFill>
              <w14:schemeClr w14:val="tx1"/>
            </w14:solidFill>
          </w14:textFill>
        </w:rPr>
      </w:pPr>
      <w:bookmarkStart w:id="887" w:name="_Toc9733"/>
      <w:bookmarkStart w:id="888" w:name="_Toc16041"/>
      <w:bookmarkStart w:id="889" w:name="_Toc24468"/>
      <w:bookmarkStart w:id="890" w:name="_Toc1917"/>
      <w:bookmarkStart w:id="891" w:name="_Toc4841"/>
      <w:bookmarkStart w:id="892" w:name="_Toc24717"/>
      <w:r>
        <w:rPr>
          <w:rFonts w:hint="eastAsia" w:ascii="宋体" w:hAnsi="宋体" w:eastAsia="宋体" w:cs="宋体"/>
          <w:b/>
          <w:bCs/>
          <w:color w:val="000000" w:themeColor="text1"/>
          <w:sz w:val="30"/>
          <w:szCs w:val="30"/>
          <w14:textFill>
            <w14:solidFill>
              <w14:schemeClr w14:val="tx1"/>
            </w14:solidFill>
          </w14:textFill>
        </w:rPr>
        <w:t>附录</w:t>
      </w:r>
      <w:r>
        <w:rPr>
          <w:rFonts w:hint="eastAsia" w:ascii="宋体" w:hAnsi="宋体" w:eastAsia="宋体" w:cs="宋体"/>
          <w:b/>
          <w:bCs/>
          <w:color w:val="000000" w:themeColor="text1"/>
          <w:sz w:val="30"/>
          <w:szCs w:val="30"/>
          <w:lang w:val="en-US" w:eastAsia="zh-CN"/>
          <w14:textFill>
            <w14:solidFill>
              <w14:schemeClr w14:val="tx1"/>
            </w14:solidFill>
          </w14:textFill>
        </w:rPr>
        <w:t>C</w:t>
      </w:r>
      <w:r>
        <w:rPr>
          <w:rFonts w:hint="eastAsia" w:ascii="宋体" w:hAnsi="宋体" w:eastAsia="宋体" w:cs="宋体"/>
          <w:b/>
          <w:bCs/>
          <w:color w:val="000000" w:themeColor="text1"/>
          <w:sz w:val="30"/>
          <w:szCs w:val="30"/>
          <w14:textFill>
            <w14:solidFill>
              <w14:schemeClr w14:val="tx1"/>
            </w14:solidFill>
          </w14:textFill>
        </w:rPr>
        <w:t xml:space="preserve"> 项目</w:t>
      </w:r>
      <w:r>
        <w:rPr>
          <w:rFonts w:hint="eastAsia" w:ascii="宋体" w:hAnsi="宋体" w:eastAsia="宋体" w:cs="宋体"/>
          <w:b/>
          <w:bCs/>
          <w:color w:val="000000" w:themeColor="text1"/>
          <w:sz w:val="30"/>
          <w:szCs w:val="30"/>
          <w:lang w:val="en-US" w:eastAsia="zh-CN"/>
          <w14:textFill>
            <w14:solidFill>
              <w14:schemeClr w14:val="tx1"/>
            </w14:solidFill>
          </w14:textFill>
        </w:rPr>
        <w:t>碳排放报告</w:t>
      </w:r>
      <w:bookmarkEnd w:id="887"/>
      <w:bookmarkEnd w:id="888"/>
      <w:bookmarkEnd w:id="889"/>
      <w:bookmarkEnd w:id="890"/>
      <w:bookmarkEnd w:id="891"/>
      <w:bookmarkEnd w:id="892"/>
    </w:p>
    <w:p w14:paraId="25AB687D">
      <w:pPr>
        <w:snapToGrid w:val="0"/>
        <w:spacing w:line="360" w:lineRule="auto"/>
        <w:ind w:firstLine="0" w:firstLineChars="0"/>
        <w:jc w:val="left"/>
        <w:rPr>
          <w:rFonts w:hint="eastAsia" w:ascii="宋体" w:hAnsi="宋体" w:eastAsia="宋体" w:cs="宋体"/>
          <w:color w:val="000000" w:themeColor="text1"/>
          <w:kern w:val="0"/>
          <w:sz w:val="24"/>
          <w:szCs w:val="24"/>
          <w:lang w:bidi="ar"/>
          <w14:textFill>
            <w14:solidFill>
              <w14:schemeClr w14:val="tx1"/>
            </w14:solidFill>
          </w14:textFill>
        </w:rPr>
      </w:pPr>
      <w:r>
        <w:rPr>
          <w:rFonts w:hint="eastAsia" w:ascii="宋体" w:hAnsi="宋体" w:eastAsia="宋体" w:cs="宋体"/>
          <w:color w:val="000000" w:themeColor="text1"/>
          <w:kern w:val="0"/>
          <w:sz w:val="24"/>
          <w:szCs w:val="24"/>
          <w:lang w:bidi="ar"/>
          <w14:textFill>
            <w14:solidFill>
              <w14:schemeClr w14:val="tx1"/>
            </w14:solidFill>
          </w14:textFill>
        </w:rPr>
        <w:t>C.0.1 项目根据《IPCC国家温室气体清单指南（2006年）》</w:t>
      </w:r>
      <w:r>
        <w:rPr>
          <w:rFonts w:hint="eastAsia" w:ascii="宋体" w:hAnsi="宋体" w:eastAsia="宋体" w:cs="宋体"/>
          <w:color w:val="000000" w:themeColor="text1"/>
          <w:kern w:val="0"/>
          <w:sz w:val="24"/>
          <w:szCs w:val="24"/>
          <w:lang w:eastAsia="zh-CN" w:bidi="ar"/>
          <w14:textFill>
            <w14:solidFill>
              <w14:schemeClr w14:val="tx1"/>
            </w14:solidFill>
          </w14:textFill>
        </w:rPr>
        <w:t>，</w:t>
      </w:r>
      <w:r>
        <w:rPr>
          <w:rFonts w:hint="eastAsia" w:ascii="宋体" w:hAnsi="宋体" w:eastAsia="宋体" w:cs="宋体"/>
          <w:color w:val="000000" w:themeColor="text1"/>
          <w:kern w:val="0"/>
          <w:sz w:val="24"/>
          <w:szCs w:val="24"/>
          <w:lang w:val="en-US" w:eastAsia="zh-CN" w:bidi="ar"/>
          <w14:textFill>
            <w14:solidFill>
              <w14:schemeClr w14:val="tx1"/>
            </w14:solidFill>
          </w14:textFill>
        </w:rPr>
        <w:t>梳理项目</w:t>
      </w:r>
      <w:r>
        <w:rPr>
          <w:rFonts w:hint="eastAsia" w:ascii="宋体" w:hAnsi="宋体" w:eastAsia="宋体" w:cs="宋体"/>
          <w:color w:val="000000" w:themeColor="text1"/>
          <w:kern w:val="0"/>
          <w:sz w:val="24"/>
          <w:szCs w:val="24"/>
          <w:lang w:bidi="ar"/>
          <w14:textFill>
            <w14:solidFill>
              <w14:schemeClr w14:val="tx1"/>
            </w14:solidFill>
          </w14:textFill>
        </w:rPr>
        <w:t>温室气体种类</w:t>
      </w:r>
      <w:r>
        <w:rPr>
          <w:rFonts w:hint="eastAsia" w:ascii="宋体" w:hAnsi="宋体" w:eastAsia="宋体" w:cs="宋体"/>
          <w:color w:val="000000" w:themeColor="text1"/>
          <w:kern w:val="0"/>
          <w:sz w:val="24"/>
          <w:szCs w:val="24"/>
          <w:lang w:eastAsia="zh-CN" w:bidi="ar"/>
          <w14:textFill>
            <w14:solidFill>
              <w14:schemeClr w14:val="tx1"/>
            </w14:solidFill>
          </w14:textFill>
        </w:rPr>
        <w:t>，</w:t>
      </w:r>
      <w:r>
        <w:rPr>
          <w:rFonts w:hint="eastAsia" w:ascii="宋体" w:hAnsi="宋体" w:eastAsia="宋体" w:cs="宋体"/>
          <w:color w:val="000000" w:themeColor="text1"/>
          <w:kern w:val="0"/>
          <w:sz w:val="24"/>
          <w:szCs w:val="24"/>
          <w:lang w:val="en-US" w:eastAsia="zh-CN" w:bidi="ar"/>
          <w14:textFill>
            <w14:solidFill>
              <w14:schemeClr w14:val="tx1"/>
            </w14:solidFill>
          </w14:textFill>
        </w:rPr>
        <w:t>并提供</w:t>
      </w:r>
      <w:r>
        <w:rPr>
          <w:rFonts w:hint="eastAsia" w:ascii="宋体" w:hAnsi="宋体" w:eastAsia="宋体" w:cs="宋体"/>
          <w:color w:val="000000" w:themeColor="text1"/>
          <w:kern w:val="0"/>
          <w:sz w:val="24"/>
          <w:szCs w:val="24"/>
          <w:lang w:bidi="ar"/>
          <w14:textFill>
            <w14:solidFill>
              <w14:schemeClr w14:val="tx1"/>
            </w14:solidFill>
          </w14:textFill>
        </w:rPr>
        <w:t>碳排放当量计算使用的温室气体全球变暖潜值（GWP）。全球变暖潜值（GWP）</w:t>
      </w:r>
      <w:r>
        <w:rPr>
          <w:rFonts w:hint="eastAsia" w:ascii="宋体" w:hAnsi="宋体" w:eastAsia="宋体" w:cs="宋体"/>
          <w:color w:val="000000" w:themeColor="text1"/>
          <w:kern w:val="0"/>
          <w:sz w:val="24"/>
          <w:szCs w:val="24"/>
          <w:lang w:val="en-US" w:eastAsia="zh-CN" w:bidi="ar"/>
          <w14:textFill>
            <w14:solidFill>
              <w14:schemeClr w14:val="tx1"/>
            </w14:solidFill>
          </w14:textFill>
        </w:rPr>
        <w:t>指</w:t>
      </w:r>
      <w:r>
        <w:rPr>
          <w:rFonts w:hint="eastAsia" w:ascii="宋体" w:hAnsi="宋体" w:eastAsia="宋体" w:cs="宋体"/>
          <w:color w:val="000000" w:themeColor="text1"/>
          <w:kern w:val="0"/>
          <w:sz w:val="24"/>
          <w:szCs w:val="24"/>
          <w:lang w:bidi="ar"/>
          <w14:textFill>
            <w14:solidFill>
              <w14:schemeClr w14:val="tx1"/>
            </w14:solidFill>
          </w14:textFill>
        </w:rPr>
        <w:t>基于气候变化的指标，用于衡量不同温室气体对全球变暖的贡献程度。</w:t>
      </w:r>
    </w:p>
    <w:p w14:paraId="72F7E110">
      <w:pPr>
        <w:snapToGrid w:val="0"/>
        <w:spacing w:line="360" w:lineRule="auto"/>
        <w:ind w:firstLine="480" w:firstLineChars="200"/>
        <w:jc w:val="left"/>
        <w:rPr>
          <w:rFonts w:hint="eastAsia" w:ascii="宋体" w:hAnsi="宋体" w:eastAsia="宋体" w:cs="宋体"/>
          <w:color w:val="000000" w:themeColor="text1"/>
          <w:kern w:val="0"/>
          <w:sz w:val="24"/>
          <w:szCs w:val="24"/>
          <w:lang w:bidi="ar"/>
          <w14:textFill>
            <w14:solidFill>
              <w14:schemeClr w14:val="tx1"/>
            </w14:solidFill>
          </w14:textFill>
        </w:rPr>
      </w:pPr>
      <w:r>
        <w:rPr>
          <w:rFonts w:hint="eastAsia" w:ascii="宋体" w:hAnsi="宋体" w:eastAsia="宋体" w:cs="宋体"/>
          <w:color w:val="000000" w:themeColor="text1"/>
          <w:kern w:val="0"/>
          <w:sz w:val="24"/>
          <w:szCs w:val="24"/>
          <w:lang w:bidi="ar"/>
          <w14:textFill>
            <w14:solidFill>
              <w14:schemeClr w14:val="tx1"/>
            </w14:solidFill>
          </w14:textFill>
        </w:rPr>
        <w:t>考量内容：项目温室气体排放清单。</w:t>
      </w:r>
    </w:p>
    <w:p w14:paraId="7DA1B1DD">
      <w:pPr>
        <w:snapToGrid w:val="0"/>
        <w:spacing w:line="360" w:lineRule="auto"/>
        <w:ind w:firstLine="0" w:firstLineChars="0"/>
        <w:jc w:val="left"/>
        <w:rPr>
          <w:rFonts w:hint="eastAsia" w:ascii="宋体" w:hAnsi="宋体" w:eastAsia="宋体" w:cs="宋体"/>
          <w:color w:val="000000" w:themeColor="text1"/>
          <w:kern w:val="0"/>
          <w:sz w:val="24"/>
          <w:szCs w:val="24"/>
          <w:lang w:bidi="ar"/>
          <w14:textFill>
            <w14:solidFill>
              <w14:schemeClr w14:val="tx1"/>
            </w14:solidFill>
          </w14:textFill>
        </w:rPr>
      </w:pPr>
      <w:r>
        <w:rPr>
          <w:rFonts w:hint="eastAsia" w:ascii="宋体" w:hAnsi="宋体" w:eastAsia="宋体" w:cs="宋体"/>
          <w:color w:val="000000" w:themeColor="text1"/>
          <w:kern w:val="0"/>
          <w:sz w:val="24"/>
          <w:szCs w:val="24"/>
          <w:lang w:bidi="ar"/>
          <w14:textFill>
            <w14:solidFill>
              <w14:schemeClr w14:val="tx1"/>
            </w14:solidFill>
          </w14:textFill>
        </w:rPr>
        <w:t>C.0.2 详细说明项目的功能、开发与建设周期、能源计量监测条件</w:t>
      </w:r>
      <w:r>
        <w:rPr>
          <w:rFonts w:hint="eastAsia" w:ascii="宋体" w:hAnsi="宋体" w:eastAsia="宋体" w:cs="宋体"/>
          <w:color w:val="000000" w:themeColor="text1"/>
          <w:kern w:val="0"/>
          <w:sz w:val="24"/>
          <w:szCs w:val="24"/>
          <w:lang w:eastAsia="zh-CN" w:bidi="ar"/>
          <w14:textFill>
            <w14:solidFill>
              <w14:schemeClr w14:val="tx1"/>
            </w14:solidFill>
          </w14:textFill>
        </w:rPr>
        <w:t>，</w:t>
      </w:r>
      <w:r>
        <w:rPr>
          <w:rFonts w:hint="eastAsia" w:ascii="宋体" w:hAnsi="宋体" w:eastAsia="宋体" w:cs="宋体"/>
          <w:color w:val="000000" w:themeColor="text1"/>
          <w:kern w:val="0"/>
          <w:sz w:val="24"/>
          <w:szCs w:val="24"/>
          <w:lang w:val="en-US" w:eastAsia="zh-CN" w:bidi="ar"/>
          <w14:textFill>
            <w14:solidFill>
              <w14:schemeClr w14:val="tx1"/>
            </w14:solidFill>
          </w14:textFill>
        </w:rPr>
        <w:t>分项列举</w:t>
      </w:r>
      <w:r>
        <w:rPr>
          <w:rFonts w:hint="eastAsia" w:ascii="宋体" w:hAnsi="宋体" w:eastAsia="宋体" w:cs="宋体"/>
          <w:color w:val="000000" w:themeColor="text1"/>
          <w:kern w:val="0"/>
          <w:sz w:val="24"/>
          <w:szCs w:val="24"/>
          <w:lang w:bidi="ar"/>
          <w14:textFill>
            <w14:solidFill>
              <w14:schemeClr w14:val="tx1"/>
            </w14:solidFill>
          </w14:textFill>
        </w:rPr>
        <w:t>绿色低碳技术和措施应用情况、能源与资源消耗统计结果、碳排放核算方法与监测验证措施等基本情况。</w:t>
      </w:r>
    </w:p>
    <w:p w14:paraId="5DCE57FC">
      <w:pPr>
        <w:snapToGrid w:val="0"/>
        <w:spacing w:line="360" w:lineRule="auto"/>
        <w:ind w:firstLine="480" w:firstLineChars="200"/>
        <w:jc w:val="left"/>
        <w:rPr>
          <w:rFonts w:hint="eastAsia" w:ascii="宋体" w:hAnsi="宋体" w:eastAsia="宋体" w:cs="宋体"/>
          <w:color w:val="000000" w:themeColor="text1"/>
          <w:kern w:val="0"/>
          <w:sz w:val="24"/>
          <w:szCs w:val="24"/>
          <w:lang w:bidi="ar"/>
          <w14:textFill>
            <w14:solidFill>
              <w14:schemeClr w14:val="tx1"/>
            </w14:solidFill>
          </w14:textFill>
        </w:rPr>
      </w:pPr>
      <w:r>
        <w:rPr>
          <w:rFonts w:hint="eastAsia" w:ascii="宋体" w:hAnsi="宋体" w:eastAsia="宋体" w:cs="宋体"/>
          <w:color w:val="000000" w:themeColor="text1"/>
          <w:kern w:val="0"/>
          <w:sz w:val="24"/>
          <w:szCs w:val="24"/>
          <w:lang w:bidi="ar"/>
          <w14:textFill>
            <w14:solidFill>
              <w14:schemeClr w14:val="tx1"/>
            </w14:solidFill>
          </w14:textFill>
        </w:rPr>
        <w:t>考量内容：项目规划文件、设计文件、施工日志、运营和维护记录。</w:t>
      </w:r>
    </w:p>
    <w:p w14:paraId="4FFDA5B4">
      <w:pPr>
        <w:snapToGrid w:val="0"/>
        <w:spacing w:line="360" w:lineRule="auto"/>
        <w:ind w:firstLine="0" w:firstLineChars="0"/>
        <w:jc w:val="left"/>
        <w:rPr>
          <w:rFonts w:hint="eastAsia" w:ascii="宋体" w:hAnsi="宋体" w:eastAsia="宋体" w:cs="宋体"/>
          <w:color w:val="000000" w:themeColor="text1"/>
          <w:kern w:val="0"/>
          <w:sz w:val="24"/>
          <w:szCs w:val="24"/>
          <w:lang w:bidi="ar"/>
          <w14:textFill>
            <w14:solidFill>
              <w14:schemeClr w14:val="tx1"/>
            </w14:solidFill>
          </w14:textFill>
        </w:rPr>
      </w:pPr>
      <w:r>
        <w:rPr>
          <w:rFonts w:hint="eastAsia" w:ascii="宋体" w:hAnsi="宋体" w:eastAsia="宋体" w:cs="宋体"/>
          <w:color w:val="000000" w:themeColor="text1"/>
          <w:kern w:val="0"/>
          <w:sz w:val="24"/>
          <w:szCs w:val="24"/>
          <w:lang w:bidi="ar"/>
          <w14:textFill>
            <w14:solidFill>
              <w14:schemeClr w14:val="tx1"/>
            </w14:solidFill>
          </w14:textFill>
        </w:rPr>
        <w:t>C.0.3 项目的碳排放数据监测管理体系</w:t>
      </w:r>
      <w:r>
        <w:rPr>
          <w:rFonts w:hint="eastAsia" w:ascii="宋体" w:hAnsi="宋体" w:eastAsia="宋体" w:cs="宋体"/>
          <w:color w:val="000000" w:themeColor="text1"/>
          <w:kern w:val="0"/>
          <w:sz w:val="24"/>
          <w:szCs w:val="24"/>
          <w:lang w:val="en-US" w:eastAsia="zh-CN" w:bidi="ar"/>
          <w14:textFill>
            <w14:solidFill>
              <w14:schemeClr w14:val="tx1"/>
            </w14:solidFill>
          </w14:textFill>
        </w:rPr>
        <w:t>指项目</w:t>
      </w:r>
      <w:r>
        <w:rPr>
          <w:rFonts w:hint="eastAsia" w:ascii="宋体" w:hAnsi="宋体" w:eastAsia="宋体" w:cs="宋体"/>
          <w:color w:val="000000" w:themeColor="text1"/>
          <w:kern w:val="0"/>
          <w:sz w:val="24"/>
          <w:szCs w:val="24"/>
          <w:lang w:bidi="ar"/>
          <w14:textFill>
            <w14:solidFill>
              <w14:schemeClr w14:val="tx1"/>
            </w14:solidFill>
          </w14:textFill>
        </w:rPr>
        <w:t>碳排放数据</w:t>
      </w:r>
      <w:r>
        <w:rPr>
          <w:rFonts w:hint="eastAsia" w:ascii="宋体" w:hAnsi="宋体" w:eastAsia="宋体" w:cs="宋体"/>
          <w:color w:val="000000" w:themeColor="text1"/>
          <w:kern w:val="0"/>
          <w:sz w:val="24"/>
          <w:szCs w:val="24"/>
          <w:lang w:val="en-US" w:eastAsia="zh-CN" w:bidi="ar"/>
          <w14:textFill>
            <w14:solidFill>
              <w14:schemeClr w14:val="tx1"/>
            </w14:solidFill>
          </w14:textFill>
        </w:rPr>
        <w:t>管理的制度、管理办法、责任人等管理措施</w:t>
      </w:r>
      <w:r>
        <w:rPr>
          <w:rFonts w:hint="eastAsia" w:ascii="宋体" w:hAnsi="宋体" w:eastAsia="宋体" w:cs="宋体"/>
          <w:color w:val="000000" w:themeColor="text1"/>
          <w:kern w:val="0"/>
          <w:sz w:val="24"/>
          <w:szCs w:val="24"/>
          <w:lang w:eastAsia="zh-CN" w:bidi="ar"/>
          <w14:textFill>
            <w14:solidFill>
              <w14:schemeClr w14:val="tx1"/>
            </w14:solidFill>
          </w14:textFill>
        </w:rPr>
        <w:t>；</w:t>
      </w:r>
      <w:r>
        <w:rPr>
          <w:rFonts w:hint="eastAsia" w:ascii="宋体" w:hAnsi="宋体" w:eastAsia="宋体" w:cs="宋体"/>
          <w:color w:val="000000" w:themeColor="text1"/>
          <w:kern w:val="0"/>
          <w:sz w:val="24"/>
          <w:szCs w:val="24"/>
          <w:lang w:bidi="ar"/>
          <w14:textFill>
            <w14:solidFill>
              <w14:schemeClr w14:val="tx1"/>
            </w14:solidFill>
          </w14:textFill>
        </w:rPr>
        <w:t>数据</w:t>
      </w:r>
      <w:r>
        <w:rPr>
          <w:rFonts w:hint="eastAsia" w:ascii="宋体" w:hAnsi="宋体" w:eastAsia="宋体" w:cs="宋体"/>
          <w:color w:val="000000" w:themeColor="text1"/>
          <w:kern w:val="0"/>
          <w:sz w:val="24"/>
          <w:szCs w:val="24"/>
          <w:lang w:val="en-US" w:eastAsia="zh-CN" w:bidi="ar"/>
          <w14:textFill>
            <w14:solidFill>
              <w14:schemeClr w14:val="tx1"/>
            </w14:solidFill>
          </w14:textFill>
        </w:rPr>
        <w:t>体系</w:t>
      </w:r>
      <w:r>
        <w:rPr>
          <w:rFonts w:hint="eastAsia" w:ascii="宋体" w:hAnsi="宋体" w:eastAsia="宋体" w:cs="宋体"/>
          <w:color w:val="000000" w:themeColor="text1"/>
          <w:kern w:val="0"/>
          <w:sz w:val="24"/>
          <w:szCs w:val="24"/>
          <w:lang w:bidi="ar"/>
          <w14:textFill>
            <w14:solidFill>
              <w14:schemeClr w14:val="tx1"/>
            </w14:solidFill>
          </w14:textFill>
        </w:rPr>
        <w:t>，包括数据来源、碳排放因子取值、数据获取时间、可再生能源利用情况、碳排放数据管理记录等。这有助于确保碳排放数据的真实性、准确性和可靠性。</w:t>
      </w:r>
    </w:p>
    <w:p w14:paraId="0BCDD694">
      <w:pPr>
        <w:snapToGrid w:val="0"/>
        <w:spacing w:line="360" w:lineRule="auto"/>
        <w:ind w:firstLine="480" w:firstLineChars="200"/>
        <w:jc w:val="left"/>
        <w:rPr>
          <w:rFonts w:hint="eastAsia" w:ascii="宋体" w:hAnsi="宋体" w:eastAsia="宋体" w:cs="宋体"/>
          <w:color w:val="000000" w:themeColor="text1"/>
          <w:kern w:val="0"/>
          <w:sz w:val="24"/>
          <w:szCs w:val="24"/>
          <w:lang w:bidi="ar"/>
          <w14:textFill>
            <w14:solidFill>
              <w14:schemeClr w14:val="tx1"/>
            </w14:solidFill>
          </w14:textFill>
        </w:rPr>
      </w:pPr>
      <w:r>
        <w:rPr>
          <w:rFonts w:hint="eastAsia" w:ascii="宋体" w:hAnsi="宋体" w:eastAsia="宋体" w:cs="宋体"/>
          <w:color w:val="000000" w:themeColor="text1"/>
          <w:kern w:val="0"/>
          <w:sz w:val="24"/>
          <w:szCs w:val="24"/>
          <w:lang w:bidi="ar"/>
          <w14:textFill>
            <w14:solidFill>
              <w14:schemeClr w14:val="tx1"/>
            </w14:solidFill>
          </w14:textFill>
        </w:rPr>
        <w:t>考量内容：碳排放监测报告和数据管理记录。</w:t>
      </w:r>
    </w:p>
    <w:p w14:paraId="229169CC">
      <w:pPr>
        <w:snapToGrid w:val="0"/>
        <w:spacing w:line="360" w:lineRule="auto"/>
        <w:ind w:firstLine="0" w:firstLineChars="0"/>
        <w:jc w:val="left"/>
        <w:rPr>
          <w:rFonts w:hint="eastAsia" w:ascii="宋体" w:hAnsi="宋体" w:eastAsia="宋体" w:cs="宋体"/>
          <w:color w:val="000000" w:themeColor="text1"/>
          <w:kern w:val="0"/>
          <w:sz w:val="24"/>
          <w:szCs w:val="24"/>
          <w:lang w:bidi="ar"/>
          <w14:textFill>
            <w14:solidFill>
              <w14:schemeClr w14:val="tx1"/>
            </w14:solidFill>
          </w14:textFill>
        </w:rPr>
      </w:pPr>
      <w:r>
        <w:rPr>
          <w:rFonts w:hint="eastAsia" w:ascii="宋体" w:hAnsi="宋体" w:eastAsia="宋体" w:cs="宋体"/>
          <w:color w:val="000000" w:themeColor="text1"/>
          <w:kern w:val="0"/>
          <w:sz w:val="24"/>
          <w:szCs w:val="24"/>
          <w:lang w:bidi="ar"/>
          <w14:textFill>
            <w14:solidFill>
              <w14:schemeClr w14:val="tx1"/>
            </w14:solidFill>
          </w14:textFill>
        </w:rPr>
        <w:t>C.0.4 项目碳排放情况评价应基于项目的实际碳排放数据和预期目标进行</w:t>
      </w:r>
      <w:r>
        <w:rPr>
          <w:rFonts w:hint="eastAsia" w:ascii="宋体" w:hAnsi="宋体" w:eastAsia="宋体" w:cs="宋体"/>
          <w:color w:val="000000" w:themeColor="text1"/>
          <w:kern w:val="0"/>
          <w:sz w:val="24"/>
          <w:szCs w:val="24"/>
          <w:lang w:eastAsia="zh-CN" w:bidi="ar"/>
          <w14:textFill>
            <w14:solidFill>
              <w14:schemeClr w14:val="tx1"/>
            </w14:solidFill>
          </w14:textFill>
        </w:rPr>
        <w:t>，</w:t>
      </w:r>
      <w:r>
        <w:rPr>
          <w:rFonts w:hint="eastAsia" w:ascii="宋体" w:hAnsi="宋体" w:eastAsia="宋体" w:cs="宋体"/>
          <w:color w:val="000000" w:themeColor="text1"/>
          <w:kern w:val="0"/>
          <w:sz w:val="24"/>
          <w:szCs w:val="24"/>
          <w:lang w:val="en-US" w:eastAsia="zh-CN" w:bidi="ar"/>
          <w14:textFill>
            <w14:solidFill>
              <w14:schemeClr w14:val="tx1"/>
            </w14:solidFill>
          </w14:textFill>
        </w:rPr>
        <w:t>与</w:t>
      </w:r>
      <w:r>
        <w:rPr>
          <w:rFonts w:hint="eastAsia" w:ascii="宋体" w:hAnsi="宋体" w:eastAsia="宋体" w:cs="宋体"/>
          <w:color w:val="000000" w:themeColor="text1"/>
          <w:kern w:val="0"/>
          <w:sz w:val="24"/>
          <w:szCs w:val="24"/>
          <w:lang w:bidi="ar"/>
          <w14:textFill>
            <w14:solidFill>
              <w14:schemeClr w14:val="tx1"/>
            </w14:solidFill>
          </w14:textFill>
        </w:rPr>
        <w:t>。</w:t>
      </w:r>
    </w:p>
    <w:p w14:paraId="63993B98">
      <w:pPr>
        <w:snapToGrid w:val="0"/>
        <w:spacing w:line="360" w:lineRule="auto"/>
        <w:ind w:firstLine="480" w:firstLineChars="200"/>
        <w:jc w:val="left"/>
        <w:rPr>
          <w:rFonts w:hint="eastAsia" w:ascii="宋体" w:hAnsi="宋体" w:eastAsia="宋体" w:cs="宋体"/>
          <w:color w:val="000000" w:themeColor="text1"/>
          <w:kern w:val="0"/>
          <w:sz w:val="24"/>
          <w:szCs w:val="24"/>
          <w:lang w:bidi="ar"/>
          <w14:textFill>
            <w14:solidFill>
              <w14:schemeClr w14:val="tx1"/>
            </w14:solidFill>
          </w14:textFill>
        </w:rPr>
      </w:pPr>
      <w:r>
        <w:rPr>
          <w:rFonts w:hint="eastAsia" w:ascii="宋体" w:hAnsi="宋体" w:eastAsia="宋体" w:cs="宋体"/>
          <w:color w:val="000000" w:themeColor="text1"/>
          <w:kern w:val="0"/>
          <w:sz w:val="24"/>
          <w:szCs w:val="24"/>
          <w:lang w:bidi="ar"/>
          <w14:textFill>
            <w14:solidFill>
              <w14:schemeClr w14:val="tx1"/>
            </w14:solidFill>
          </w14:textFill>
        </w:rPr>
        <w:t>考量内容：碳排放评价报告和项目碳排放目标。</w:t>
      </w:r>
    </w:p>
    <w:p w14:paraId="7C0D634D">
      <w:pPr>
        <w:snapToGrid w:val="0"/>
        <w:spacing w:line="360" w:lineRule="auto"/>
        <w:ind w:firstLine="0" w:firstLineChars="0"/>
        <w:jc w:val="left"/>
        <w:rPr>
          <w:rFonts w:hint="eastAsia" w:ascii="宋体" w:hAnsi="宋体" w:eastAsia="宋体" w:cs="宋体"/>
          <w:color w:val="000000" w:themeColor="text1"/>
          <w:kern w:val="0"/>
          <w:sz w:val="24"/>
          <w:szCs w:val="24"/>
          <w:lang w:bidi="ar"/>
          <w14:textFill>
            <w14:solidFill>
              <w14:schemeClr w14:val="tx1"/>
            </w14:solidFill>
          </w14:textFill>
        </w:rPr>
      </w:pPr>
      <w:r>
        <w:rPr>
          <w:rFonts w:hint="eastAsia" w:ascii="宋体" w:hAnsi="宋体" w:eastAsia="宋体" w:cs="宋体"/>
          <w:color w:val="000000" w:themeColor="text1"/>
          <w:kern w:val="0"/>
          <w:sz w:val="24"/>
          <w:szCs w:val="24"/>
          <w:lang w:bidi="ar"/>
          <w14:textFill>
            <w14:solidFill>
              <w14:schemeClr w14:val="tx1"/>
            </w14:solidFill>
          </w14:textFill>
        </w:rPr>
        <w:t xml:space="preserve">C.0.5 </w:t>
      </w:r>
      <w:r>
        <w:rPr>
          <w:rFonts w:hint="eastAsia" w:ascii="宋体" w:hAnsi="宋体" w:eastAsia="宋体" w:cs="宋体"/>
          <w:color w:val="000000" w:themeColor="text1"/>
          <w:kern w:val="0"/>
          <w:sz w:val="24"/>
          <w:szCs w:val="24"/>
          <w:lang w:val="en-US" w:eastAsia="zh-CN" w:bidi="ar"/>
          <w14:textFill>
            <w14:solidFill>
              <w14:schemeClr w14:val="tx1"/>
            </w14:solidFill>
          </w14:textFill>
        </w:rPr>
        <w:t>逐项列出项目</w:t>
      </w:r>
      <w:r>
        <w:rPr>
          <w:rFonts w:hint="eastAsia" w:ascii="宋体" w:hAnsi="宋体" w:eastAsia="宋体" w:cs="宋体"/>
          <w:color w:val="000000" w:themeColor="text1"/>
          <w:kern w:val="0"/>
          <w:sz w:val="24"/>
          <w:szCs w:val="24"/>
          <w:lang w:bidi="ar"/>
          <w14:textFill>
            <w14:solidFill>
              <w14:schemeClr w14:val="tx1"/>
            </w14:solidFill>
          </w14:textFill>
        </w:rPr>
        <w:t>使用的绿色低碳技术产品</w:t>
      </w:r>
      <w:r>
        <w:rPr>
          <w:rFonts w:hint="eastAsia" w:ascii="宋体" w:hAnsi="宋体" w:eastAsia="宋体" w:cs="宋体"/>
          <w:color w:val="000000" w:themeColor="text1"/>
          <w:kern w:val="0"/>
          <w:sz w:val="24"/>
          <w:szCs w:val="24"/>
          <w:lang w:val="en-US" w:eastAsia="zh-CN" w:bidi="ar"/>
          <w14:textFill>
            <w14:solidFill>
              <w14:schemeClr w14:val="tx1"/>
            </w14:solidFill>
          </w14:textFill>
        </w:rPr>
        <w:t>技术性能、</w:t>
      </w:r>
      <w:r>
        <w:rPr>
          <w:rFonts w:hint="eastAsia" w:ascii="宋体" w:hAnsi="宋体" w:eastAsia="宋体" w:cs="宋体"/>
          <w:color w:val="000000" w:themeColor="text1"/>
          <w:kern w:val="0"/>
          <w:sz w:val="24"/>
          <w:szCs w:val="24"/>
          <w:lang w:bidi="ar"/>
          <w14:textFill>
            <w14:solidFill>
              <w14:schemeClr w14:val="tx1"/>
            </w14:solidFill>
          </w14:textFill>
        </w:rPr>
        <w:t>运行工况、减碳效果等</w:t>
      </w:r>
      <w:r>
        <w:rPr>
          <w:rFonts w:hint="eastAsia" w:ascii="宋体" w:hAnsi="宋体" w:eastAsia="宋体" w:cs="宋体"/>
          <w:color w:val="000000" w:themeColor="text1"/>
          <w:kern w:val="0"/>
          <w:sz w:val="24"/>
          <w:szCs w:val="24"/>
          <w:lang w:val="en-US" w:eastAsia="zh-CN" w:bidi="ar"/>
          <w14:textFill>
            <w14:solidFill>
              <w14:schemeClr w14:val="tx1"/>
            </w14:solidFill>
          </w14:textFill>
        </w:rPr>
        <w:t>，体现</w:t>
      </w:r>
      <w:r>
        <w:rPr>
          <w:rFonts w:hint="eastAsia" w:ascii="宋体" w:hAnsi="宋体" w:eastAsia="宋体" w:cs="宋体"/>
          <w:color w:val="000000" w:themeColor="text1"/>
          <w:kern w:val="0"/>
          <w:sz w:val="24"/>
          <w:szCs w:val="24"/>
          <w:lang w:bidi="ar"/>
          <w14:textFill>
            <w14:solidFill>
              <w14:schemeClr w14:val="tx1"/>
            </w14:solidFill>
          </w14:textFill>
        </w:rPr>
        <w:t>绿色低碳技术的实际效果。</w:t>
      </w:r>
    </w:p>
    <w:p w14:paraId="2AB149AE">
      <w:pPr>
        <w:snapToGrid w:val="0"/>
        <w:spacing w:line="360" w:lineRule="auto"/>
        <w:ind w:firstLine="480" w:firstLineChars="200"/>
        <w:jc w:val="left"/>
        <w:rPr>
          <w:rFonts w:hint="eastAsia" w:ascii="宋体" w:hAnsi="宋体" w:eastAsia="宋体" w:cs="宋体"/>
          <w:color w:val="000000" w:themeColor="text1"/>
          <w:kern w:val="0"/>
          <w:sz w:val="24"/>
          <w:szCs w:val="24"/>
          <w:lang w:bidi="ar"/>
          <w14:textFill>
            <w14:solidFill>
              <w14:schemeClr w14:val="tx1"/>
            </w14:solidFill>
          </w14:textFill>
        </w:rPr>
      </w:pPr>
      <w:r>
        <w:rPr>
          <w:rFonts w:hint="eastAsia" w:ascii="宋体" w:hAnsi="宋体" w:eastAsia="宋体" w:cs="宋体"/>
          <w:color w:val="000000" w:themeColor="text1"/>
          <w:kern w:val="0"/>
          <w:sz w:val="24"/>
          <w:szCs w:val="24"/>
          <w:lang w:bidi="ar"/>
          <w14:textFill>
            <w14:solidFill>
              <w14:schemeClr w14:val="tx1"/>
            </w14:solidFill>
          </w14:textFill>
        </w:rPr>
        <w:t>考量内容：绿色低碳技术产品评估报告。</w:t>
      </w:r>
    </w:p>
    <w:p w14:paraId="2CBE5366">
      <w:pPr>
        <w:snapToGrid w:val="0"/>
        <w:spacing w:line="360" w:lineRule="auto"/>
        <w:ind w:firstLine="0" w:firstLineChars="0"/>
        <w:jc w:val="left"/>
        <w:rPr>
          <w:rFonts w:hint="eastAsia" w:ascii="宋体" w:hAnsi="宋体" w:eastAsia="宋体" w:cs="宋体"/>
          <w:color w:val="000000" w:themeColor="text1"/>
          <w:kern w:val="0"/>
          <w:sz w:val="24"/>
          <w:szCs w:val="24"/>
          <w:lang w:bidi="ar"/>
          <w14:textFill>
            <w14:solidFill>
              <w14:schemeClr w14:val="tx1"/>
            </w14:solidFill>
          </w14:textFill>
        </w:rPr>
      </w:pPr>
      <w:r>
        <w:rPr>
          <w:rFonts w:hint="eastAsia" w:ascii="宋体" w:hAnsi="宋体" w:eastAsia="宋体" w:cs="宋体"/>
          <w:color w:val="000000" w:themeColor="text1"/>
          <w:kern w:val="0"/>
          <w:sz w:val="24"/>
          <w:szCs w:val="24"/>
          <w:lang w:bidi="ar"/>
          <w14:textFill>
            <w14:solidFill>
              <w14:schemeClr w14:val="tx1"/>
            </w14:solidFill>
          </w14:textFill>
        </w:rPr>
        <w:t xml:space="preserve">C.0.6 </w:t>
      </w:r>
      <w:r>
        <w:rPr>
          <w:rFonts w:hint="eastAsia" w:ascii="宋体" w:hAnsi="宋体" w:eastAsia="宋体" w:cs="宋体"/>
          <w:color w:val="000000" w:themeColor="text1"/>
          <w:kern w:val="0"/>
          <w:sz w:val="24"/>
          <w:szCs w:val="24"/>
          <w:lang w:val="en-US" w:eastAsia="zh-CN" w:bidi="ar"/>
          <w14:textFill>
            <w14:solidFill>
              <w14:schemeClr w14:val="tx1"/>
            </w14:solidFill>
          </w14:textFill>
        </w:rPr>
        <w:t>列出项目</w:t>
      </w:r>
      <w:r>
        <w:rPr>
          <w:rFonts w:hint="eastAsia" w:ascii="宋体" w:hAnsi="宋体" w:eastAsia="宋体" w:cs="宋体"/>
          <w:color w:val="000000" w:themeColor="text1"/>
          <w:kern w:val="0"/>
          <w:sz w:val="24"/>
          <w:szCs w:val="24"/>
          <w:lang w:bidi="ar"/>
          <w14:textFill>
            <w14:solidFill>
              <w14:schemeClr w14:val="tx1"/>
            </w14:solidFill>
          </w14:textFill>
        </w:rPr>
        <w:t>碳排放核算范围、碳排放核算边界、碳排放核算方法、碳排放基准</w:t>
      </w:r>
      <w:r>
        <w:rPr>
          <w:rFonts w:hint="eastAsia" w:ascii="宋体" w:hAnsi="宋体" w:eastAsia="宋体" w:cs="宋体"/>
          <w:color w:val="000000" w:themeColor="text1"/>
          <w:kern w:val="0"/>
          <w:sz w:val="24"/>
          <w:szCs w:val="24"/>
          <w:lang w:eastAsia="zh-CN" w:bidi="ar"/>
          <w14:textFill>
            <w14:solidFill>
              <w14:schemeClr w14:val="tx1"/>
            </w14:solidFill>
          </w14:textFill>
        </w:rPr>
        <w:t>，</w:t>
      </w:r>
      <w:r>
        <w:rPr>
          <w:rFonts w:hint="eastAsia" w:ascii="宋体" w:hAnsi="宋体" w:eastAsia="宋体" w:cs="宋体"/>
          <w:color w:val="000000" w:themeColor="text1"/>
          <w:kern w:val="0"/>
          <w:sz w:val="24"/>
          <w:szCs w:val="24"/>
          <w:lang w:val="en-US" w:eastAsia="zh-CN" w:bidi="ar"/>
          <w14:textFill>
            <w14:solidFill>
              <w14:schemeClr w14:val="tx1"/>
            </w14:solidFill>
          </w14:textFill>
        </w:rPr>
        <w:t>以及相关依据</w:t>
      </w:r>
      <w:r>
        <w:rPr>
          <w:rFonts w:hint="eastAsia" w:ascii="宋体" w:hAnsi="宋体" w:eastAsia="宋体" w:cs="宋体"/>
          <w:color w:val="000000" w:themeColor="text1"/>
          <w:kern w:val="0"/>
          <w:sz w:val="24"/>
          <w:szCs w:val="24"/>
          <w:lang w:bidi="ar"/>
          <w14:textFill>
            <w14:solidFill>
              <w14:schemeClr w14:val="tx1"/>
            </w14:solidFill>
          </w14:textFill>
        </w:rPr>
        <w:t>。</w:t>
      </w:r>
    </w:p>
    <w:p w14:paraId="730D4EC3">
      <w:pPr>
        <w:snapToGrid w:val="0"/>
        <w:spacing w:line="360" w:lineRule="auto"/>
        <w:ind w:firstLine="480" w:firstLineChars="200"/>
        <w:jc w:val="left"/>
        <w:rPr>
          <w:rFonts w:hint="eastAsia" w:ascii="宋体" w:hAnsi="宋体" w:eastAsia="宋体" w:cs="宋体"/>
          <w:color w:val="000000" w:themeColor="text1"/>
          <w:kern w:val="0"/>
          <w:sz w:val="24"/>
          <w:szCs w:val="24"/>
          <w:lang w:bidi="ar"/>
          <w14:textFill>
            <w14:solidFill>
              <w14:schemeClr w14:val="tx1"/>
            </w14:solidFill>
          </w14:textFill>
        </w:rPr>
      </w:pPr>
      <w:r>
        <w:rPr>
          <w:rFonts w:hint="eastAsia" w:ascii="宋体" w:hAnsi="宋体" w:eastAsia="宋体" w:cs="宋体"/>
          <w:color w:val="000000" w:themeColor="text1"/>
          <w:kern w:val="0"/>
          <w:sz w:val="24"/>
          <w:szCs w:val="24"/>
          <w:lang w:bidi="ar"/>
          <w14:textFill>
            <w14:solidFill>
              <w14:schemeClr w14:val="tx1"/>
            </w14:solidFill>
          </w14:textFill>
        </w:rPr>
        <w:t>考量内容：碳排放核算方法说明。</w:t>
      </w:r>
    </w:p>
    <w:p w14:paraId="6C0D4005">
      <w:pPr>
        <w:snapToGrid w:val="0"/>
        <w:spacing w:line="360" w:lineRule="auto"/>
        <w:ind w:firstLine="0" w:firstLineChars="0"/>
        <w:jc w:val="left"/>
        <w:rPr>
          <w:rFonts w:hint="eastAsia" w:ascii="宋体" w:hAnsi="宋体" w:eastAsia="宋体" w:cs="宋体"/>
          <w:color w:val="000000" w:themeColor="text1"/>
          <w:kern w:val="0"/>
          <w:sz w:val="24"/>
          <w:szCs w:val="24"/>
          <w:lang w:bidi="ar"/>
          <w14:textFill>
            <w14:solidFill>
              <w14:schemeClr w14:val="tx1"/>
            </w14:solidFill>
          </w14:textFill>
        </w:rPr>
      </w:pPr>
      <w:r>
        <w:rPr>
          <w:rFonts w:hint="eastAsia" w:ascii="宋体" w:hAnsi="宋体" w:eastAsia="宋体" w:cs="宋体"/>
          <w:color w:val="000000" w:themeColor="text1"/>
          <w:kern w:val="0"/>
          <w:sz w:val="24"/>
          <w:szCs w:val="24"/>
          <w:lang w:bidi="ar"/>
          <w14:textFill>
            <w14:solidFill>
              <w14:schemeClr w14:val="tx1"/>
            </w14:solidFill>
          </w14:textFill>
        </w:rPr>
        <w:t>C.0.7 提供</w:t>
      </w:r>
      <w:r>
        <w:rPr>
          <w:rFonts w:hint="eastAsia" w:ascii="宋体" w:hAnsi="宋体" w:eastAsia="宋体" w:cs="宋体"/>
          <w:color w:val="000000" w:themeColor="text1"/>
          <w:kern w:val="0"/>
          <w:sz w:val="24"/>
          <w:szCs w:val="24"/>
          <w:lang w:val="en-US" w:eastAsia="zh-CN" w:bidi="ar"/>
          <w14:textFill>
            <w14:solidFill>
              <w14:schemeClr w14:val="tx1"/>
            </w14:solidFill>
          </w14:textFill>
        </w:rPr>
        <w:t>项目</w:t>
      </w:r>
      <w:r>
        <w:rPr>
          <w:rFonts w:hint="eastAsia" w:ascii="宋体" w:hAnsi="宋体" w:eastAsia="宋体" w:cs="宋体"/>
          <w:color w:val="000000" w:themeColor="text1"/>
          <w:kern w:val="0"/>
          <w:sz w:val="24"/>
          <w:szCs w:val="24"/>
          <w:lang w:bidi="ar"/>
          <w14:textFill>
            <w14:solidFill>
              <w14:schemeClr w14:val="tx1"/>
            </w14:solidFill>
          </w14:textFill>
        </w:rPr>
        <w:t>碳排放计算结果</w:t>
      </w:r>
      <w:r>
        <w:rPr>
          <w:rFonts w:hint="eastAsia" w:ascii="宋体" w:hAnsi="宋体" w:eastAsia="宋体" w:cs="宋体"/>
          <w:color w:val="000000" w:themeColor="text1"/>
          <w:kern w:val="0"/>
          <w:sz w:val="24"/>
          <w:szCs w:val="24"/>
          <w:lang w:val="en-US" w:eastAsia="zh-CN" w:bidi="ar"/>
          <w14:textFill>
            <w14:solidFill>
              <w14:schemeClr w14:val="tx1"/>
            </w14:solidFill>
          </w14:textFill>
        </w:rPr>
        <w:t>说明</w:t>
      </w:r>
      <w:r>
        <w:rPr>
          <w:rFonts w:hint="eastAsia" w:ascii="宋体" w:hAnsi="宋体" w:eastAsia="宋体" w:cs="宋体"/>
          <w:color w:val="000000" w:themeColor="text1"/>
          <w:kern w:val="0"/>
          <w:sz w:val="24"/>
          <w:szCs w:val="24"/>
          <w:lang w:eastAsia="zh-CN" w:bidi="ar"/>
          <w14:textFill>
            <w14:solidFill>
              <w14:schemeClr w14:val="tx1"/>
            </w14:solidFill>
          </w14:textFill>
        </w:rPr>
        <w:t>，</w:t>
      </w:r>
      <w:r>
        <w:rPr>
          <w:rFonts w:hint="eastAsia" w:ascii="宋体" w:hAnsi="宋体" w:eastAsia="宋体" w:cs="宋体"/>
          <w:color w:val="000000" w:themeColor="text1"/>
          <w:kern w:val="0"/>
          <w:sz w:val="24"/>
          <w:szCs w:val="24"/>
          <w:lang w:val="en-US" w:eastAsia="zh-CN" w:bidi="ar"/>
          <w14:textFill>
            <w14:solidFill>
              <w14:schemeClr w14:val="tx1"/>
            </w14:solidFill>
          </w14:textFill>
        </w:rPr>
        <w:t>用于</w:t>
      </w:r>
      <w:r>
        <w:rPr>
          <w:rFonts w:hint="eastAsia" w:ascii="宋体" w:hAnsi="宋体" w:eastAsia="宋体" w:cs="宋体"/>
          <w:color w:val="000000" w:themeColor="text1"/>
          <w:kern w:val="0"/>
          <w:sz w:val="24"/>
          <w:szCs w:val="24"/>
          <w:lang w:bidi="ar"/>
          <w14:textFill>
            <w14:solidFill>
              <w14:schemeClr w14:val="tx1"/>
            </w14:solidFill>
          </w14:textFill>
        </w:rPr>
        <w:t>量化项目的碳排放情况和节能减排效果。</w:t>
      </w:r>
    </w:p>
    <w:p w14:paraId="28B504AA">
      <w:pPr>
        <w:snapToGrid w:val="0"/>
        <w:spacing w:line="360" w:lineRule="auto"/>
        <w:ind w:firstLine="480" w:firstLineChars="200"/>
        <w:jc w:val="left"/>
        <w:rPr>
          <w:rFonts w:hint="eastAsia" w:ascii="宋体" w:hAnsi="宋体" w:eastAsia="宋体" w:cs="宋体"/>
          <w:color w:val="000000" w:themeColor="text1"/>
          <w:kern w:val="0"/>
          <w:sz w:val="24"/>
          <w:szCs w:val="24"/>
          <w:lang w:bidi="ar"/>
          <w14:textFill>
            <w14:solidFill>
              <w14:schemeClr w14:val="tx1"/>
            </w14:solidFill>
          </w14:textFill>
        </w:rPr>
      </w:pPr>
      <w:r>
        <w:rPr>
          <w:rFonts w:hint="eastAsia" w:ascii="宋体" w:hAnsi="宋体" w:eastAsia="宋体" w:cs="宋体"/>
          <w:color w:val="000000" w:themeColor="text1"/>
          <w:kern w:val="0"/>
          <w:sz w:val="24"/>
          <w:szCs w:val="24"/>
          <w:lang w:bidi="ar"/>
          <w14:textFill>
            <w14:solidFill>
              <w14:schemeClr w14:val="tx1"/>
            </w14:solidFill>
          </w14:textFill>
        </w:rPr>
        <w:t>考量内容：碳排放计算报告和节能减排措施报告。</w:t>
      </w:r>
    </w:p>
    <w:p w14:paraId="3481309A">
      <w:pPr>
        <w:snapToGrid w:val="0"/>
        <w:spacing w:line="360" w:lineRule="auto"/>
        <w:ind w:firstLine="0" w:firstLineChars="0"/>
        <w:jc w:val="left"/>
        <w:rPr>
          <w:rFonts w:hint="eastAsia" w:ascii="宋体" w:hAnsi="宋体" w:eastAsia="宋体" w:cs="宋体"/>
          <w:color w:val="000000" w:themeColor="text1"/>
          <w:kern w:val="0"/>
          <w:sz w:val="24"/>
          <w:szCs w:val="24"/>
          <w:lang w:bidi="ar"/>
          <w14:textFill>
            <w14:solidFill>
              <w14:schemeClr w14:val="tx1"/>
            </w14:solidFill>
          </w14:textFill>
        </w:rPr>
      </w:pPr>
      <w:r>
        <w:rPr>
          <w:rFonts w:hint="eastAsia" w:ascii="宋体" w:hAnsi="宋体" w:eastAsia="宋体" w:cs="宋体"/>
          <w:color w:val="000000" w:themeColor="text1"/>
          <w:kern w:val="0"/>
          <w:sz w:val="24"/>
          <w:szCs w:val="24"/>
          <w:lang w:bidi="ar"/>
          <w14:textFill>
            <w14:solidFill>
              <w14:schemeClr w14:val="tx1"/>
            </w14:solidFill>
          </w14:textFill>
        </w:rPr>
        <w:t>C.0.8 对项目碳排放抵消措施</w:t>
      </w:r>
      <w:r>
        <w:rPr>
          <w:rFonts w:hint="eastAsia" w:ascii="宋体" w:hAnsi="宋体" w:eastAsia="宋体" w:cs="宋体"/>
          <w:color w:val="000000" w:themeColor="text1"/>
          <w:kern w:val="0"/>
          <w:sz w:val="24"/>
          <w:szCs w:val="24"/>
          <w:lang w:val="en-US" w:eastAsia="zh-CN" w:bidi="ar"/>
          <w14:textFill>
            <w14:solidFill>
              <w14:schemeClr w14:val="tx1"/>
            </w14:solidFill>
          </w14:textFill>
        </w:rPr>
        <w:t>如可再生能源使用、绿电购买等，</w:t>
      </w:r>
      <w:r>
        <w:rPr>
          <w:rFonts w:hint="eastAsia" w:ascii="宋体" w:hAnsi="宋体" w:eastAsia="宋体" w:cs="宋体"/>
          <w:color w:val="000000" w:themeColor="text1"/>
          <w:kern w:val="0"/>
          <w:sz w:val="24"/>
          <w:szCs w:val="24"/>
          <w:lang w:bidi="ar"/>
          <w14:textFill>
            <w14:solidFill>
              <w14:schemeClr w14:val="tx1"/>
            </w14:solidFill>
          </w14:textFill>
        </w:rPr>
        <w:t>进行详细描述</w:t>
      </w:r>
      <w:r>
        <w:rPr>
          <w:rFonts w:hint="eastAsia" w:ascii="宋体" w:hAnsi="宋体" w:eastAsia="宋体" w:cs="宋体"/>
          <w:color w:val="000000" w:themeColor="text1"/>
          <w:kern w:val="0"/>
          <w:sz w:val="24"/>
          <w:szCs w:val="24"/>
          <w:lang w:eastAsia="zh-CN" w:bidi="ar"/>
          <w14:textFill>
            <w14:solidFill>
              <w14:schemeClr w14:val="tx1"/>
            </w14:solidFill>
          </w14:textFill>
        </w:rPr>
        <w:t>，</w:t>
      </w:r>
      <w:r>
        <w:rPr>
          <w:rFonts w:hint="eastAsia" w:ascii="宋体" w:hAnsi="宋体" w:eastAsia="宋体" w:cs="宋体"/>
          <w:color w:val="000000" w:themeColor="text1"/>
          <w:kern w:val="0"/>
          <w:sz w:val="24"/>
          <w:szCs w:val="24"/>
          <w:lang w:val="en-US" w:eastAsia="zh-CN" w:bidi="ar"/>
          <w14:textFill>
            <w14:solidFill>
              <w14:schemeClr w14:val="tx1"/>
            </w14:solidFill>
          </w14:textFill>
        </w:rPr>
        <w:t>体现</w:t>
      </w:r>
      <w:r>
        <w:rPr>
          <w:rFonts w:hint="eastAsia" w:ascii="宋体" w:hAnsi="宋体" w:eastAsia="宋体" w:cs="宋体"/>
          <w:color w:val="000000" w:themeColor="text1"/>
          <w:kern w:val="0"/>
          <w:sz w:val="24"/>
          <w:szCs w:val="24"/>
          <w:lang w:bidi="ar"/>
          <w14:textFill>
            <w14:solidFill>
              <w14:schemeClr w14:val="tx1"/>
            </w14:solidFill>
          </w14:textFill>
        </w:rPr>
        <w:t>项目的碳中和能力。</w:t>
      </w:r>
    </w:p>
    <w:p w14:paraId="21F3270E">
      <w:pPr>
        <w:snapToGrid w:val="0"/>
        <w:spacing w:line="360" w:lineRule="auto"/>
        <w:ind w:firstLine="480" w:firstLineChars="200"/>
        <w:jc w:val="left"/>
        <w:rPr>
          <w:rFonts w:hint="eastAsia" w:ascii="宋体" w:hAnsi="宋体" w:eastAsia="宋体" w:cs="宋体"/>
          <w:color w:val="000000" w:themeColor="text1"/>
          <w:kern w:val="0"/>
          <w:sz w:val="24"/>
          <w:szCs w:val="24"/>
          <w:lang w:bidi="ar"/>
          <w14:textFill>
            <w14:solidFill>
              <w14:schemeClr w14:val="tx1"/>
            </w14:solidFill>
          </w14:textFill>
        </w:rPr>
      </w:pPr>
      <w:r>
        <w:rPr>
          <w:rFonts w:hint="eastAsia" w:ascii="宋体" w:hAnsi="宋体" w:eastAsia="宋体" w:cs="宋体"/>
          <w:color w:val="000000" w:themeColor="text1"/>
          <w:kern w:val="0"/>
          <w:sz w:val="24"/>
          <w:szCs w:val="24"/>
          <w:lang w:bidi="ar"/>
          <w14:textFill>
            <w14:solidFill>
              <w14:schemeClr w14:val="tx1"/>
            </w14:solidFill>
          </w14:textFill>
        </w:rPr>
        <w:t>考量内容：碳排放抵消措施报告和相关认证文件。</w:t>
      </w:r>
    </w:p>
    <w:p w14:paraId="20028456">
      <w:pPr>
        <w:snapToGrid w:val="0"/>
        <w:spacing w:line="360" w:lineRule="auto"/>
        <w:ind w:firstLine="0" w:firstLineChars="0"/>
        <w:jc w:val="left"/>
        <w:rPr>
          <w:rFonts w:hint="eastAsia" w:ascii="宋体" w:hAnsi="宋体" w:eastAsia="宋体" w:cs="宋体"/>
          <w:color w:val="000000" w:themeColor="text1"/>
          <w:kern w:val="0"/>
          <w:sz w:val="24"/>
          <w:szCs w:val="24"/>
          <w:lang w:bidi="ar"/>
          <w14:textFill>
            <w14:solidFill>
              <w14:schemeClr w14:val="tx1"/>
            </w14:solidFill>
          </w14:textFill>
        </w:rPr>
      </w:pPr>
      <w:r>
        <w:rPr>
          <w:rFonts w:hint="eastAsia" w:ascii="宋体" w:hAnsi="宋体" w:eastAsia="宋体" w:cs="宋体"/>
          <w:color w:val="000000" w:themeColor="text1"/>
          <w:kern w:val="0"/>
          <w:sz w:val="24"/>
          <w:szCs w:val="24"/>
          <w:lang w:bidi="ar"/>
          <w14:textFill>
            <w14:solidFill>
              <w14:schemeClr w14:val="tx1"/>
            </w14:solidFill>
          </w14:textFill>
        </w:rPr>
        <w:t>C.0.9 对项目的综合碳排放量进行分类</w:t>
      </w:r>
      <w:r>
        <w:rPr>
          <w:rFonts w:hint="eastAsia" w:ascii="宋体" w:hAnsi="宋体" w:eastAsia="宋体" w:cs="宋体"/>
          <w:color w:val="000000" w:themeColor="text1"/>
          <w:kern w:val="0"/>
          <w:sz w:val="24"/>
          <w:szCs w:val="24"/>
          <w:lang w:val="en-US" w:eastAsia="zh-CN" w:bidi="ar"/>
          <w14:textFill>
            <w14:solidFill>
              <w14:schemeClr w14:val="tx1"/>
            </w14:solidFill>
          </w14:textFill>
        </w:rPr>
        <w:t>说明</w:t>
      </w:r>
      <w:r>
        <w:rPr>
          <w:rFonts w:hint="eastAsia" w:ascii="宋体" w:hAnsi="宋体" w:eastAsia="宋体" w:cs="宋体"/>
          <w:color w:val="000000" w:themeColor="text1"/>
          <w:kern w:val="0"/>
          <w:sz w:val="24"/>
          <w:szCs w:val="24"/>
          <w:lang w:bidi="ar"/>
          <w14:textFill>
            <w14:solidFill>
              <w14:schemeClr w14:val="tx1"/>
            </w14:solidFill>
          </w14:textFill>
        </w:rPr>
        <w:t>，包括可再生资源利用碳排放、隐含碳排放、运行碳排放、碳排放抵消等</w:t>
      </w:r>
      <w:r>
        <w:rPr>
          <w:rFonts w:hint="eastAsia" w:ascii="宋体" w:hAnsi="宋体" w:eastAsia="宋体" w:cs="宋体"/>
          <w:color w:val="000000" w:themeColor="text1"/>
          <w:kern w:val="0"/>
          <w:sz w:val="24"/>
          <w:szCs w:val="24"/>
          <w:lang w:eastAsia="zh-CN" w:bidi="ar"/>
          <w14:textFill>
            <w14:solidFill>
              <w14:schemeClr w14:val="tx1"/>
            </w14:solidFill>
          </w14:textFill>
        </w:rPr>
        <w:t>，</w:t>
      </w:r>
      <w:r>
        <w:rPr>
          <w:rFonts w:hint="eastAsia" w:ascii="宋体" w:hAnsi="宋体" w:eastAsia="宋体" w:cs="宋体"/>
          <w:color w:val="000000" w:themeColor="text1"/>
          <w:kern w:val="0"/>
          <w:sz w:val="24"/>
          <w:szCs w:val="24"/>
          <w:lang w:val="en-US" w:eastAsia="zh-CN" w:bidi="ar"/>
          <w14:textFill>
            <w14:solidFill>
              <w14:schemeClr w14:val="tx1"/>
            </w14:solidFill>
          </w14:textFill>
        </w:rPr>
        <w:t>展现</w:t>
      </w:r>
      <w:r>
        <w:rPr>
          <w:rFonts w:hint="eastAsia" w:ascii="宋体" w:hAnsi="宋体" w:eastAsia="宋体" w:cs="宋体"/>
          <w:color w:val="000000" w:themeColor="text1"/>
          <w:kern w:val="0"/>
          <w:sz w:val="24"/>
          <w:szCs w:val="24"/>
          <w:lang w:bidi="ar"/>
          <w14:textFill>
            <w14:solidFill>
              <w14:schemeClr w14:val="tx1"/>
            </w14:solidFill>
          </w14:textFill>
        </w:rPr>
        <w:t>项目碳排放的全面视图。</w:t>
      </w:r>
    </w:p>
    <w:p w14:paraId="2849FC5C">
      <w:pPr>
        <w:snapToGrid w:val="0"/>
        <w:spacing w:line="360" w:lineRule="auto"/>
        <w:ind w:firstLine="480" w:firstLineChars="200"/>
        <w:jc w:val="left"/>
        <w:rPr>
          <w:rFonts w:hint="eastAsia" w:ascii="宋体" w:hAnsi="宋体" w:eastAsia="宋体" w:cs="宋体"/>
          <w:color w:val="000000" w:themeColor="text1"/>
          <w:kern w:val="0"/>
          <w:sz w:val="24"/>
          <w:szCs w:val="24"/>
          <w:lang w:bidi="ar"/>
          <w14:textFill>
            <w14:solidFill>
              <w14:schemeClr w14:val="tx1"/>
            </w14:solidFill>
          </w14:textFill>
        </w:rPr>
      </w:pPr>
      <w:r>
        <w:rPr>
          <w:rFonts w:hint="eastAsia" w:ascii="宋体" w:hAnsi="宋体" w:eastAsia="宋体" w:cs="宋体"/>
          <w:color w:val="000000" w:themeColor="text1"/>
          <w:kern w:val="0"/>
          <w:sz w:val="24"/>
          <w:szCs w:val="24"/>
          <w:lang w:bidi="ar"/>
          <w14:textFill>
            <w14:solidFill>
              <w14:schemeClr w14:val="tx1"/>
            </w14:solidFill>
          </w14:textFill>
        </w:rPr>
        <w:t>考量内容：综合碳排放量报告和分类披露文件。</w:t>
      </w:r>
    </w:p>
    <w:p w14:paraId="464640CF">
      <w:pPr>
        <w:spacing w:line="360" w:lineRule="auto"/>
        <w:ind w:firstLine="420" w:firstLineChars="200"/>
        <w:rPr>
          <w:rFonts w:hint="eastAsia" w:ascii="仿宋" w:hAnsi="仿宋" w:eastAsia="仿宋" w:cs="仿宋"/>
          <w:color w:val="000000" w:themeColor="text1"/>
          <w:sz w:val="21"/>
          <w:szCs w:val="21"/>
          <w14:textFill>
            <w14:solidFill>
              <w14:schemeClr w14:val="tx1"/>
            </w14:solidFill>
          </w14:textFill>
        </w:rPr>
        <w:sectPr>
          <w:pgSz w:w="11906" w:h="16838"/>
          <w:pgMar w:top="1440" w:right="1800" w:bottom="1440" w:left="1800" w:header="851" w:footer="992" w:gutter="0"/>
          <w:pgNumType w:fmt="decimal"/>
          <w:cols w:space="425" w:num="1"/>
          <w:docGrid w:type="lines" w:linePitch="312" w:charSpace="0"/>
        </w:sectPr>
      </w:pPr>
    </w:p>
    <w:p w14:paraId="06CF9F90">
      <w:pPr>
        <w:snapToGrid w:val="0"/>
        <w:spacing w:line="360" w:lineRule="auto"/>
        <w:jc w:val="center"/>
        <w:outlineLvl w:val="0"/>
        <w:rPr>
          <w:rFonts w:ascii="宋体" w:hAnsi="宋体" w:eastAsia="宋体" w:cs="宋体"/>
          <w:b/>
          <w:bCs/>
          <w:color w:val="000000" w:themeColor="text1"/>
          <w:sz w:val="30"/>
          <w:szCs w:val="30"/>
          <w14:textFill>
            <w14:solidFill>
              <w14:schemeClr w14:val="tx1"/>
            </w14:solidFill>
          </w14:textFill>
        </w:rPr>
      </w:pPr>
      <w:bookmarkStart w:id="893" w:name="_Toc14006"/>
      <w:bookmarkStart w:id="894" w:name="_Toc4308"/>
      <w:bookmarkStart w:id="895" w:name="_Toc11376"/>
      <w:bookmarkStart w:id="896" w:name="_Toc22617"/>
      <w:bookmarkStart w:id="897" w:name="_Toc30639"/>
      <w:bookmarkStart w:id="898" w:name="_Toc15731"/>
      <w:r>
        <w:rPr>
          <w:rFonts w:hint="eastAsia" w:ascii="宋体" w:hAnsi="宋体" w:eastAsia="宋体" w:cs="宋体"/>
          <w:b/>
          <w:bCs/>
          <w:color w:val="000000" w:themeColor="text1"/>
          <w:sz w:val="30"/>
          <w:szCs w:val="30"/>
          <w14:textFill>
            <w14:solidFill>
              <w14:schemeClr w14:val="tx1"/>
            </w14:solidFill>
          </w14:textFill>
        </w:rPr>
        <w:t>附录</w:t>
      </w:r>
      <w:r>
        <w:rPr>
          <w:rFonts w:hint="eastAsia" w:ascii="宋体" w:hAnsi="宋体" w:eastAsia="宋体" w:cs="宋体"/>
          <w:b/>
          <w:bCs/>
          <w:color w:val="000000" w:themeColor="text1"/>
          <w:sz w:val="30"/>
          <w:szCs w:val="30"/>
          <w:lang w:val="en-US" w:eastAsia="zh-CN"/>
          <w14:textFill>
            <w14:solidFill>
              <w14:schemeClr w14:val="tx1"/>
            </w14:solidFill>
          </w14:textFill>
        </w:rPr>
        <w:t>D</w:t>
      </w:r>
      <w:r>
        <w:rPr>
          <w:rFonts w:hint="eastAsia" w:ascii="宋体" w:hAnsi="宋体" w:eastAsia="宋体" w:cs="宋体"/>
          <w:b/>
          <w:bCs/>
          <w:color w:val="000000" w:themeColor="text1"/>
          <w:sz w:val="30"/>
          <w:szCs w:val="30"/>
          <w14:textFill>
            <w14:solidFill>
              <w14:schemeClr w14:val="tx1"/>
            </w14:solidFill>
          </w14:textFill>
        </w:rPr>
        <w:t xml:space="preserve"> 项目ESG报告</w:t>
      </w:r>
      <w:bookmarkEnd w:id="893"/>
      <w:bookmarkEnd w:id="894"/>
      <w:bookmarkEnd w:id="895"/>
      <w:bookmarkEnd w:id="896"/>
      <w:bookmarkEnd w:id="897"/>
      <w:bookmarkEnd w:id="898"/>
    </w:p>
    <w:p w14:paraId="5B523048">
      <w:pPr>
        <w:snapToGrid w:val="0"/>
        <w:spacing w:line="360" w:lineRule="auto"/>
        <w:jc w:val="left"/>
        <w:rPr>
          <w:rFonts w:hint="eastAsia" w:ascii="宋体" w:hAnsi="宋体" w:eastAsia="宋体" w:cs="宋体"/>
          <w:color w:val="000000" w:themeColor="text1"/>
          <w:kern w:val="0"/>
          <w:sz w:val="24"/>
          <w:lang w:bidi="ar"/>
          <w14:textFill>
            <w14:solidFill>
              <w14:schemeClr w14:val="tx1"/>
            </w14:solidFill>
          </w14:textFill>
        </w:rPr>
      </w:pPr>
      <w:r>
        <w:rPr>
          <w:rFonts w:hint="eastAsia" w:ascii="宋体" w:hAnsi="宋体" w:eastAsia="宋体" w:cs="宋体"/>
          <w:color w:val="000000" w:themeColor="text1"/>
          <w:kern w:val="0"/>
          <w:sz w:val="24"/>
          <w:lang w:bidi="ar"/>
          <w14:textFill>
            <w14:solidFill>
              <w14:schemeClr w14:val="tx1"/>
            </w14:solidFill>
          </w14:textFill>
        </w:rPr>
        <w:t xml:space="preserve">D.0.1 </w:t>
      </w:r>
      <w:r>
        <w:rPr>
          <w:rFonts w:hint="eastAsia" w:ascii="宋体" w:hAnsi="宋体" w:eastAsia="宋体" w:cs="宋体"/>
          <w:color w:val="000000" w:themeColor="text1"/>
          <w:kern w:val="0"/>
          <w:sz w:val="24"/>
          <w:lang w:val="en-US" w:eastAsia="zh-CN" w:bidi="ar"/>
          <w14:textFill>
            <w14:solidFill>
              <w14:schemeClr w14:val="tx1"/>
            </w14:solidFill>
          </w14:textFill>
        </w:rPr>
        <w:t>综合说明项目的基本情况及ESG目标等内容，具体包含</w:t>
      </w:r>
      <w:r>
        <w:rPr>
          <w:rFonts w:hint="eastAsia" w:ascii="宋体" w:hAnsi="宋体" w:eastAsia="宋体" w:cs="宋体"/>
          <w:color w:val="000000" w:themeColor="text1"/>
          <w:kern w:val="0"/>
          <w:sz w:val="24"/>
          <w:lang w:bidi="ar"/>
          <w14:textFill>
            <w14:solidFill>
              <w14:schemeClr w14:val="tx1"/>
            </w14:solidFill>
          </w14:textFill>
        </w:rPr>
        <w:t>项目的规模、功能、ESG成效和关键指标等信息，以反映项目在环境、社会和治理方面的表现。</w:t>
      </w:r>
    </w:p>
    <w:p w14:paraId="3E194B69">
      <w:pPr>
        <w:snapToGrid w:val="0"/>
        <w:spacing w:line="360" w:lineRule="auto"/>
        <w:ind w:firstLine="480" w:firstLineChars="200"/>
        <w:jc w:val="left"/>
        <w:rPr>
          <w:rFonts w:hint="eastAsia" w:ascii="宋体" w:hAnsi="宋体" w:eastAsia="宋体" w:cs="宋体"/>
          <w:color w:val="000000" w:themeColor="text1"/>
          <w:kern w:val="0"/>
          <w:sz w:val="24"/>
          <w:lang w:bidi="ar"/>
          <w14:textFill>
            <w14:solidFill>
              <w14:schemeClr w14:val="tx1"/>
            </w14:solidFill>
          </w14:textFill>
        </w:rPr>
      </w:pPr>
      <w:r>
        <w:rPr>
          <w:rFonts w:hint="eastAsia" w:ascii="宋体" w:hAnsi="宋体" w:eastAsia="宋体" w:cs="宋体"/>
          <w:color w:val="000000" w:themeColor="text1"/>
          <w:kern w:val="0"/>
          <w:sz w:val="24"/>
          <w:lang w:bidi="ar"/>
          <w14:textFill>
            <w14:solidFill>
              <w14:schemeClr w14:val="tx1"/>
            </w14:solidFill>
          </w14:textFill>
        </w:rPr>
        <w:t>考量内容： 项目描述文档、ESG成效报告、关键绩效指标（KPIs）报告等。</w:t>
      </w:r>
    </w:p>
    <w:p w14:paraId="175E2F64">
      <w:pPr>
        <w:snapToGrid w:val="0"/>
        <w:spacing w:line="360" w:lineRule="auto"/>
        <w:jc w:val="left"/>
        <w:rPr>
          <w:rFonts w:hint="eastAsia" w:ascii="宋体" w:hAnsi="宋体" w:eastAsia="宋体" w:cs="宋体"/>
          <w:color w:val="000000" w:themeColor="text1"/>
          <w:kern w:val="0"/>
          <w:sz w:val="24"/>
          <w:lang w:bidi="ar"/>
          <w14:textFill>
            <w14:solidFill>
              <w14:schemeClr w14:val="tx1"/>
            </w14:solidFill>
          </w14:textFill>
        </w:rPr>
      </w:pPr>
      <w:r>
        <w:rPr>
          <w:rFonts w:hint="eastAsia" w:ascii="宋体" w:hAnsi="宋体" w:eastAsia="宋体" w:cs="宋体"/>
          <w:color w:val="000000" w:themeColor="text1"/>
          <w:kern w:val="0"/>
          <w:sz w:val="24"/>
          <w:lang w:bidi="ar"/>
          <w14:textFill>
            <w14:solidFill>
              <w14:schemeClr w14:val="tx1"/>
            </w14:solidFill>
          </w14:textFill>
        </w:rPr>
        <w:t>D.0.2</w:t>
      </w:r>
      <w:r>
        <w:rPr>
          <w:rFonts w:hint="eastAsia" w:ascii="宋体" w:hAnsi="宋体" w:eastAsia="宋体" w:cs="宋体"/>
          <w:color w:val="000000" w:themeColor="text1"/>
          <w:kern w:val="0"/>
          <w:sz w:val="24"/>
          <w:lang w:val="en-US" w:eastAsia="zh-CN" w:bidi="ar"/>
          <w14:textFill>
            <w14:solidFill>
              <w14:schemeClr w14:val="tx1"/>
            </w14:solidFill>
          </w14:textFill>
        </w:rPr>
        <w:t xml:space="preserve"> 说明</w:t>
      </w:r>
      <w:r>
        <w:rPr>
          <w:rFonts w:hint="eastAsia" w:ascii="宋体" w:hAnsi="宋体" w:eastAsia="宋体" w:cs="宋体"/>
          <w:color w:val="000000" w:themeColor="text1"/>
          <w:kern w:val="0"/>
          <w:sz w:val="24"/>
          <w:lang w:bidi="ar"/>
          <w14:textFill>
            <w14:solidFill>
              <w14:schemeClr w14:val="tx1"/>
            </w14:solidFill>
          </w14:textFill>
        </w:rPr>
        <w:t>项目ESG战略规划</w:t>
      </w:r>
      <w:r>
        <w:rPr>
          <w:rFonts w:hint="eastAsia" w:ascii="宋体" w:hAnsi="宋体" w:eastAsia="宋体" w:cs="宋体"/>
          <w:color w:val="000000" w:themeColor="text1"/>
          <w:kern w:val="0"/>
          <w:sz w:val="24"/>
          <w:lang w:val="en-US" w:eastAsia="zh-CN" w:bidi="ar"/>
          <w14:textFill>
            <w14:solidFill>
              <w14:schemeClr w14:val="tx1"/>
            </w14:solidFill>
          </w14:textFill>
        </w:rPr>
        <w:t>情况如规划总目标、分目标以及分阶段目标等，并针对性介绍项目为实现目标采取的</w:t>
      </w:r>
      <w:r>
        <w:rPr>
          <w:rFonts w:hint="eastAsia" w:ascii="宋体" w:hAnsi="宋体" w:eastAsia="宋体" w:cs="宋体"/>
          <w:color w:val="000000" w:themeColor="text1"/>
          <w:kern w:val="0"/>
          <w:sz w:val="24"/>
          <w:lang w:bidi="ar"/>
          <w14:textFill>
            <w14:solidFill>
              <w14:schemeClr w14:val="tx1"/>
            </w14:solidFill>
          </w14:textFill>
        </w:rPr>
        <w:t>举措</w:t>
      </w:r>
      <w:r>
        <w:rPr>
          <w:rFonts w:hint="eastAsia" w:ascii="宋体" w:hAnsi="宋体" w:eastAsia="宋体" w:cs="宋体"/>
          <w:color w:val="000000" w:themeColor="text1"/>
          <w:kern w:val="0"/>
          <w:sz w:val="24"/>
          <w:lang w:val="en-US" w:eastAsia="zh-CN" w:bidi="ar"/>
          <w14:textFill>
            <w14:solidFill>
              <w14:schemeClr w14:val="tx1"/>
            </w14:solidFill>
          </w14:textFill>
        </w:rPr>
        <w:t>以及实际落实效果</w:t>
      </w:r>
      <w:r>
        <w:rPr>
          <w:rFonts w:hint="eastAsia" w:ascii="宋体" w:hAnsi="宋体" w:eastAsia="宋体" w:cs="宋体"/>
          <w:color w:val="000000" w:themeColor="text1"/>
          <w:kern w:val="0"/>
          <w:sz w:val="24"/>
          <w:lang w:bidi="ar"/>
          <w14:textFill>
            <w14:solidFill>
              <w14:schemeClr w14:val="tx1"/>
            </w14:solidFill>
          </w14:textFill>
        </w:rPr>
        <w:t>。</w:t>
      </w:r>
    </w:p>
    <w:p w14:paraId="60DAF285">
      <w:pPr>
        <w:snapToGrid w:val="0"/>
        <w:spacing w:line="360" w:lineRule="auto"/>
        <w:ind w:firstLine="480" w:firstLineChars="200"/>
        <w:jc w:val="left"/>
        <w:rPr>
          <w:rFonts w:hint="eastAsia" w:ascii="宋体" w:hAnsi="宋体" w:eastAsia="宋体" w:cs="宋体"/>
          <w:color w:val="000000" w:themeColor="text1"/>
          <w:kern w:val="0"/>
          <w:sz w:val="24"/>
          <w:lang w:bidi="ar"/>
          <w14:textFill>
            <w14:solidFill>
              <w14:schemeClr w14:val="tx1"/>
            </w14:solidFill>
          </w14:textFill>
        </w:rPr>
      </w:pPr>
      <w:r>
        <w:rPr>
          <w:rFonts w:hint="eastAsia" w:ascii="宋体" w:hAnsi="宋体" w:eastAsia="宋体" w:cs="宋体"/>
          <w:color w:val="000000" w:themeColor="text1"/>
          <w:kern w:val="0"/>
          <w:sz w:val="24"/>
          <w:lang w:bidi="ar"/>
          <w14:textFill>
            <w14:solidFill>
              <w14:schemeClr w14:val="tx1"/>
            </w14:solidFill>
          </w14:textFill>
        </w:rPr>
        <w:t>考量内容：ESG战略规划文档、ESG举措实施报告、相关政策和程序文档等。</w:t>
      </w:r>
    </w:p>
    <w:p w14:paraId="076F7A19">
      <w:pPr>
        <w:snapToGrid w:val="0"/>
        <w:spacing w:line="360" w:lineRule="auto"/>
        <w:jc w:val="left"/>
        <w:rPr>
          <w:rFonts w:hint="eastAsia" w:ascii="宋体" w:hAnsi="宋体" w:eastAsia="宋体" w:cs="宋体"/>
          <w:color w:val="000000" w:themeColor="text1"/>
          <w:kern w:val="0"/>
          <w:sz w:val="24"/>
          <w:lang w:bidi="ar"/>
          <w14:textFill>
            <w14:solidFill>
              <w14:schemeClr w14:val="tx1"/>
            </w14:solidFill>
          </w14:textFill>
        </w:rPr>
      </w:pPr>
      <w:r>
        <w:rPr>
          <w:rFonts w:hint="eastAsia" w:ascii="宋体" w:hAnsi="宋体" w:eastAsia="宋体" w:cs="宋体"/>
          <w:color w:val="000000" w:themeColor="text1"/>
          <w:kern w:val="0"/>
          <w:sz w:val="24"/>
          <w:lang w:bidi="ar"/>
          <w14:textFill>
            <w14:solidFill>
              <w14:schemeClr w14:val="tx1"/>
            </w14:solidFill>
          </w14:textFill>
        </w:rPr>
        <w:t xml:space="preserve">D.0.3 </w:t>
      </w:r>
      <w:r>
        <w:rPr>
          <w:rFonts w:hint="eastAsia" w:ascii="宋体" w:hAnsi="宋体" w:eastAsia="宋体" w:cs="宋体"/>
          <w:color w:val="000000" w:themeColor="text1"/>
          <w:kern w:val="0"/>
          <w:sz w:val="24"/>
          <w:lang w:val="en-US" w:eastAsia="zh-CN" w:bidi="ar"/>
          <w14:textFill>
            <w14:solidFill>
              <w14:schemeClr w14:val="tx1"/>
            </w14:solidFill>
          </w14:textFill>
        </w:rPr>
        <w:t>说明项目</w:t>
      </w:r>
      <w:r>
        <w:rPr>
          <w:rFonts w:hint="eastAsia" w:ascii="宋体" w:hAnsi="宋体" w:eastAsia="宋体" w:cs="宋体"/>
          <w:color w:val="000000" w:themeColor="text1"/>
          <w:kern w:val="0"/>
          <w:sz w:val="24"/>
          <w:lang w:bidi="ar"/>
          <w14:textFill>
            <w14:solidFill>
              <w14:schemeClr w14:val="tx1"/>
            </w14:solidFill>
          </w14:textFill>
        </w:rPr>
        <w:t>利益相关方</w:t>
      </w:r>
      <w:r>
        <w:rPr>
          <w:rFonts w:hint="eastAsia" w:ascii="宋体" w:hAnsi="宋体" w:eastAsia="宋体" w:cs="宋体"/>
          <w:color w:val="000000" w:themeColor="text1"/>
          <w:kern w:val="0"/>
          <w:sz w:val="24"/>
          <w:lang w:val="en-US" w:eastAsia="zh-CN" w:bidi="ar"/>
          <w14:textFill>
            <w14:solidFill>
              <w14:schemeClr w14:val="tx1"/>
            </w14:solidFill>
          </w14:textFill>
        </w:rPr>
        <w:t>组成以及形成</w:t>
      </w:r>
      <w:r>
        <w:rPr>
          <w:rFonts w:hint="eastAsia" w:ascii="宋体" w:hAnsi="宋体" w:eastAsia="宋体" w:cs="宋体"/>
          <w:color w:val="000000" w:themeColor="text1"/>
          <w:kern w:val="0"/>
          <w:sz w:val="24"/>
          <w:lang w:bidi="ar"/>
          <w14:textFill>
            <w14:solidFill>
              <w14:schemeClr w14:val="tx1"/>
            </w14:solidFill>
          </w14:textFill>
        </w:rPr>
        <w:t>过程</w:t>
      </w:r>
      <w:r>
        <w:rPr>
          <w:rFonts w:hint="eastAsia" w:ascii="宋体" w:hAnsi="宋体" w:eastAsia="宋体" w:cs="宋体"/>
          <w:color w:val="000000" w:themeColor="text1"/>
          <w:kern w:val="0"/>
          <w:sz w:val="24"/>
          <w:lang w:eastAsia="zh-CN" w:bidi="ar"/>
          <w14:textFill>
            <w14:solidFill>
              <w14:schemeClr w14:val="tx1"/>
            </w14:solidFill>
          </w14:textFill>
        </w:rPr>
        <w:t>，</w:t>
      </w:r>
      <w:r>
        <w:rPr>
          <w:rFonts w:hint="eastAsia" w:ascii="宋体" w:hAnsi="宋体" w:eastAsia="宋体" w:cs="宋体"/>
          <w:color w:val="000000" w:themeColor="text1"/>
          <w:kern w:val="0"/>
          <w:sz w:val="24"/>
          <w:lang w:val="en-US" w:eastAsia="zh-CN" w:bidi="ar"/>
          <w14:textFill>
            <w14:solidFill>
              <w14:schemeClr w14:val="tx1"/>
            </w14:solidFill>
          </w14:textFill>
        </w:rPr>
        <w:t>列举</w:t>
      </w:r>
      <w:r>
        <w:rPr>
          <w:rFonts w:hint="eastAsia" w:ascii="宋体" w:hAnsi="宋体" w:eastAsia="宋体" w:cs="宋体"/>
          <w:color w:val="000000" w:themeColor="text1"/>
          <w:kern w:val="0"/>
          <w:sz w:val="24"/>
          <w:lang w:bidi="ar"/>
          <w14:textFill>
            <w14:solidFill>
              <w14:schemeClr w14:val="tx1"/>
            </w14:solidFill>
          </w14:textFill>
        </w:rPr>
        <w:t>与利益相关方的沟通渠道</w:t>
      </w:r>
      <w:r>
        <w:rPr>
          <w:rFonts w:hint="eastAsia" w:ascii="宋体" w:hAnsi="宋体" w:eastAsia="宋体" w:cs="宋体"/>
          <w:color w:val="000000" w:themeColor="text1"/>
          <w:kern w:val="0"/>
          <w:sz w:val="24"/>
          <w:lang w:eastAsia="zh-CN" w:bidi="ar"/>
          <w14:textFill>
            <w14:solidFill>
              <w14:schemeClr w14:val="tx1"/>
            </w14:solidFill>
          </w14:textFill>
        </w:rPr>
        <w:t>，</w:t>
      </w:r>
      <w:r>
        <w:rPr>
          <w:rFonts w:hint="eastAsia" w:ascii="宋体" w:hAnsi="宋体" w:eastAsia="宋体" w:cs="宋体"/>
          <w:color w:val="000000" w:themeColor="text1"/>
          <w:kern w:val="0"/>
          <w:sz w:val="24"/>
          <w:lang w:val="en-US" w:eastAsia="zh-CN" w:bidi="ar"/>
          <w14:textFill>
            <w14:solidFill>
              <w14:schemeClr w14:val="tx1"/>
            </w14:solidFill>
          </w14:textFill>
        </w:rPr>
        <w:t>以及</w:t>
      </w:r>
      <w:r>
        <w:rPr>
          <w:rFonts w:hint="eastAsia" w:ascii="宋体" w:hAnsi="宋体" w:eastAsia="宋体" w:cs="宋体"/>
          <w:color w:val="000000" w:themeColor="text1"/>
          <w:kern w:val="0"/>
          <w:sz w:val="24"/>
          <w:lang w:bidi="ar"/>
          <w14:textFill>
            <w14:solidFill>
              <w14:schemeClr w14:val="tx1"/>
            </w14:solidFill>
          </w14:textFill>
        </w:rPr>
        <w:t>利益相关方</w:t>
      </w:r>
      <w:r>
        <w:rPr>
          <w:rFonts w:hint="eastAsia" w:ascii="宋体" w:hAnsi="宋体" w:eastAsia="宋体" w:cs="宋体"/>
          <w:color w:val="000000" w:themeColor="text1"/>
          <w:kern w:val="0"/>
          <w:sz w:val="24"/>
          <w:lang w:val="en-US" w:eastAsia="zh-CN" w:bidi="ar"/>
          <w14:textFill>
            <w14:solidFill>
              <w14:schemeClr w14:val="tx1"/>
            </w14:solidFill>
          </w14:textFill>
        </w:rPr>
        <w:t>参与项目</w:t>
      </w:r>
      <w:r>
        <w:rPr>
          <w:rFonts w:hint="eastAsia" w:ascii="宋体" w:hAnsi="宋体" w:eastAsia="宋体" w:cs="宋体"/>
          <w:color w:val="000000" w:themeColor="text1"/>
          <w:kern w:val="0"/>
          <w:sz w:val="24"/>
          <w:lang w:bidi="ar"/>
          <w14:textFill>
            <w14:solidFill>
              <w14:schemeClr w14:val="tx1"/>
            </w14:solidFill>
          </w14:textFill>
        </w:rPr>
        <w:t>情况</w:t>
      </w:r>
      <w:r>
        <w:rPr>
          <w:rFonts w:hint="eastAsia" w:ascii="宋体" w:hAnsi="宋体" w:eastAsia="宋体" w:cs="宋体"/>
          <w:color w:val="000000" w:themeColor="text1"/>
          <w:kern w:val="0"/>
          <w:sz w:val="24"/>
          <w:lang w:val="en-US" w:eastAsia="zh-CN" w:bidi="ar"/>
          <w14:textFill>
            <w14:solidFill>
              <w14:schemeClr w14:val="tx1"/>
            </w14:solidFill>
          </w14:textFill>
        </w:rPr>
        <w:t>或收到的项目影响情况</w:t>
      </w:r>
      <w:r>
        <w:rPr>
          <w:rFonts w:hint="eastAsia" w:ascii="宋体" w:hAnsi="宋体" w:eastAsia="宋体" w:cs="宋体"/>
          <w:color w:val="000000" w:themeColor="text1"/>
          <w:kern w:val="0"/>
          <w:sz w:val="24"/>
          <w:lang w:bidi="ar"/>
          <w14:textFill>
            <w14:solidFill>
              <w14:schemeClr w14:val="tx1"/>
            </w14:solidFill>
          </w14:textFill>
        </w:rPr>
        <w:t>等信息。</w:t>
      </w:r>
    </w:p>
    <w:p w14:paraId="17BB189D">
      <w:pPr>
        <w:snapToGrid w:val="0"/>
        <w:spacing w:line="360" w:lineRule="auto"/>
        <w:ind w:firstLine="480" w:firstLineChars="200"/>
        <w:jc w:val="left"/>
        <w:rPr>
          <w:rFonts w:hint="eastAsia" w:ascii="宋体" w:hAnsi="宋体" w:eastAsia="宋体" w:cs="宋体"/>
          <w:color w:val="000000" w:themeColor="text1"/>
          <w:kern w:val="0"/>
          <w:sz w:val="24"/>
          <w:lang w:bidi="ar"/>
          <w14:textFill>
            <w14:solidFill>
              <w14:schemeClr w14:val="tx1"/>
            </w14:solidFill>
          </w14:textFill>
        </w:rPr>
      </w:pPr>
      <w:r>
        <w:rPr>
          <w:rFonts w:hint="eastAsia" w:ascii="宋体" w:hAnsi="宋体" w:eastAsia="宋体" w:cs="宋体"/>
          <w:color w:val="000000" w:themeColor="text1"/>
          <w:kern w:val="0"/>
          <w:sz w:val="24"/>
          <w:lang w:bidi="ar"/>
          <w14:textFill>
            <w14:solidFill>
              <w14:schemeClr w14:val="tx1"/>
            </w14:solidFill>
          </w14:textFill>
        </w:rPr>
        <w:t>考量内容：利益相关方识别报告、沟通策略文档、利益相关方参与记录等。</w:t>
      </w:r>
    </w:p>
    <w:p w14:paraId="750620C0">
      <w:pPr>
        <w:snapToGrid w:val="0"/>
        <w:spacing w:line="360" w:lineRule="auto"/>
        <w:jc w:val="left"/>
        <w:rPr>
          <w:rFonts w:hint="eastAsia" w:ascii="宋体" w:hAnsi="宋体" w:eastAsia="宋体" w:cs="宋体"/>
          <w:color w:val="000000" w:themeColor="text1"/>
          <w:kern w:val="0"/>
          <w:sz w:val="24"/>
          <w:lang w:bidi="ar"/>
          <w14:textFill>
            <w14:solidFill>
              <w14:schemeClr w14:val="tx1"/>
            </w14:solidFill>
          </w14:textFill>
        </w:rPr>
      </w:pPr>
      <w:r>
        <w:rPr>
          <w:rFonts w:hint="eastAsia" w:ascii="宋体" w:hAnsi="宋体" w:eastAsia="宋体" w:cs="宋体"/>
          <w:color w:val="000000" w:themeColor="text1"/>
          <w:kern w:val="0"/>
          <w:sz w:val="24"/>
          <w:lang w:bidi="ar"/>
          <w14:textFill>
            <w14:solidFill>
              <w14:schemeClr w14:val="tx1"/>
            </w14:solidFill>
          </w14:textFill>
        </w:rPr>
        <w:t>D.0.4 要求说明项目在环境</w:t>
      </w:r>
      <w:r>
        <w:rPr>
          <w:rFonts w:hint="eastAsia" w:ascii="宋体" w:hAnsi="宋体" w:eastAsia="宋体" w:cs="宋体"/>
          <w:color w:val="000000" w:themeColor="text1"/>
          <w:kern w:val="0"/>
          <w:sz w:val="24"/>
          <w:lang w:val="en-US" w:eastAsia="zh-CN" w:bidi="ar"/>
          <w14:textFill>
            <w14:solidFill>
              <w14:schemeClr w14:val="tx1"/>
            </w14:solidFill>
          </w14:textFill>
        </w:rPr>
        <w:t>可持续</w:t>
      </w:r>
      <w:r>
        <w:rPr>
          <w:rFonts w:hint="eastAsia" w:ascii="宋体" w:hAnsi="宋体" w:eastAsia="宋体" w:cs="宋体"/>
          <w:color w:val="000000" w:themeColor="text1"/>
          <w:kern w:val="0"/>
          <w:sz w:val="24"/>
          <w:lang w:bidi="ar"/>
          <w14:textFill>
            <w14:solidFill>
              <w14:schemeClr w14:val="tx1"/>
            </w14:solidFill>
          </w14:textFill>
        </w:rPr>
        <w:t>方面的策略，</w:t>
      </w:r>
      <w:r>
        <w:rPr>
          <w:rFonts w:hint="eastAsia" w:ascii="宋体" w:hAnsi="宋体" w:eastAsia="宋体" w:cs="宋体"/>
          <w:sz w:val="24"/>
        </w:rPr>
        <w:t>并应至少披露以下内容：项目排放污染物种类、数量、浓度和去向；项目在生产过程中产生的固体废物处理、处置情况，回收和综合利用情况；温室气体排放种类、数量、强度，减排管理情况；水资源使用管理、新鲜水用量、循环用水量、循环用水总量占总耗水量的比例、水资源消耗强度；不可再生材料消耗量、有毒有害废弃物处置情况、材料消耗强度；能源使用管理、不可再生能源消耗量、能源消耗强度等</w:t>
      </w:r>
      <w:r>
        <w:rPr>
          <w:rFonts w:hint="eastAsia" w:ascii="宋体" w:hAnsi="宋体" w:eastAsia="宋体" w:cs="宋体"/>
          <w:color w:val="000000" w:themeColor="text1"/>
          <w:kern w:val="0"/>
          <w:sz w:val="24"/>
          <w:lang w:bidi="ar"/>
          <w14:textFill>
            <w14:solidFill>
              <w14:schemeClr w14:val="tx1"/>
            </w14:solidFill>
          </w14:textFill>
        </w:rPr>
        <w:t>。</w:t>
      </w:r>
    </w:p>
    <w:p w14:paraId="1991FC4F">
      <w:pPr>
        <w:snapToGrid w:val="0"/>
        <w:spacing w:line="360" w:lineRule="auto"/>
        <w:ind w:firstLine="480" w:firstLineChars="200"/>
        <w:jc w:val="left"/>
        <w:rPr>
          <w:rFonts w:hint="eastAsia" w:ascii="宋体" w:hAnsi="宋体" w:eastAsia="宋体" w:cs="宋体"/>
          <w:color w:val="000000" w:themeColor="text1"/>
          <w:kern w:val="0"/>
          <w:sz w:val="24"/>
          <w:lang w:bidi="ar"/>
          <w14:textFill>
            <w14:solidFill>
              <w14:schemeClr w14:val="tx1"/>
            </w14:solidFill>
          </w14:textFill>
        </w:rPr>
      </w:pPr>
      <w:r>
        <w:rPr>
          <w:rFonts w:hint="eastAsia" w:ascii="宋体" w:hAnsi="宋体" w:eastAsia="宋体" w:cs="宋体"/>
          <w:color w:val="000000" w:themeColor="text1"/>
          <w:kern w:val="0"/>
          <w:sz w:val="24"/>
          <w:lang w:bidi="ar"/>
          <w14:textFill>
            <w14:solidFill>
              <w14:schemeClr w14:val="tx1"/>
            </w14:solidFill>
          </w14:textFill>
        </w:rPr>
        <w:t>考量内容：环境影响评估报告、污染物排放记录、废物管理计划、能源消耗统计报告、水资源管理策略文档等。</w:t>
      </w:r>
    </w:p>
    <w:p w14:paraId="65202F00">
      <w:pPr>
        <w:spacing w:after="0" w:afterLines="0" w:line="360" w:lineRule="auto"/>
        <w:jc w:val="left"/>
        <w:outlineLvl w:val="9"/>
        <w:rPr>
          <w:rFonts w:hint="eastAsia"/>
          <w:color w:val="000000"/>
          <w:sz w:val="24"/>
          <w:lang w:val="en-US" w:eastAsia="zh-CN"/>
        </w:rPr>
      </w:pPr>
      <w:r>
        <w:rPr>
          <w:rFonts w:hint="eastAsia" w:ascii="宋体" w:hAnsi="宋体" w:eastAsia="宋体" w:cs="宋体"/>
          <w:sz w:val="24"/>
          <w:lang w:eastAsia="zh-CN"/>
        </w:rPr>
        <w:t>D.</w:t>
      </w:r>
      <w:r>
        <w:rPr>
          <w:rFonts w:hint="eastAsia" w:ascii="宋体" w:hAnsi="宋体" w:eastAsia="宋体" w:cs="宋体"/>
          <w:sz w:val="24"/>
        </w:rPr>
        <w:t>0.</w:t>
      </w:r>
      <w:r>
        <w:rPr>
          <w:rFonts w:hint="eastAsia" w:ascii="宋体" w:hAnsi="宋体" w:cs="宋体"/>
          <w:sz w:val="24"/>
          <w:lang w:val="en-US" w:eastAsia="zh-CN"/>
        </w:rPr>
        <w:t>5</w:t>
      </w:r>
      <w:r>
        <w:rPr>
          <w:rFonts w:hint="eastAsia" w:ascii="宋体" w:hAnsi="宋体" w:eastAsia="宋体" w:cs="宋体"/>
          <w:sz w:val="24"/>
        </w:rPr>
        <w:t xml:space="preserve"> </w:t>
      </w:r>
      <w:r>
        <w:rPr>
          <w:rFonts w:hint="eastAsia" w:ascii="宋体" w:hAnsi="宋体" w:eastAsia="宋体" w:cs="宋体"/>
          <w:sz w:val="24"/>
          <w:lang w:val="en-US" w:eastAsia="zh-CN"/>
        </w:rPr>
        <w:t>说明项目在资源可持续方面的策略，并应至少披露以下内容：</w:t>
      </w:r>
      <w:r>
        <w:rPr>
          <w:rFonts w:hint="eastAsia"/>
          <w:color w:val="000000"/>
          <w:sz w:val="24"/>
        </w:rPr>
        <w:t>项目全周期内不同阶段的材料资源、能源和水资源</w:t>
      </w:r>
      <w:r>
        <w:rPr>
          <w:rFonts w:hint="eastAsia"/>
          <w:color w:val="000000"/>
          <w:sz w:val="24"/>
          <w:highlight w:val="none"/>
          <w:lang w:val="en-US" w:eastAsia="zh-CN"/>
        </w:rPr>
        <w:t>消耗与</w:t>
      </w:r>
      <w:r>
        <w:rPr>
          <w:rFonts w:hint="eastAsia"/>
          <w:color w:val="000000"/>
          <w:sz w:val="24"/>
        </w:rPr>
        <w:t>节约以及有效利用目标</w:t>
      </w:r>
      <w:r>
        <w:rPr>
          <w:rFonts w:hint="eastAsia"/>
          <w:color w:val="000000"/>
          <w:sz w:val="24"/>
          <w:lang w:val="en-US" w:eastAsia="zh-CN"/>
        </w:rPr>
        <w:t>及分解情况；项目</w:t>
      </w:r>
      <w:r>
        <w:rPr>
          <w:rFonts w:hint="eastAsia"/>
          <w:color w:val="000000"/>
          <w:sz w:val="24"/>
        </w:rPr>
        <w:t>资源可持续利用和保护，采取有效</w:t>
      </w:r>
      <w:r>
        <w:rPr>
          <w:rFonts w:hint="eastAsia"/>
          <w:color w:val="000000"/>
          <w:sz w:val="24"/>
          <w:lang w:val="en-US" w:eastAsia="zh-CN"/>
        </w:rPr>
        <w:t>管理</w:t>
      </w:r>
      <w:r>
        <w:rPr>
          <w:rFonts w:hint="eastAsia"/>
          <w:color w:val="000000"/>
          <w:sz w:val="24"/>
        </w:rPr>
        <w:t>措施</w:t>
      </w:r>
      <w:r>
        <w:rPr>
          <w:rFonts w:hint="eastAsia"/>
          <w:color w:val="000000"/>
          <w:sz w:val="24"/>
          <w:lang w:val="en-US" w:eastAsia="zh-CN"/>
        </w:rPr>
        <w:t>与技术措施</w:t>
      </w:r>
      <w:r>
        <w:rPr>
          <w:rFonts w:hint="eastAsia"/>
          <w:color w:val="000000"/>
          <w:sz w:val="24"/>
        </w:rPr>
        <w:t>，减少自然资源（材料、能源和水</w:t>
      </w:r>
      <w:r>
        <w:rPr>
          <w:rFonts w:hint="eastAsia"/>
          <w:color w:val="000000"/>
          <w:sz w:val="24"/>
          <w:lang w:val="en-US" w:eastAsia="zh-CN"/>
        </w:rPr>
        <w:t>等</w:t>
      </w:r>
      <w:r>
        <w:rPr>
          <w:rFonts w:hint="eastAsia"/>
          <w:color w:val="000000"/>
          <w:sz w:val="24"/>
        </w:rPr>
        <w:t>）的消耗</w:t>
      </w:r>
      <w:r>
        <w:rPr>
          <w:rFonts w:hint="eastAsia"/>
          <w:color w:val="000000"/>
          <w:sz w:val="24"/>
          <w:lang w:eastAsia="zh-CN"/>
        </w:rPr>
        <w:t>；</w:t>
      </w:r>
      <w:r>
        <w:rPr>
          <w:rFonts w:hint="eastAsia"/>
          <w:color w:val="000000"/>
          <w:sz w:val="24"/>
          <w:lang w:val="en-US" w:eastAsia="zh-CN"/>
        </w:rPr>
        <w:t>项目</w:t>
      </w:r>
      <w:r>
        <w:rPr>
          <w:rFonts w:hint="eastAsia"/>
          <w:color w:val="000000"/>
          <w:sz w:val="24"/>
        </w:rPr>
        <w:t>水资源、材料资源循环使用计划和可再生能源使用计划</w:t>
      </w:r>
      <w:r>
        <w:rPr>
          <w:rFonts w:hint="eastAsia"/>
          <w:color w:val="000000"/>
          <w:sz w:val="24"/>
          <w:lang w:eastAsia="zh-CN"/>
        </w:rPr>
        <w:t>；</w:t>
      </w:r>
      <w:r>
        <w:rPr>
          <w:rFonts w:hint="eastAsia"/>
          <w:color w:val="000000"/>
          <w:sz w:val="24"/>
        </w:rPr>
        <w:t>数字化管理平台，对</w:t>
      </w:r>
      <w:r>
        <w:rPr>
          <w:rFonts w:hint="eastAsia"/>
          <w:color w:val="000000"/>
          <w:sz w:val="24"/>
          <w:lang w:val="en-US" w:eastAsia="zh-CN"/>
        </w:rPr>
        <w:t>项目</w:t>
      </w:r>
      <w:r>
        <w:rPr>
          <w:rFonts w:hint="eastAsia"/>
          <w:color w:val="000000"/>
          <w:sz w:val="24"/>
        </w:rPr>
        <w:t>各种能源、资源的消耗和循环利用情况进行计量、监测和统计分析</w:t>
      </w:r>
      <w:r>
        <w:rPr>
          <w:rFonts w:hint="eastAsia"/>
          <w:color w:val="000000"/>
          <w:sz w:val="24"/>
          <w:lang w:val="en-US" w:eastAsia="zh-CN"/>
        </w:rPr>
        <w:t>等。</w:t>
      </w:r>
    </w:p>
    <w:p w14:paraId="328059A5">
      <w:pPr>
        <w:snapToGrid w:val="0"/>
        <w:spacing w:line="360" w:lineRule="auto"/>
        <w:ind w:firstLine="480" w:firstLineChars="200"/>
        <w:jc w:val="left"/>
        <w:rPr>
          <w:rFonts w:hint="eastAsia" w:ascii="宋体" w:hAnsi="宋体" w:eastAsia="宋体" w:cs="宋体"/>
          <w:color w:val="000000" w:themeColor="text1"/>
          <w:kern w:val="0"/>
          <w:sz w:val="24"/>
          <w:lang w:bidi="ar"/>
          <w14:textFill>
            <w14:solidFill>
              <w14:schemeClr w14:val="tx1"/>
            </w14:solidFill>
          </w14:textFill>
        </w:rPr>
      </w:pPr>
      <w:r>
        <w:rPr>
          <w:rFonts w:hint="eastAsia" w:ascii="宋体" w:hAnsi="宋体" w:eastAsia="宋体" w:cs="宋体"/>
          <w:color w:val="000000" w:themeColor="text1"/>
          <w:kern w:val="0"/>
          <w:sz w:val="24"/>
          <w:lang w:bidi="ar"/>
          <w14:textFill>
            <w14:solidFill>
              <w14:schemeClr w14:val="tx1"/>
            </w14:solidFill>
          </w14:textFill>
        </w:rPr>
        <w:t>考量内容：</w:t>
      </w:r>
      <w:r>
        <w:rPr>
          <w:rFonts w:hint="eastAsia"/>
          <w:color w:val="000000"/>
          <w:sz w:val="24"/>
        </w:rPr>
        <w:t>各种能源、资源的消耗和循环利用</w:t>
      </w:r>
      <w:r>
        <w:rPr>
          <w:rFonts w:hint="eastAsia"/>
          <w:color w:val="000000"/>
          <w:sz w:val="24"/>
          <w:lang w:val="en-US" w:eastAsia="zh-CN"/>
        </w:rPr>
        <w:t>报告</w:t>
      </w:r>
      <w:r>
        <w:rPr>
          <w:rFonts w:hint="eastAsia" w:ascii="宋体" w:hAnsi="宋体" w:eastAsia="宋体" w:cs="宋体"/>
          <w:color w:val="000000" w:themeColor="text1"/>
          <w:kern w:val="0"/>
          <w:sz w:val="24"/>
          <w:lang w:bidi="ar"/>
          <w14:textFill>
            <w14:solidFill>
              <w14:schemeClr w14:val="tx1"/>
            </w14:solidFill>
          </w14:textFill>
        </w:rPr>
        <w:t>、</w:t>
      </w:r>
      <w:r>
        <w:rPr>
          <w:rFonts w:hint="eastAsia"/>
          <w:color w:val="000000"/>
          <w:sz w:val="24"/>
        </w:rPr>
        <w:t>资源可持续利用和保护</w:t>
      </w:r>
      <w:r>
        <w:rPr>
          <w:rFonts w:hint="eastAsia"/>
          <w:color w:val="000000"/>
          <w:sz w:val="24"/>
          <w:lang w:val="en-US" w:eastAsia="zh-CN"/>
        </w:rPr>
        <w:t>管理</w:t>
      </w:r>
      <w:r>
        <w:rPr>
          <w:rFonts w:hint="eastAsia"/>
          <w:color w:val="000000"/>
          <w:sz w:val="24"/>
        </w:rPr>
        <w:t>措施</w:t>
      </w:r>
      <w:r>
        <w:rPr>
          <w:rFonts w:hint="eastAsia"/>
          <w:color w:val="000000"/>
          <w:sz w:val="24"/>
          <w:lang w:val="en-US" w:eastAsia="zh-CN"/>
        </w:rPr>
        <w:t>与技术措施清单、</w:t>
      </w:r>
      <w:r>
        <w:rPr>
          <w:rFonts w:hint="eastAsia"/>
          <w:color w:val="000000"/>
          <w:sz w:val="24"/>
        </w:rPr>
        <w:t>水资源、材料资源循环使用计划和可再生能源使用</w:t>
      </w:r>
      <w:r>
        <w:rPr>
          <w:rFonts w:hint="eastAsia"/>
          <w:color w:val="000000"/>
          <w:sz w:val="24"/>
          <w:lang w:eastAsia="zh-CN"/>
        </w:rPr>
        <w:t>、</w:t>
      </w:r>
      <w:r>
        <w:rPr>
          <w:rFonts w:hint="eastAsia"/>
          <w:color w:val="000000"/>
          <w:sz w:val="24"/>
        </w:rPr>
        <w:t>数字化管理平台</w:t>
      </w:r>
      <w:r>
        <w:rPr>
          <w:rFonts w:hint="eastAsia"/>
          <w:color w:val="000000"/>
          <w:sz w:val="24"/>
          <w:lang w:val="en-US" w:eastAsia="zh-CN"/>
        </w:rPr>
        <w:t>的监测数据记录、第三方检测报告等</w:t>
      </w:r>
      <w:r>
        <w:rPr>
          <w:rFonts w:hint="eastAsia" w:ascii="宋体" w:hAnsi="宋体" w:eastAsia="宋体" w:cs="宋体"/>
          <w:color w:val="000000" w:themeColor="text1"/>
          <w:kern w:val="0"/>
          <w:sz w:val="24"/>
          <w:lang w:bidi="ar"/>
          <w14:textFill>
            <w14:solidFill>
              <w14:schemeClr w14:val="tx1"/>
            </w14:solidFill>
          </w14:textFill>
        </w:rPr>
        <w:t>。</w:t>
      </w:r>
    </w:p>
    <w:p w14:paraId="3ED722E7">
      <w:pPr>
        <w:snapToGrid w:val="0"/>
        <w:spacing w:line="360" w:lineRule="auto"/>
        <w:jc w:val="left"/>
        <w:rPr>
          <w:rFonts w:hint="eastAsia" w:ascii="宋体" w:hAnsi="宋体" w:eastAsia="宋体" w:cs="宋体"/>
          <w:color w:val="000000" w:themeColor="text1"/>
          <w:kern w:val="0"/>
          <w:sz w:val="24"/>
          <w:lang w:eastAsia="zh-CN" w:bidi="ar"/>
          <w14:textFill>
            <w14:solidFill>
              <w14:schemeClr w14:val="tx1"/>
            </w14:solidFill>
          </w14:textFill>
        </w:rPr>
      </w:pPr>
      <w:r>
        <w:rPr>
          <w:rFonts w:hint="eastAsia" w:ascii="宋体" w:hAnsi="宋体" w:eastAsia="宋体" w:cs="宋体"/>
          <w:color w:val="000000" w:themeColor="text1"/>
          <w:kern w:val="0"/>
          <w:sz w:val="24"/>
          <w:lang w:bidi="ar"/>
          <w14:textFill>
            <w14:solidFill>
              <w14:schemeClr w14:val="tx1"/>
            </w14:solidFill>
          </w14:textFill>
        </w:rPr>
        <w:t>D.0.</w:t>
      </w:r>
      <w:r>
        <w:rPr>
          <w:rFonts w:hint="eastAsia" w:ascii="宋体" w:hAnsi="宋体" w:eastAsia="宋体" w:cs="宋体"/>
          <w:color w:val="000000" w:themeColor="text1"/>
          <w:kern w:val="0"/>
          <w:sz w:val="24"/>
          <w:lang w:val="en-US" w:eastAsia="zh-CN" w:bidi="ar"/>
          <w14:textFill>
            <w14:solidFill>
              <w14:schemeClr w14:val="tx1"/>
            </w14:solidFill>
          </w14:textFill>
        </w:rPr>
        <w:t>6</w:t>
      </w:r>
      <w:r>
        <w:rPr>
          <w:rFonts w:hint="eastAsia" w:ascii="宋体" w:hAnsi="宋体" w:eastAsia="宋体" w:cs="宋体"/>
          <w:color w:val="000000" w:themeColor="text1"/>
          <w:kern w:val="0"/>
          <w:sz w:val="24"/>
          <w:lang w:bidi="ar"/>
          <w14:textFill>
            <w14:solidFill>
              <w14:schemeClr w14:val="tx1"/>
            </w14:solidFill>
          </w14:textFill>
        </w:rPr>
        <w:t xml:space="preserve"> </w:t>
      </w:r>
      <w:r>
        <w:rPr>
          <w:rFonts w:hint="eastAsia" w:ascii="宋体" w:hAnsi="宋体" w:eastAsia="宋体" w:cs="宋体"/>
          <w:sz w:val="24"/>
          <w:lang w:val="en-US" w:eastAsia="zh-CN"/>
        </w:rPr>
        <w:t>说明内容包括但不限于：</w:t>
      </w:r>
      <w:r>
        <w:rPr>
          <w:rFonts w:hint="eastAsia" w:ascii="宋体" w:hAnsi="宋体" w:eastAsia="宋体" w:cs="宋体"/>
          <w:sz w:val="24"/>
        </w:rPr>
        <w:t>保证项目利益相关方共同参与，促进社区民众生活质量改善与社区可持续发展，扩大当地民众就业，减少对当前和未来社会的负面影响，与利益相关方和谐共存、共同发展等方面的策略</w:t>
      </w:r>
      <w:r>
        <w:rPr>
          <w:rFonts w:hint="eastAsia" w:ascii="宋体" w:hAnsi="宋体" w:eastAsia="宋体" w:cs="宋体"/>
          <w:sz w:val="24"/>
          <w:lang w:eastAsia="zh-CN"/>
        </w:rPr>
        <w:t>。</w:t>
      </w:r>
    </w:p>
    <w:p w14:paraId="126EBC25">
      <w:pPr>
        <w:snapToGrid w:val="0"/>
        <w:spacing w:line="360" w:lineRule="auto"/>
        <w:ind w:firstLine="480" w:firstLineChars="200"/>
        <w:jc w:val="left"/>
        <w:rPr>
          <w:rFonts w:hint="eastAsia" w:ascii="宋体" w:hAnsi="宋体" w:eastAsia="宋体" w:cs="宋体"/>
          <w:color w:val="000000" w:themeColor="text1"/>
          <w:kern w:val="0"/>
          <w:sz w:val="24"/>
          <w:lang w:bidi="ar"/>
          <w14:textFill>
            <w14:solidFill>
              <w14:schemeClr w14:val="tx1"/>
            </w14:solidFill>
          </w14:textFill>
        </w:rPr>
      </w:pPr>
      <w:r>
        <w:rPr>
          <w:rFonts w:hint="eastAsia" w:ascii="宋体" w:hAnsi="宋体" w:eastAsia="宋体" w:cs="宋体"/>
          <w:color w:val="000000" w:themeColor="text1"/>
          <w:kern w:val="0"/>
          <w:sz w:val="24"/>
          <w:lang w:bidi="ar"/>
          <w14:textFill>
            <w14:solidFill>
              <w14:schemeClr w14:val="tx1"/>
            </w14:solidFill>
          </w14:textFill>
        </w:rPr>
        <w:t>考量内容：社区参与计划文档、就业机会创造报告、社会影响评估报告、社区发展项目报告等。</w:t>
      </w:r>
    </w:p>
    <w:p w14:paraId="1275F570">
      <w:pPr>
        <w:snapToGrid w:val="0"/>
        <w:spacing w:line="360" w:lineRule="auto"/>
        <w:jc w:val="left"/>
        <w:rPr>
          <w:rFonts w:hint="eastAsia" w:ascii="宋体" w:hAnsi="宋体" w:eastAsia="宋体" w:cs="宋体"/>
          <w:color w:val="000000" w:themeColor="text1"/>
          <w:kern w:val="0"/>
          <w:sz w:val="24"/>
          <w:lang w:bidi="ar"/>
          <w14:textFill>
            <w14:solidFill>
              <w14:schemeClr w14:val="tx1"/>
            </w14:solidFill>
          </w14:textFill>
        </w:rPr>
      </w:pPr>
      <w:r>
        <w:rPr>
          <w:rFonts w:hint="eastAsia" w:ascii="宋体" w:hAnsi="宋体" w:eastAsia="宋体" w:cs="宋体"/>
          <w:color w:val="000000" w:themeColor="text1"/>
          <w:kern w:val="0"/>
          <w:sz w:val="24"/>
          <w:lang w:bidi="ar"/>
          <w14:textFill>
            <w14:solidFill>
              <w14:schemeClr w14:val="tx1"/>
            </w14:solidFill>
          </w14:textFill>
        </w:rPr>
        <w:t>D.0.</w:t>
      </w:r>
      <w:r>
        <w:rPr>
          <w:rFonts w:hint="eastAsia" w:ascii="宋体" w:hAnsi="宋体" w:eastAsia="宋体" w:cs="宋体"/>
          <w:color w:val="000000" w:themeColor="text1"/>
          <w:kern w:val="0"/>
          <w:sz w:val="24"/>
          <w:lang w:val="en-US" w:eastAsia="zh-CN" w:bidi="ar"/>
          <w14:textFill>
            <w14:solidFill>
              <w14:schemeClr w14:val="tx1"/>
            </w14:solidFill>
          </w14:textFill>
        </w:rPr>
        <w:t>7</w:t>
      </w:r>
      <w:r>
        <w:rPr>
          <w:rFonts w:hint="eastAsia" w:ascii="宋体" w:hAnsi="宋体" w:eastAsia="宋体" w:cs="宋体"/>
          <w:color w:val="000000" w:themeColor="text1"/>
          <w:kern w:val="0"/>
          <w:sz w:val="24"/>
          <w:lang w:bidi="ar"/>
          <w14:textFill>
            <w14:solidFill>
              <w14:schemeClr w14:val="tx1"/>
            </w14:solidFill>
          </w14:textFill>
        </w:rPr>
        <w:t xml:space="preserve"> 说明项目</w:t>
      </w:r>
      <w:r>
        <w:rPr>
          <w:rFonts w:hint="eastAsia" w:ascii="宋体" w:hAnsi="宋体" w:eastAsia="宋体" w:cs="宋体"/>
          <w:sz w:val="24"/>
        </w:rPr>
        <w:t>“保证项目的可持续发展，规范项目建设和运行的一系列制度、流程等治理规范”进行说明，并应披露风险管理体系、重大风险识别及防范、气候风险识别及防范、项目研发与创新管理体系、研发投入、创新成果等信息。</w:t>
      </w:r>
    </w:p>
    <w:p w14:paraId="5B9D0F46">
      <w:pPr>
        <w:snapToGrid w:val="0"/>
        <w:spacing w:line="360" w:lineRule="auto"/>
        <w:ind w:firstLine="480" w:firstLineChars="200"/>
        <w:jc w:val="left"/>
        <w:rPr>
          <w:rFonts w:hint="eastAsia" w:ascii="宋体" w:hAnsi="宋体" w:eastAsia="宋体" w:cs="宋体"/>
          <w:color w:val="000000" w:themeColor="text1"/>
          <w:kern w:val="0"/>
          <w:sz w:val="24"/>
          <w:lang w:bidi="ar"/>
          <w14:textFill>
            <w14:solidFill>
              <w14:schemeClr w14:val="tx1"/>
            </w14:solidFill>
          </w14:textFill>
        </w:rPr>
      </w:pPr>
      <w:r>
        <w:rPr>
          <w:rFonts w:hint="eastAsia" w:ascii="宋体" w:hAnsi="宋体" w:eastAsia="宋体" w:cs="宋体"/>
          <w:color w:val="000000" w:themeColor="text1"/>
          <w:kern w:val="0"/>
          <w:sz w:val="24"/>
          <w:lang w:bidi="ar"/>
          <w14:textFill>
            <w14:solidFill>
              <w14:schemeClr w14:val="tx1"/>
            </w14:solidFill>
          </w14:textFill>
        </w:rPr>
        <w:t>考量内容：风险管理政策文档、风险评估报告、气候风险评估报告、研发与创新战略文档、研发投入和创新成果报告等。</w:t>
      </w:r>
    </w:p>
    <w:p w14:paraId="0757DC2D">
      <w:pPr>
        <w:snapToGrid w:val="0"/>
        <w:spacing w:line="360" w:lineRule="auto"/>
        <w:jc w:val="left"/>
        <w:rPr>
          <w:rFonts w:ascii="宋体" w:hAnsi="宋体" w:eastAsia="宋体" w:cs="宋体"/>
          <w:color w:val="000000" w:themeColor="text1"/>
          <w:kern w:val="0"/>
          <w:sz w:val="24"/>
          <w:lang w:bidi="ar"/>
          <w14:textFill>
            <w14:solidFill>
              <w14:schemeClr w14:val="tx1"/>
            </w14:solidFill>
          </w14:textFill>
        </w:rPr>
      </w:pPr>
      <w:r>
        <w:rPr>
          <w:rFonts w:hint="eastAsia" w:ascii="宋体" w:hAnsi="宋体" w:eastAsia="宋体" w:cs="宋体"/>
          <w:color w:val="000000" w:themeColor="text1"/>
          <w:kern w:val="0"/>
          <w:sz w:val="24"/>
          <w:lang w:bidi="ar"/>
          <w14:textFill>
            <w14:solidFill>
              <w14:schemeClr w14:val="tx1"/>
            </w14:solidFill>
          </w14:textFill>
        </w:rPr>
        <w:t>D.0.</w:t>
      </w:r>
      <w:r>
        <w:rPr>
          <w:rFonts w:hint="eastAsia" w:ascii="宋体" w:hAnsi="宋体" w:eastAsia="宋体" w:cs="宋体"/>
          <w:color w:val="000000" w:themeColor="text1"/>
          <w:kern w:val="0"/>
          <w:sz w:val="24"/>
          <w:lang w:val="en-US" w:eastAsia="zh-CN" w:bidi="ar"/>
          <w14:textFill>
            <w14:solidFill>
              <w14:schemeClr w14:val="tx1"/>
            </w14:solidFill>
          </w14:textFill>
        </w:rPr>
        <w:t>8</w:t>
      </w:r>
      <w:r>
        <w:rPr>
          <w:rFonts w:hint="eastAsia" w:ascii="宋体" w:hAnsi="宋体" w:eastAsia="宋体" w:cs="宋体"/>
          <w:color w:val="000000" w:themeColor="text1"/>
          <w:kern w:val="0"/>
          <w:sz w:val="24"/>
          <w:lang w:bidi="ar"/>
          <w14:textFill>
            <w14:solidFill>
              <w14:schemeClr w14:val="tx1"/>
            </w14:solidFill>
          </w14:textFill>
        </w:rPr>
        <w:t xml:space="preserve"> 生态环境保护披露信息包括但不限于：项目排放污染物种类、数量、浓度和去向；项目环保设施的建设和运行情况；项目在生产过程中产生的固体废物处理、处置情况、回收和综合利用情况；温室气体排放种类、数量、强度、减排管理情况；水资源使用管理</w:t>
      </w:r>
      <w:r>
        <w:rPr>
          <w:rFonts w:hint="eastAsia" w:ascii="宋体" w:hAnsi="宋体" w:eastAsia="宋体" w:cs="宋体"/>
          <w:color w:val="000000" w:themeColor="text1"/>
          <w:kern w:val="0"/>
          <w:sz w:val="24"/>
          <w:lang w:eastAsia="zh-CN" w:bidi="ar"/>
          <w14:textFill>
            <w14:solidFill>
              <w14:schemeClr w14:val="tx1"/>
            </w14:solidFill>
          </w14:textFill>
        </w:rPr>
        <w:t>、</w:t>
      </w:r>
      <w:r>
        <w:rPr>
          <w:rFonts w:hint="eastAsia" w:ascii="宋体" w:hAnsi="宋体" w:eastAsia="宋体" w:cs="宋体"/>
          <w:color w:val="000000" w:themeColor="text1"/>
          <w:kern w:val="0"/>
          <w:sz w:val="24"/>
          <w:lang w:bidi="ar"/>
          <w14:textFill>
            <w14:solidFill>
              <w14:schemeClr w14:val="tx1"/>
            </w14:solidFill>
          </w14:textFill>
        </w:rPr>
        <w:t>材料使用管理</w:t>
      </w:r>
      <w:r>
        <w:rPr>
          <w:rFonts w:hint="eastAsia" w:ascii="宋体" w:hAnsi="宋体" w:eastAsia="宋体" w:cs="宋体"/>
          <w:color w:val="000000" w:themeColor="text1"/>
          <w:kern w:val="0"/>
          <w:sz w:val="24"/>
          <w:lang w:eastAsia="zh-CN" w:bidi="ar"/>
          <w14:textFill>
            <w14:solidFill>
              <w14:schemeClr w14:val="tx1"/>
            </w14:solidFill>
          </w14:textFill>
        </w:rPr>
        <w:t>、</w:t>
      </w:r>
      <w:r>
        <w:rPr>
          <w:rFonts w:hint="eastAsia" w:ascii="宋体" w:hAnsi="宋体" w:eastAsia="宋体" w:cs="宋体"/>
          <w:color w:val="000000" w:themeColor="text1"/>
          <w:kern w:val="0"/>
          <w:sz w:val="24"/>
          <w:lang w:bidi="ar"/>
          <w14:textFill>
            <w14:solidFill>
              <w14:schemeClr w14:val="tx1"/>
            </w14:solidFill>
          </w14:textFill>
        </w:rPr>
        <w:t>能源使用管理</w:t>
      </w:r>
      <w:r>
        <w:rPr>
          <w:rFonts w:hint="eastAsia" w:ascii="宋体" w:hAnsi="宋体" w:eastAsia="宋体" w:cs="宋体"/>
          <w:color w:val="000000" w:themeColor="text1"/>
          <w:kern w:val="0"/>
          <w:sz w:val="24"/>
          <w:lang w:eastAsia="zh-CN" w:bidi="ar"/>
          <w14:textFill>
            <w14:solidFill>
              <w14:schemeClr w14:val="tx1"/>
            </w14:solidFill>
          </w14:textFill>
        </w:rPr>
        <w:t>、</w:t>
      </w:r>
      <w:r>
        <w:rPr>
          <w:rFonts w:hint="eastAsia" w:ascii="宋体" w:hAnsi="宋体" w:eastAsia="宋体" w:cs="宋体"/>
          <w:color w:val="000000" w:themeColor="text1"/>
          <w:kern w:val="0"/>
          <w:sz w:val="24"/>
          <w:lang w:bidi="ar"/>
          <w14:textFill>
            <w14:solidFill>
              <w14:schemeClr w14:val="tx1"/>
            </w14:solidFill>
          </w14:textFill>
        </w:rPr>
        <w:t>其他自然资源管理(土地资源、湿地资源等)。</w:t>
      </w:r>
    </w:p>
    <w:p w14:paraId="47E09E41">
      <w:pPr>
        <w:widowControl/>
        <w:snapToGrid w:val="0"/>
        <w:spacing w:line="360" w:lineRule="auto"/>
        <w:ind w:firstLine="480" w:firstLineChars="200"/>
        <w:jc w:val="left"/>
        <w:rPr>
          <w:rFonts w:ascii="宋体" w:hAnsi="宋体" w:eastAsia="宋体" w:cs="宋体"/>
          <w:color w:val="000000" w:themeColor="text1"/>
          <w:kern w:val="0"/>
          <w:sz w:val="24"/>
          <w:lang w:bidi="ar"/>
          <w14:textFill>
            <w14:solidFill>
              <w14:schemeClr w14:val="tx1"/>
            </w14:solidFill>
          </w14:textFill>
        </w:rPr>
      </w:pPr>
      <w:r>
        <w:rPr>
          <w:rFonts w:hint="eastAsia" w:ascii="宋体" w:hAnsi="宋体" w:eastAsia="宋体" w:cs="宋体"/>
          <w:color w:val="000000" w:themeColor="text1"/>
          <w:kern w:val="0"/>
          <w:sz w:val="24"/>
          <w:lang w:val="en-US" w:eastAsia="zh-CN" w:bidi="ar"/>
          <w14:textFill>
            <w14:solidFill>
              <w14:schemeClr w14:val="tx1"/>
            </w14:solidFill>
          </w14:textFill>
        </w:rPr>
        <w:t>产业</w:t>
      </w:r>
      <w:r>
        <w:rPr>
          <w:rFonts w:hint="eastAsia" w:ascii="宋体" w:hAnsi="宋体" w:eastAsia="宋体" w:cs="宋体"/>
          <w:color w:val="000000" w:themeColor="text1"/>
          <w:kern w:val="0"/>
          <w:sz w:val="24"/>
          <w:lang w:bidi="ar"/>
          <w14:textFill>
            <w14:solidFill>
              <w14:schemeClr w14:val="tx1"/>
            </w14:solidFill>
          </w14:textFill>
        </w:rPr>
        <w:t>和经济发展信息披露包括但不限于：项目员工培训频率</w:t>
      </w:r>
      <w:r>
        <w:rPr>
          <w:rFonts w:hint="eastAsia" w:ascii="宋体" w:hAnsi="宋体" w:eastAsia="宋体" w:cs="宋体"/>
          <w:color w:val="000000" w:themeColor="text1"/>
          <w:kern w:val="0"/>
          <w:sz w:val="24"/>
          <w:lang w:eastAsia="zh-CN" w:bidi="ar"/>
          <w14:textFill>
            <w14:solidFill>
              <w14:schemeClr w14:val="tx1"/>
            </w14:solidFill>
          </w14:textFill>
        </w:rPr>
        <w:t>、</w:t>
      </w:r>
      <w:r>
        <w:rPr>
          <w:rFonts w:hint="eastAsia" w:ascii="宋体" w:hAnsi="宋体" w:eastAsia="宋体" w:cs="宋体"/>
          <w:color w:val="000000" w:themeColor="text1"/>
          <w:kern w:val="0"/>
          <w:sz w:val="24"/>
          <w:lang w:bidi="ar"/>
          <w14:textFill>
            <w14:solidFill>
              <w14:schemeClr w14:val="tx1"/>
            </w14:solidFill>
          </w14:textFill>
        </w:rPr>
        <w:t>员工多元化，公平晋升；民主管理，员工年度健康体检覆盖率；职业病发病率；供应链流程设计情况；本地化采购情况</w:t>
      </w:r>
      <w:r>
        <w:rPr>
          <w:rFonts w:hint="eastAsia" w:ascii="宋体" w:hAnsi="宋体" w:eastAsia="宋体" w:cs="宋体"/>
          <w:color w:val="000000" w:themeColor="text1"/>
          <w:kern w:val="0"/>
          <w:sz w:val="24"/>
          <w:lang w:eastAsia="zh-CN" w:bidi="ar"/>
          <w14:textFill>
            <w14:solidFill>
              <w14:schemeClr w14:val="tx1"/>
            </w14:solidFill>
          </w14:textFill>
        </w:rPr>
        <w:t>、</w:t>
      </w:r>
      <w:r>
        <w:rPr>
          <w:rFonts w:hint="eastAsia" w:ascii="宋体" w:hAnsi="宋体" w:eastAsia="宋体" w:cs="宋体"/>
          <w:color w:val="000000" w:themeColor="text1"/>
          <w:kern w:val="0"/>
          <w:sz w:val="24"/>
          <w:lang w:bidi="ar"/>
          <w14:textFill>
            <w14:solidFill>
              <w14:schemeClr w14:val="tx1"/>
            </w14:solidFill>
          </w14:textFill>
        </w:rPr>
        <w:t>主要供应商 ESG 战略执行情况；质量管理的技术标准和管理标准；雇用本地社区居民情况，社区居民生活改善情况；参加社区公益性活动情况；项目利润率或投资回报率；项目对当地所属产业的拉动情况；通过项目拓展新产业的情况；项目对当地 GDP增长贡献率；项目对关联产业的拉动情况及对当地经济结构的改善情况；项目对当地投资与消费的拉动效果等信息。</w:t>
      </w:r>
    </w:p>
    <w:p w14:paraId="73C1FEF9">
      <w:pPr>
        <w:widowControl/>
        <w:snapToGrid w:val="0"/>
        <w:spacing w:line="360" w:lineRule="auto"/>
        <w:ind w:firstLine="480" w:firstLineChars="200"/>
        <w:jc w:val="left"/>
        <w:rPr>
          <w:rFonts w:ascii="宋体" w:hAnsi="宋体" w:eastAsia="宋体" w:cs="宋体"/>
          <w:color w:val="000000" w:themeColor="text1"/>
          <w:kern w:val="0"/>
          <w:sz w:val="24"/>
          <w:lang w:bidi="ar"/>
          <w14:textFill>
            <w14:solidFill>
              <w14:schemeClr w14:val="tx1"/>
            </w14:solidFill>
          </w14:textFill>
        </w:rPr>
      </w:pPr>
      <w:r>
        <w:rPr>
          <w:rFonts w:hint="eastAsia" w:ascii="宋体" w:hAnsi="宋体" w:eastAsia="宋体" w:cs="宋体"/>
          <w:color w:val="000000" w:themeColor="text1"/>
          <w:kern w:val="0"/>
          <w:sz w:val="24"/>
          <w:lang w:bidi="ar"/>
          <w14:textFill>
            <w14:solidFill>
              <w14:schemeClr w14:val="tx1"/>
            </w14:solidFill>
          </w14:textFill>
        </w:rPr>
        <w:t>治理信息披露包括但不限于：项目组织架构、风险管理体系、重大风险识别及防范、气候风险识别及防范、应急风险管理、信息拔露体系、信息披露渠道、研发与创新管理体系和研发投入、创新成果、管理创新等。</w:t>
      </w:r>
    </w:p>
    <w:p w14:paraId="76E40441">
      <w:pPr>
        <w:snapToGrid w:val="0"/>
        <w:spacing w:line="360" w:lineRule="auto"/>
        <w:ind w:firstLine="480" w:firstLineChars="200"/>
        <w:jc w:val="left"/>
        <w:rPr>
          <w:rFonts w:hint="eastAsia" w:ascii="宋体" w:hAnsi="宋体" w:eastAsia="宋体" w:cs="宋体"/>
          <w:color w:val="000000" w:themeColor="text1"/>
          <w:kern w:val="0"/>
          <w:sz w:val="24"/>
          <w:lang w:bidi="ar"/>
          <w14:textFill>
            <w14:solidFill>
              <w14:schemeClr w14:val="tx1"/>
            </w14:solidFill>
          </w14:textFill>
        </w:rPr>
      </w:pPr>
      <w:r>
        <w:rPr>
          <w:rFonts w:hint="eastAsia" w:ascii="宋体" w:hAnsi="宋体" w:eastAsia="宋体" w:cs="宋体"/>
          <w:color w:val="000000" w:themeColor="text1"/>
          <w:kern w:val="0"/>
          <w:sz w:val="24"/>
          <w:lang w:bidi="ar"/>
          <w14:textFill>
            <w14:solidFill>
              <w14:schemeClr w14:val="tx1"/>
            </w14:solidFill>
          </w14:textFill>
        </w:rPr>
        <w:t>考量内容：生态保护措施报告、产业影响评估报告、经济贡献报告、治理结构文档、政策和程序文档等。</w:t>
      </w:r>
    </w:p>
    <w:p w14:paraId="608A5ADA">
      <w:pPr>
        <w:snapToGrid w:val="0"/>
        <w:spacing w:line="360" w:lineRule="auto"/>
        <w:jc w:val="left"/>
        <w:rPr>
          <w:rFonts w:hint="eastAsia" w:ascii="宋体" w:hAnsi="宋体" w:eastAsia="宋体" w:cs="宋体"/>
          <w:color w:val="000000" w:themeColor="text1"/>
          <w:kern w:val="0"/>
          <w:sz w:val="24"/>
          <w:lang w:bidi="ar"/>
          <w14:textFill>
            <w14:solidFill>
              <w14:schemeClr w14:val="tx1"/>
            </w14:solidFill>
          </w14:textFill>
        </w:rPr>
      </w:pPr>
      <w:r>
        <w:rPr>
          <w:rFonts w:hint="eastAsia" w:ascii="宋体" w:hAnsi="宋体" w:eastAsia="宋体" w:cs="宋体"/>
          <w:color w:val="000000" w:themeColor="text1"/>
          <w:kern w:val="0"/>
          <w:sz w:val="24"/>
          <w:lang w:bidi="ar"/>
          <w14:textFill>
            <w14:solidFill>
              <w14:schemeClr w14:val="tx1"/>
            </w14:solidFill>
          </w14:textFill>
        </w:rPr>
        <w:t>D.0.</w:t>
      </w:r>
      <w:r>
        <w:rPr>
          <w:rFonts w:hint="eastAsia" w:ascii="宋体" w:hAnsi="宋体" w:eastAsia="宋体" w:cs="宋体"/>
          <w:color w:val="000000" w:themeColor="text1"/>
          <w:kern w:val="0"/>
          <w:sz w:val="24"/>
          <w:lang w:val="en-US" w:eastAsia="zh-CN" w:bidi="ar"/>
          <w14:textFill>
            <w14:solidFill>
              <w14:schemeClr w14:val="tx1"/>
            </w14:solidFill>
          </w14:textFill>
        </w:rPr>
        <w:t>9</w:t>
      </w:r>
      <w:r>
        <w:rPr>
          <w:rFonts w:hint="eastAsia" w:ascii="宋体" w:hAnsi="宋体" w:eastAsia="宋体" w:cs="宋体"/>
          <w:color w:val="000000" w:themeColor="text1"/>
          <w:kern w:val="0"/>
          <w:sz w:val="24"/>
          <w:lang w:bidi="ar"/>
          <w14:textFill>
            <w14:solidFill>
              <w14:schemeClr w14:val="tx1"/>
            </w14:solidFill>
          </w14:textFill>
        </w:rPr>
        <w:t xml:space="preserve"> </w:t>
      </w:r>
      <w:r>
        <w:rPr>
          <w:rFonts w:hint="eastAsia" w:ascii="宋体" w:hAnsi="宋体" w:eastAsia="宋体" w:cs="宋体"/>
          <w:color w:val="000000" w:themeColor="text1"/>
          <w:kern w:val="0"/>
          <w:sz w:val="24"/>
          <w:lang w:val="en-US" w:eastAsia="zh-CN" w:bidi="ar"/>
          <w14:textFill>
            <w14:solidFill>
              <w14:schemeClr w14:val="tx1"/>
            </w14:solidFill>
          </w14:textFill>
        </w:rPr>
        <w:t>综合说明</w:t>
      </w:r>
      <w:r>
        <w:rPr>
          <w:rFonts w:hint="eastAsia" w:ascii="宋体" w:hAnsi="宋体" w:eastAsia="宋体" w:cs="宋体"/>
          <w:color w:val="000000" w:themeColor="text1"/>
          <w:kern w:val="0"/>
          <w:sz w:val="24"/>
          <w:lang w:bidi="ar"/>
          <w14:textFill>
            <w14:solidFill>
              <w14:schemeClr w14:val="tx1"/>
            </w14:solidFill>
          </w14:textFill>
        </w:rPr>
        <w:t>ESG</w:t>
      </w:r>
      <w:r>
        <w:rPr>
          <w:rFonts w:hint="eastAsia" w:ascii="宋体" w:hAnsi="宋体" w:eastAsia="宋体" w:cs="宋体"/>
          <w:color w:val="000000" w:themeColor="text1"/>
          <w:kern w:val="0"/>
          <w:sz w:val="24"/>
          <w:lang w:val="en-US" w:eastAsia="zh-CN" w:bidi="ar"/>
          <w14:textFill>
            <w14:solidFill>
              <w14:schemeClr w14:val="tx1"/>
            </w14:solidFill>
          </w14:textFill>
        </w:rPr>
        <w:t>目标的执行情况和</w:t>
      </w:r>
      <w:r>
        <w:rPr>
          <w:rFonts w:hint="eastAsia" w:ascii="宋体" w:hAnsi="宋体" w:eastAsia="宋体" w:cs="宋体"/>
          <w:color w:val="000000" w:themeColor="text1"/>
          <w:kern w:val="0"/>
          <w:sz w:val="24"/>
          <w:lang w:bidi="ar"/>
          <w14:textFill>
            <w14:solidFill>
              <w14:schemeClr w14:val="tx1"/>
            </w14:solidFill>
          </w14:textFill>
        </w:rPr>
        <w:t>绩效水平，以及</w:t>
      </w:r>
      <w:r>
        <w:rPr>
          <w:rFonts w:hint="eastAsia" w:ascii="宋体" w:hAnsi="宋体" w:eastAsia="宋体" w:cs="宋体"/>
          <w:color w:val="000000" w:themeColor="text1"/>
          <w:kern w:val="0"/>
          <w:sz w:val="24"/>
          <w:lang w:val="en-US" w:eastAsia="zh-CN" w:bidi="ar"/>
          <w14:textFill>
            <w14:solidFill>
              <w14:schemeClr w14:val="tx1"/>
            </w14:solidFill>
          </w14:textFill>
        </w:rPr>
        <w:t>落实ESG目标过程</w:t>
      </w:r>
      <w:r>
        <w:rPr>
          <w:rFonts w:hint="eastAsia" w:ascii="宋体" w:hAnsi="宋体" w:eastAsia="宋体" w:cs="宋体"/>
          <w:color w:val="000000" w:themeColor="text1"/>
          <w:kern w:val="0"/>
          <w:sz w:val="24"/>
          <w:lang w:bidi="ar"/>
          <w14:textFill>
            <w14:solidFill>
              <w14:schemeClr w14:val="tx1"/>
            </w14:solidFill>
          </w14:textFill>
        </w:rPr>
        <w:t>对项目</w:t>
      </w:r>
      <w:r>
        <w:rPr>
          <w:rFonts w:hint="eastAsia" w:ascii="宋体" w:hAnsi="宋体" w:eastAsia="宋体" w:cs="宋体"/>
          <w:color w:val="000000" w:themeColor="text1"/>
          <w:kern w:val="0"/>
          <w:sz w:val="24"/>
          <w:lang w:val="en-US" w:eastAsia="zh-CN" w:bidi="ar"/>
          <w14:textFill>
            <w14:solidFill>
              <w14:schemeClr w14:val="tx1"/>
            </w14:solidFill>
          </w14:textFill>
        </w:rPr>
        <w:t>发展</w:t>
      </w:r>
      <w:r>
        <w:rPr>
          <w:rFonts w:hint="eastAsia" w:ascii="宋体" w:hAnsi="宋体" w:eastAsia="宋体" w:cs="宋体"/>
          <w:color w:val="000000" w:themeColor="text1"/>
          <w:kern w:val="0"/>
          <w:sz w:val="24"/>
          <w:lang w:bidi="ar"/>
          <w14:textFill>
            <w14:solidFill>
              <w14:schemeClr w14:val="tx1"/>
            </w14:solidFill>
          </w14:textFill>
        </w:rPr>
        <w:t>的作用和效果。</w:t>
      </w:r>
    </w:p>
    <w:p w14:paraId="7A119336">
      <w:pPr>
        <w:snapToGrid w:val="0"/>
        <w:spacing w:line="360" w:lineRule="auto"/>
        <w:ind w:firstLine="480" w:firstLineChars="200"/>
        <w:jc w:val="left"/>
        <w:outlineLvl w:val="9"/>
        <w:rPr>
          <w:rFonts w:hint="eastAsia" w:ascii="宋体" w:hAnsi="宋体" w:eastAsia="宋体" w:cs="宋体"/>
          <w:b/>
          <w:bCs/>
          <w:color w:val="000000" w:themeColor="text1"/>
          <w:sz w:val="30"/>
          <w:szCs w:val="30"/>
          <w14:textFill>
            <w14:solidFill>
              <w14:schemeClr w14:val="tx1"/>
            </w14:solidFill>
          </w14:textFill>
        </w:rPr>
        <w:sectPr>
          <w:pgSz w:w="11906" w:h="16838"/>
          <w:pgMar w:top="1440" w:right="1800" w:bottom="1440" w:left="1800" w:header="851" w:footer="992" w:gutter="0"/>
          <w:pgNumType w:fmt="decimal"/>
          <w:cols w:space="425" w:num="1"/>
          <w:docGrid w:type="lines" w:linePitch="312" w:charSpace="0"/>
        </w:sectPr>
      </w:pPr>
      <w:r>
        <w:rPr>
          <w:rFonts w:hint="eastAsia" w:ascii="宋体" w:hAnsi="宋体" w:eastAsia="宋体" w:cs="宋体"/>
          <w:color w:val="000000" w:themeColor="text1"/>
          <w:kern w:val="0"/>
          <w:sz w:val="24"/>
          <w:lang w:bidi="ar"/>
          <w14:textFill>
            <w14:solidFill>
              <w14:schemeClr w14:val="tx1"/>
            </w14:solidFill>
          </w14:textFill>
        </w:rPr>
        <w:t>考量内容：ESG对项目可持续性影响分析报告。</w:t>
      </w:r>
    </w:p>
    <w:p w14:paraId="3530EB5A">
      <w:pPr>
        <w:spacing w:line="360" w:lineRule="auto"/>
        <w:jc w:val="center"/>
        <w:outlineLvl w:val="0"/>
        <w:rPr>
          <w:rFonts w:hint="eastAsia" w:ascii="宋体" w:hAnsi="宋体" w:eastAsia="宋体" w:cs="宋体"/>
          <w:b/>
          <w:bCs/>
          <w:color w:val="000000" w:themeColor="text1"/>
          <w:sz w:val="30"/>
          <w:szCs w:val="30"/>
          <w14:textFill>
            <w14:solidFill>
              <w14:schemeClr w14:val="tx1"/>
            </w14:solidFill>
          </w14:textFill>
        </w:rPr>
      </w:pPr>
      <w:bookmarkStart w:id="899" w:name="_Toc25264"/>
      <w:bookmarkStart w:id="900" w:name="_Toc28435"/>
      <w:bookmarkStart w:id="901" w:name="_Toc13596"/>
      <w:bookmarkStart w:id="902" w:name="_Toc27692"/>
      <w:bookmarkStart w:id="903" w:name="_Toc8781"/>
      <w:r>
        <w:rPr>
          <w:rFonts w:hint="eastAsia" w:ascii="宋体" w:hAnsi="宋体" w:eastAsia="宋体" w:cs="宋体"/>
          <w:b/>
          <w:bCs/>
          <w:color w:val="000000" w:themeColor="text1"/>
          <w:sz w:val="30"/>
          <w:szCs w:val="30"/>
          <w14:textFill>
            <w14:solidFill>
              <w14:schemeClr w14:val="tx1"/>
            </w14:solidFill>
          </w14:textFill>
        </w:rPr>
        <w:t>附录</w:t>
      </w:r>
      <w:r>
        <w:rPr>
          <w:rFonts w:hint="eastAsia" w:ascii="宋体" w:hAnsi="宋体" w:eastAsia="宋体" w:cs="宋体"/>
          <w:b/>
          <w:bCs/>
          <w:color w:val="000000" w:themeColor="text1"/>
          <w:sz w:val="30"/>
          <w:szCs w:val="30"/>
          <w:lang w:val="en-US" w:eastAsia="zh-CN"/>
          <w14:textFill>
            <w14:solidFill>
              <w14:schemeClr w14:val="tx1"/>
            </w14:solidFill>
          </w14:textFill>
        </w:rPr>
        <w:t>E</w:t>
      </w:r>
      <w:r>
        <w:rPr>
          <w:rFonts w:hint="eastAsia" w:ascii="宋体" w:hAnsi="宋体" w:eastAsia="宋体" w:cs="宋体"/>
          <w:b/>
          <w:bCs/>
          <w:color w:val="000000" w:themeColor="text1"/>
          <w:sz w:val="30"/>
          <w:szCs w:val="30"/>
          <w14:textFill>
            <w14:solidFill>
              <w14:schemeClr w14:val="tx1"/>
            </w14:solidFill>
          </w14:textFill>
        </w:rPr>
        <w:t xml:space="preserve"> 评价</w:t>
      </w:r>
      <w:r>
        <w:rPr>
          <w:rFonts w:hint="eastAsia" w:ascii="宋体" w:hAnsi="宋体" w:eastAsia="宋体" w:cs="宋体"/>
          <w:b/>
          <w:bCs/>
          <w:color w:val="000000" w:themeColor="text1"/>
          <w:sz w:val="30"/>
          <w:szCs w:val="30"/>
          <w:lang w:val="en-US" w:eastAsia="zh-CN"/>
          <w14:textFill>
            <w14:solidFill>
              <w14:schemeClr w14:val="tx1"/>
            </w14:solidFill>
          </w14:textFill>
        </w:rPr>
        <w:t>说明</w:t>
      </w:r>
      <w:bookmarkEnd w:id="899"/>
      <w:bookmarkEnd w:id="900"/>
      <w:bookmarkEnd w:id="901"/>
      <w:bookmarkEnd w:id="902"/>
      <w:bookmarkEnd w:id="903"/>
    </w:p>
    <w:p w14:paraId="3503F769">
      <w:pPr>
        <w:spacing w:line="360" w:lineRule="auto"/>
      </w:pPr>
    </w:p>
    <w:p w14:paraId="4D78C57A">
      <w:pPr>
        <w:snapToGrid w:val="0"/>
        <w:spacing w:line="360" w:lineRule="auto"/>
        <w:ind w:firstLine="0" w:firstLineChars="0"/>
        <w:jc w:val="left"/>
        <w:rPr>
          <w:rFonts w:hint="eastAsia" w:ascii="宋体" w:hAnsi="宋体" w:cs="宋体"/>
          <w:color w:val="000000" w:themeColor="text1"/>
          <w:kern w:val="0"/>
          <w:sz w:val="24"/>
          <w:szCs w:val="24"/>
          <w:lang w:val="en-US" w:eastAsia="zh-CN" w:bidi="ar"/>
          <w14:textFill>
            <w14:solidFill>
              <w14:schemeClr w14:val="tx1"/>
            </w14:solidFill>
          </w14:textFill>
        </w:rPr>
      </w:pPr>
      <w:r>
        <w:rPr>
          <w:rFonts w:hint="eastAsia" w:ascii="宋体" w:hAnsi="宋体" w:cs="宋体"/>
          <w:color w:val="000000" w:themeColor="text1"/>
          <w:kern w:val="0"/>
          <w:sz w:val="24"/>
          <w:szCs w:val="24"/>
          <w:lang w:val="en-US" w:eastAsia="zh-CN" w:bidi="ar"/>
          <w14:textFill>
            <w14:solidFill>
              <w14:schemeClr w14:val="tx1"/>
            </w14:solidFill>
          </w14:textFill>
        </w:rPr>
        <w:t>E.0.3</w:t>
      </w:r>
      <w:r>
        <w:rPr>
          <w:rFonts w:hint="eastAsia" w:ascii="宋体" w:hAnsi="宋体" w:eastAsia="宋体" w:cs="宋体"/>
          <w:color w:val="000000" w:themeColor="text1"/>
          <w:kern w:val="0"/>
          <w:sz w:val="24"/>
          <w:szCs w:val="24"/>
          <w:lang w:val="en-US" w:eastAsia="zh-CN" w:bidi="ar"/>
          <w14:textFill>
            <w14:solidFill>
              <w14:schemeClr w14:val="tx1"/>
            </w14:solidFill>
          </w14:textFill>
        </w:rPr>
        <w:t>本</w:t>
      </w:r>
      <w:r>
        <w:rPr>
          <w:rFonts w:hint="eastAsia" w:ascii="宋体" w:hAnsi="宋体" w:cs="宋体"/>
          <w:color w:val="000000" w:themeColor="text1"/>
          <w:kern w:val="0"/>
          <w:sz w:val="24"/>
          <w:szCs w:val="24"/>
          <w:lang w:val="en-US" w:eastAsia="zh-CN" w:bidi="ar"/>
          <w14:textFill>
            <w14:solidFill>
              <w14:schemeClr w14:val="tx1"/>
            </w14:solidFill>
          </w14:textFill>
        </w:rPr>
        <w:t>条款打分模式说明如下：</w:t>
      </w:r>
    </w:p>
    <w:p w14:paraId="60713749">
      <w:pPr>
        <w:snapToGrid w:val="0"/>
        <w:spacing w:line="360" w:lineRule="auto"/>
        <w:ind w:firstLine="480" w:firstLineChars="200"/>
        <w:jc w:val="left"/>
        <w:rPr>
          <w:rFonts w:hint="eastAsia" w:ascii="宋体" w:hAnsi="宋体" w:eastAsia="宋体" w:cs="宋体"/>
          <w:color w:val="000000" w:themeColor="text1"/>
          <w:kern w:val="0"/>
          <w:sz w:val="24"/>
          <w:szCs w:val="24"/>
          <w:lang w:val="en-US" w:eastAsia="zh-CN" w:bidi="ar"/>
          <w14:textFill>
            <w14:solidFill>
              <w14:schemeClr w14:val="tx1"/>
            </w14:solidFill>
          </w14:textFill>
        </w:rPr>
      </w:pPr>
      <w:r>
        <w:rPr>
          <w:rFonts w:hint="eastAsia" w:ascii="宋体" w:hAnsi="宋体" w:cs="宋体"/>
          <w:color w:val="000000" w:themeColor="text1"/>
          <w:kern w:val="0"/>
          <w:sz w:val="24"/>
          <w:szCs w:val="24"/>
          <w:lang w:val="en-US" w:eastAsia="zh-CN" w:bidi="ar"/>
          <w14:textFill>
            <w14:solidFill>
              <w14:schemeClr w14:val="tx1"/>
            </w14:solidFill>
          </w14:textFill>
        </w:rPr>
        <w:t xml:space="preserve">1 </w:t>
      </w:r>
      <w:r>
        <w:rPr>
          <w:rFonts w:hint="eastAsia" w:ascii="宋体" w:hAnsi="宋体" w:eastAsia="宋体" w:cs="宋体"/>
          <w:color w:val="000000" w:themeColor="text1"/>
          <w:kern w:val="0"/>
          <w:sz w:val="24"/>
          <w:szCs w:val="24"/>
          <w:lang w:val="en-US" w:eastAsia="zh-CN" w:bidi="ar"/>
          <w14:textFill>
            <w14:solidFill>
              <w14:schemeClr w14:val="tx1"/>
            </w14:solidFill>
          </w14:textFill>
        </w:rPr>
        <w:t>采用层次分析法，由专家赋值打分，经过数列分析形成标准四个指标层级的得分权重。</w:t>
      </w:r>
    </w:p>
    <w:p w14:paraId="71D31DD8">
      <w:pPr>
        <w:snapToGrid w:val="0"/>
        <w:spacing w:line="360" w:lineRule="auto"/>
        <w:ind w:firstLine="480" w:firstLineChars="200"/>
        <w:jc w:val="left"/>
        <w:rPr>
          <w:rFonts w:hint="eastAsia" w:ascii="宋体" w:hAnsi="宋体" w:eastAsia="宋体" w:cs="宋体"/>
          <w:color w:val="000000" w:themeColor="text1"/>
          <w:kern w:val="0"/>
          <w:sz w:val="24"/>
          <w:szCs w:val="24"/>
          <w:lang w:val="en-US" w:eastAsia="zh-CN" w:bidi="ar"/>
          <w14:textFill>
            <w14:solidFill>
              <w14:schemeClr w14:val="tx1"/>
            </w14:solidFill>
          </w14:textFill>
        </w:rPr>
      </w:pPr>
      <w:r>
        <w:rPr>
          <w:rFonts w:hint="eastAsia" w:ascii="宋体" w:hAnsi="宋体" w:cs="宋体"/>
          <w:color w:val="000000" w:themeColor="text1"/>
          <w:kern w:val="0"/>
          <w:sz w:val="24"/>
          <w:szCs w:val="24"/>
          <w:lang w:val="en-US" w:eastAsia="zh-CN" w:bidi="ar"/>
          <w14:textFill>
            <w14:solidFill>
              <w14:schemeClr w14:val="tx1"/>
            </w14:solidFill>
          </w14:textFill>
        </w:rPr>
        <w:t xml:space="preserve">2 </w:t>
      </w:r>
      <w:r>
        <w:rPr>
          <w:rFonts w:hint="eastAsia" w:ascii="宋体" w:hAnsi="宋体" w:eastAsia="宋体" w:cs="宋体"/>
          <w:color w:val="000000" w:themeColor="text1"/>
          <w:kern w:val="0"/>
          <w:sz w:val="24"/>
          <w:szCs w:val="24"/>
          <w:lang w:val="en-US" w:eastAsia="zh-CN" w:bidi="ar"/>
          <w14:textFill>
            <w14:solidFill>
              <w14:schemeClr w14:val="tx1"/>
            </w14:solidFill>
          </w14:textFill>
        </w:rPr>
        <w:t>项目参与标准评价的得分模式为：</w:t>
      </w:r>
    </w:p>
    <w:p w14:paraId="5B34C2AE">
      <w:pPr>
        <w:numPr>
          <w:ilvl w:val="0"/>
          <w:numId w:val="0"/>
        </w:numPr>
        <w:snapToGrid w:val="0"/>
        <w:spacing w:line="360" w:lineRule="auto"/>
        <w:ind w:firstLine="960" w:firstLineChars="400"/>
        <w:jc w:val="left"/>
        <w:rPr>
          <w:rFonts w:hint="eastAsia" w:ascii="宋体" w:hAnsi="宋体" w:eastAsia="宋体" w:cs="宋体"/>
          <w:color w:val="000000" w:themeColor="text1"/>
          <w:kern w:val="0"/>
          <w:sz w:val="24"/>
          <w:szCs w:val="24"/>
          <w:lang w:val="en-US" w:eastAsia="zh-CN" w:bidi="ar"/>
          <w14:textFill>
            <w14:solidFill>
              <w14:schemeClr w14:val="tx1"/>
            </w14:solidFill>
          </w14:textFill>
        </w:rPr>
      </w:pPr>
      <w:r>
        <w:rPr>
          <w:rFonts w:hint="eastAsia" w:ascii="宋体" w:hAnsi="宋体" w:cs="宋体"/>
          <w:color w:val="000000" w:themeColor="text1"/>
          <w:kern w:val="0"/>
          <w:sz w:val="24"/>
          <w:szCs w:val="24"/>
          <w:lang w:val="en-US" w:eastAsia="zh-CN" w:bidi="ar"/>
          <w14:textFill>
            <w14:solidFill>
              <w14:schemeClr w14:val="tx1"/>
            </w14:solidFill>
          </w14:textFill>
        </w:rPr>
        <w:t xml:space="preserve">1） </w:t>
      </w:r>
      <w:r>
        <w:rPr>
          <w:rFonts w:hint="eastAsia" w:ascii="宋体" w:hAnsi="宋体" w:eastAsia="宋体" w:cs="宋体"/>
          <w:color w:val="000000" w:themeColor="text1"/>
          <w:kern w:val="0"/>
          <w:sz w:val="24"/>
          <w:szCs w:val="24"/>
          <w:lang w:val="en-US" w:eastAsia="zh-CN" w:bidi="ar"/>
          <w14:textFill>
            <w14:solidFill>
              <w14:schemeClr w14:val="tx1"/>
            </w14:solidFill>
          </w14:textFill>
        </w:rPr>
        <w:t>根据项目申报阶段，筛选出参评条款；</w:t>
      </w:r>
    </w:p>
    <w:p w14:paraId="107CA0DF">
      <w:pPr>
        <w:numPr>
          <w:ilvl w:val="0"/>
          <w:numId w:val="0"/>
        </w:numPr>
        <w:snapToGrid w:val="0"/>
        <w:spacing w:line="360" w:lineRule="auto"/>
        <w:ind w:firstLine="960" w:firstLineChars="400"/>
        <w:jc w:val="left"/>
        <w:rPr>
          <w:rFonts w:hint="default" w:ascii="宋体" w:hAnsi="宋体" w:eastAsia="宋体" w:cs="宋体"/>
          <w:color w:val="000000" w:themeColor="text1"/>
          <w:kern w:val="0"/>
          <w:sz w:val="24"/>
          <w:szCs w:val="24"/>
          <w:lang w:val="en-US" w:eastAsia="zh-CN" w:bidi="ar"/>
          <w14:textFill>
            <w14:solidFill>
              <w14:schemeClr w14:val="tx1"/>
            </w14:solidFill>
          </w14:textFill>
        </w:rPr>
      </w:pPr>
      <w:r>
        <w:rPr>
          <w:rFonts w:hint="eastAsia" w:ascii="宋体" w:hAnsi="宋体" w:cs="宋体"/>
          <w:color w:val="000000" w:themeColor="text1"/>
          <w:kern w:val="0"/>
          <w:sz w:val="24"/>
          <w:szCs w:val="24"/>
          <w:lang w:val="en-US" w:eastAsia="zh-CN" w:bidi="ar"/>
          <w14:textFill>
            <w14:solidFill>
              <w14:schemeClr w14:val="tx1"/>
            </w14:solidFill>
          </w14:textFill>
        </w:rPr>
        <w:t xml:space="preserve">2） </w:t>
      </w:r>
      <w:r>
        <w:rPr>
          <w:rFonts w:hint="eastAsia" w:ascii="宋体" w:hAnsi="宋体" w:eastAsia="宋体" w:cs="宋体"/>
          <w:color w:val="000000" w:themeColor="text1"/>
          <w:kern w:val="0"/>
          <w:sz w:val="24"/>
          <w:szCs w:val="24"/>
          <w:lang w:val="en-US" w:eastAsia="zh-CN" w:bidi="ar"/>
          <w14:textFill>
            <w14:solidFill>
              <w14:schemeClr w14:val="tx1"/>
            </w14:solidFill>
          </w14:textFill>
        </w:rPr>
        <w:t>专家按照可持续要素表进行0-10分的程度打分；</w:t>
      </w:r>
    </w:p>
    <w:p w14:paraId="133F6A30">
      <w:pPr>
        <w:numPr>
          <w:ilvl w:val="0"/>
          <w:numId w:val="0"/>
        </w:numPr>
        <w:snapToGrid w:val="0"/>
        <w:spacing w:line="360" w:lineRule="auto"/>
        <w:ind w:firstLine="960" w:firstLineChars="400"/>
        <w:jc w:val="left"/>
        <w:rPr>
          <w:rFonts w:hint="default" w:ascii="宋体" w:hAnsi="宋体" w:eastAsia="宋体" w:cs="宋体"/>
          <w:color w:val="000000" w:themeColor="text1"/>
          <w:kern w:val="0"/>
          <w:sz w:val="24"/>
          <w:szCs w:val="24"/>
          <w:lang w:val="en-US" w:eastAsia="zh-CN" w:bidi="ar"/>
          <w14:textFill>
            <w14:solidFill>
              <w14:schemeClr w14:val="tx1"/>
            </w14:solidFill>
          </w14:textFill>
        </w:rPr>
      </w:pPr>
      <w:r>
        <w:rPr>
          <w:rFonts w:hint="eastAsia" w:ascii="宋体" w:hAnsi="宋体" w:cs="宋体"/>
          <w:color w:val="000000" w:themeColor="text1"/>
          <w:kern w:val="0"/>
          <w:sz w:val="24"/>
          <w:szCs w:val="24"/>
          <w:lang w:val="en-US" w:eastAsia="zh-CN" w:bidi="ar"/>
          <w14:textFill>
            <w14:solidFill>
              <w14:schemeClr w14:val="tx1"/>
            </w14:solidFill>
          </w14:textFill>
        </w:rPr>
        <w:t xml:space="preserve">3） </w:t>
      </w:r>
      <w:r>
        <w:rPr>
          <w:rFonts w:hint="eastAsia" w:ascii="宋体" w:hAnsi="宋体" w:eastAsia="宋体" w:cs="宋体"/>
          <w:color w:val="000000" w:themeColor="text1"/>
          <w:kern w:val="0"/>
          <w:sz w:val="24"/>
          <w:szCs w:val="24"/>
          <w:lang w:val="en-US" w:eastAsia="zh-CN" w:bidi="ar"/>
          <w14:textFill>
            <w14:solidFill>
              <w14:schemeClr w14:val="tx1"/>
            </w14:solidFill>
          </w14:textFill>
        </w:rPr>
        <w:t>通过软件对专家打分表汇总，结合条款、可持续要素、评价阶段进行汇总得分。</w:t>
      </w:r>
    </w:p>
    <w:p w14:paraId="7866922A">
      <w:pPr>
        <w:widowControl/>
        <w:numPr>
          <w:ilvl w:val="-1"/>
          <w:numId w:val="0"/>
        </w:numPr>
        <w:snapToGrid w:val="0"/>
        <w:spacing w:line="360" w:lineRule="auto"/>
        <w:ind w:firstLine="0" w:firstLineChars="0"/>
        <w:jc w:val="left"/>
        <w:rPr>
          <w:rFonts w:hint="default" w:ascii="宋体" w:hAnsi="宋体" w:eastAsia="宋体" w:cs="宋体"/>
          <w:color w:val="000000" w:themeColor="text1"/>
          <w:kern w:val="0"/>
          <w:sz w:val="24"/>
          <w:szCs w:val="24"/>
          <w:lang w:val="en-US" w:eastAsia="zh-CN" w:bidi="ar"/>
          <w14:textFill>
            <w14:solidFill>
              <w14:schemeClr w14:val="tx1"/>
            </w14:solidFill>
          </w14:textFill>
        </w:rPr>
      </w:pPr>
      <w:r>
        <w:rPr>
          <w:rFonts w:hint="eastAsia" w:ascii="宋体" w:hAnsi="宋体" w:cs="宋体"/>
          <w:color w:val="000000" w:themeColor="text1"/>
          <w:kern w:val="0"/>
          <w:sz w:val="24"/>
          <w:szCs w:val="24"/>
          <w:lang w:val="en-US" w:eastAsia="zh-CN" w:bidi="ar"/>
          <w14:textFill>
            <w14:solidFill>
              <w14:schemeClr w14:val="tx1"/>
            </w14:solidFill>
          </w14:textFill>
        </w:rPr>
        <w:t xml:space="preserve">E.0.5 </w:t>
      </w:r>
      <w:r>
        <w:rPr>
          <w:rFonts w:hint="eastAsia" w:ascii="宋体" w:hAnsi="宋体" w:eastAsia="宋体" w:cs="宋体"/>
          <w:b w:val="0"/>
          <w:bCs w:val="0"/>
          <w:color w:val="000000" w:themeColor="text1"/>
          <w:kern w:val="0"/>
          <w:sz w:val="24"/>
          <w:szCs w:val="24"/>
          <w:lang w:val="en-US" w:eastAsia="zh-CN" w:bidi="ar"/>
          <w14:textFill>
            <w14:solidFill>
              <w14:schemeClr w14:val="tx1"/>
            </w14:solidFill>
          </w14:textFill>
        </w:rPr>
        <w:t>本</w:t>
      </w:r>
      <w:r>
        <w:rPr>
          <w:rFonts w:hint="eastAsia" w:ascii="宋体" w:hAnsi="宋体" w:cs="宋体"/>
          <w:b w:val="0"/>
          <w:bCs w:val="0"/>
          <w:color w:val="000000" w:themeColor="text1"/>
          <w:kern w:val="0"/>
          <w:sz w:val="24"/>
          <w:szCs w:val="24"/>
          <w:lang w:val="en-US" w:eastAsia="zh-CN" w:bidi="ar"/>
          <w14:textFill>
            <w14:solidFill>
              <w14:schemeClr w14:val="tx1"/>
            </w14:solidFill>
          </w14:textFill>
        </w:rPr>
        <w:t>条款</w:t>
      </w:r>
      <w:r>
        <w:rPr>
          <w:rFonts w:hint="eastAsia" w:ascii="宋体" w:hAnsi="宋体" w:eastAsia="宋体" w:cs="宋体"/>
          <w:b w:val="0"/>
          <w:bCs w:val="0"/>
          <w:color w:val="000000" w:themeColor="text1"/>
          <w:kern w:val="0"/>
          <w:sz w:val="24"/>
          <w:szCs w:val="24"/>
          <w:lang w:val="en-US" w:eastAsia="zh-CN" w:bidi="ar"/>
          <w14:textFill>
            <w14:solidFill>
              <w14:schemeClr w14:val="tx1"/>
            </w14:solidFill>
          </w14:textFill>
        </w:rPr>
        <w:t>列出本标准中涉及到的“各项可持续发展关注议题与标准条款对照信息”，旨在方便可持续要素检索查询使用。</w:t>
      </w:r>
    </w:p>
    <w:p w14:paraId="5CA3BAFB">
      <w:pPr>
        <w:pStyle w:val="5"/>
        <w:numPr>
          <w:ilvl w:val="0"/>
          <w:numId w:val="0"/>
        </w:numPr>
        <w:spacing w:line="360" w:lineRule="auto"/>
        <w:jc w:val="left"/>
        <w:rPr>
          <w:rFonts w:hint="eastAsia" w:ascii="Segoe UI" w:hAnsi="Segoe UI" w:eastAsia="宋体" w:cs="Segoe UI"/>
          <w:color w:val="auto"/>
          <w:sz w:val="21"/>
          <w:szCs w:val="21"/>
          <w:highlight w:val="none"/>
          <w:shd w:val="clear" w:color="auto" w:fill="FDFDFE"/>
        </w:rPr>
      </w:pPr>
    </w:p>
    <w:sectPr>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Math">
    <w:panose1 w:val="02040503050406030204"/>
    <w:charset w:val="00"/>
    <w:family w:val="auto"/>
    <w:pitch w:val="default"/>
    <w:sig w:usb0="E00006FF" w:usb1="420024FF" w:usb2="02000000" w:usb3="00000000" w:csb0="2000019F" w:csb1="00000000"/>
  </w:font>
  <w:font w:name="STSong-Light">
    <w:altName w:val="Times New Roman"/>
    <w:panose1 w:val="00000000000000000000"/>
    <w:charset w:val="00"/>
    <w:family w:val="auto"/>
    <w:pitch w:val="default"/>
    <w:sig w:usb0="00000000" w:usb1="00000000" w:usb2="00000000" w:usb3="00000000" w:csb0="00040001"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Segoe UI">
    <w:panose1 w:val="020B0502040204020203"/>
    <w:charset w:val="00"/>
    <w:family w:val="auto"/>
    <w:pitch w:val="default"/>
    <w:sig w:usb0="E4002EFF" w:usb1="C000E47F"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735B2B">
    <w:pPr>
      <w:pStyle w:val="8"/>
      <w:jc w:val="cente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51532C1">
                          <w:pPr>
                            <w:pStyle w:val="8"/>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051532C1">
                    <w:pPr>
                      <w:pStyle w:val="8"/>
                    </w:pPr>
                    <w:r>
                      <w:fldChar w:fldCharType="begin"/>
                    </w:r>
                    <w:r>
                      <w:instrText xml:space="preserve"> PAGE  \* MERGEFORMAT </w:instrText>
                    </w:r>
                    <w:r>
                      <w:fldChar w:fldCharType="separate"/>
                    </w:r>
                    <w:r>
                      <w:t>1</w:t>
                    </w:r>
                    <w:r>
                      <w:fldChar w:fldCharType="end"/>
                    </w:r>
                  </w:p>
                </w:txbxContent>
              </v:textbox>
            </v:shape>
          </w:pict>
        </mc:Fallback>
      </mc:AlternateContent>
    </w:r>
  </w:p>
  <w:p w14:paraId="0715C302">
    <w:pPr>
      <w:pStyle w:val="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29125A">
    <w:pPr>
      <w:pStyle w:val="8"/>
      <w:jc w:val="cen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68F2244">
                          <w:pPr>
                            <w:pStyle w:val="8"/>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14:paraId="168F2244">
                    <w:pPr>
                      <w:pStyle w:val="8"/>
                    </w:pPr>
                    <w:r>
                      <w:fldChar w:fldCharType="begin"/>
                    </w:r>
                    <w:r>
                      <w:instrText xml:space="preserve"> PAGE  \* MERGEFORMAT </w:instrText>
                    </w:r>
                    <w:r>
                      <w:fldChar w:fldCharType="separate"/>
                    </w:r>
                    <w:r>
                      <w:t>1</w:t>
                    </w:r>
                    <w:r>
                      <w:fldChar w:fldCharType="end"/>
                    </w:r>
                  </w:p>
                </w:txbxContent>
              </v:textbox>
            </v:shape>
          </w:pict>
        </mc:Fallback>
      </mc:AlternateContent>
    </w:r>
  </w:p>
  <w:p w14:paraId="60651FE5">
    <w:pPr>
      <w:pStyle w:val="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A2E9E2">
    <w:pPr>
      <w:pStyle w:val="8"/>
      <w:jc w:val="both"/>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3640A05">
                          <w:pPr>
                            <w:pStyle w:val="8"/>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fill on="f" focussize="0,0"/>
              <v:stroke on="f" weight="0.5pt"/>
              <v:imagedata o:title=""/>
              <o:lock v:ext="edit" aspectratio="f"/>
              <v:textbox inset="0mm,0mm,0mm,0mm" style="mso-fit-shape-to-text:t;">
                <w:txbxContent>
                  <w:p w14:paraId="03640A05">
                    <w:pPr>
                      <w:pStyle w:val="8"/>
                    </w:pPr>
                    <w:r>
                      <w:fldChar w:fldCharType="begin"/>
                    </w:r>
                    <w:r>
                      <w:instrText xml:space="preserve"> PAGE  \* MERGEFORMAT </w:instrText>
                    </w:r>
                    <w:r>
                      <w:fldChar w:fldCharType="separate"/>
                    </w:r>
                    <w:r>
                      <w:t>1</w:t>
                    </w:r>
                    <w:r>
                      <w:fldChar w:fldCharType="end"/>
                    </w:r>
                  </w:p>
                </w:txbxContent>
              </v:textbox>
            </v:shape>
          </w:pict>
        </mc:Fallback>
      </mc:AlternateContent>
    </w:r>
  </w:p>
  <w:p w14:paraId="0C635A75">
    <w:pPr>
      <w:pStyle w:val="8"/>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9FD3CF">
    <w:pPr>
      <w:pStyle w:val="8"/>
      <w:jc w:val="center"/>
    </w:pPr>
    <w:r>
      <w:rPr>
        <w:rFonts w:ascii="Calibri" w:hAnsi="Calibri" w:eastAsia="宋体" w:cs="黑体"/>
        <w:kern w:val="2"/>
        <w:sz w:val="18"/>
        <w:szCs w:val="18"/>
        <w:lang w:val="en-US" w:eastAsia="zh-CN" w:bidi="ar-SA"/>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
              <wp:cNvGraphicFramePr/>
              <a:graphic xmlns:a="http://schemas.openxmlformats.org/drawingml/2006/main">
                <a:graphicData uri="http://schemas.microsoft.com/office/word/2010/wordprocessingShape">
                  <wps:wsp>
                    <wps:cNvSpPr/>
                    <wps:spPr>
                      <a:xfrm>
                        <a:off x="0" y="0"/>
                        <a:ext cx="1828800" cy="1828800"/>
                      </a:xfrm>
                      <a:prstGeom prst="rect">
                        <a:avLst/>
                      </a:prstGeom>
                      <a:noFill/>
                      <a:ln>
                        <a:noFill/>
                      </a:ln>
                    </wps:spPr>
                    <wps:txbx>
                      <w:txbxContent>
                        <w:p w14:paraId="48F21FDA">
                          <w:pPr>
                            <w:pStyle w:val="8"/>
                          </w:pPr>
                          <w:r>
                            <w:fldChar w:fldCharType="begin"/>
                          </w:r>
                          <w:r>
                            <w:instrText xml:space="preserve"> PAGE  \* MERGEFORMAT </w:instrText>
                          </w:r>
                          <w:r>
                            <w:fldChar w:fldCharType="separate"/>
                          </w:r>
                          <w:r>
                            <w:t>22</w:t>
                          </w:r>
                          <w:r>
                            <w:fldChar w:fldCharType="end"/>
                          </w:r>
                        </w:p>
                      </w:txbxContent>
                    </wps:txbx>
                    <wps:bodyPr wrap="none" lIns="0" tIns="0" rIns="0" bIns="0" upright="0">
                      <a:spAutoFit/>
                    </wps:bodyPr>
                  </wps:wsp>
                </a:graphicData>
              </a:graphic>
            </wp:anchor>
          </w:drawing>
        </mc:Choice>
        <mc:Fallback>
          <w:pict>
            <v:rect id="文本框 1" o:spid="_x0000_s1026" o:spt="1"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C5dblS0AAAAAUBAAAPAAAAAAAAAAEAIAAAACIAAABkcnMvZG93bnJldi54bWxQSwEC&#10;FAAUAAAACACHTuJASNWcicMBAACPAwAADgAAAAAAAAABACAAAAAfAQAAZHJzL2Uyb0RvYy54bWxQ&#10;SwUGAAAAAAYABgBZAQAAVAUAAAAA&#10;">
              <v:fill on="f" focussize="0,0"/>
              <v:stroke on="f"/>
              <v:imagedata o:title=""/>
              <o:lock v:ext="edit" aspectratio="f"/>
              <v:textbox inset="0mm,0mm,0mm,0mm" style="mso-fit-shape-to-text:t;">
                <w:txbxContent>
                  <w:p w14:paraId="48F21FDA">
                    <w:pPr>
                      <w:pStyle w:val="8"/>
                    </w:pPr>
                    <w:r>
                      <w:fldChar w:fldCharType="begin"/>
                    </w:r>
                    <w:r>
                      <w:instrText xml:space="preserve"> PAGE  \* MERGEFORMAT </w:instrText>
                    </w:r>
                    <w:r>
                      <w:fldChar w:fldCharType="separate"/>
                    </w:r>
                    <w:r>
                      <w:t>22</w:t>
                    </w:r>
                    <w:r>
                      <w:fldChar w:fldCharType="end"/>
                    </w:r>
                  </w:p>
                </w:txbxContent>
              </v:textbox>
            </v:rect>
          </w:pict>
        </mc:Fallback>
      </mc:AlternateContent>
    </w:r>
  </w:p>
  <w:p w14:paraId="61A2AA5E">
    <w:pPr>
      <w:pStyle w:val="8"/>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6464E4">
    <w:pPr>
      <w:pStyle w:val="8"/>
      <w:jc w:val="center"/>
    </w:pPr>
    <w:r>
      <w:rPr>
        <w:rFonts w:ascii="Calibri" w:hAnsi="Calibri" w:eastAsia="宋体" w:cs="黑体"/>
        <w:kern w:val="2"/>
        <w:sz w:val="18"/>
        <w:szCs w:val="18"/>
        <w:lang w:val="en-US" w:eastAsia="zh-CN" w:bidi="ar-SA"/>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wps:spPr>
                      <a:xfrm>
                        <a:off x="0" y="0"/>
                        <a:ext cx="1828800" cy="1828800"/>
                      </a:xfrm>
                      <a:prstGeom prst="rect">
                        <a:avLst/>
                      </a:prstGeom>
                      <a:noFill/>
                      <a:ln>
                        <a:noFill/>
                      </a:ln>
                    </wps:spPr>
                    <wps:txbx>
                      <w:txbxContent>
                        <w:p w14:paraId="626372ED">
                          <w:pPr>
                            <w:pStyle w:val="8"/>
                          </w:pPr>
                          <w:r>
                            <w:fldChar w:fldCharType="begin"/>
                          </w:r>
                          <w:r>
                            <w:instrText xml:space="preserve"> PAGE  \* MERGEFORMAT </w:instrText>
                          </w:r>
                          <w:r>
                            <w:fldChar w:fldCharType="separate"/>
                          </w:r>
                          <w:r>
                            <w:t>35</w:t>
                          </w:r>
                          <w:r>
                            <w:fldChar w:fldCharType="end"/>
                          </w:r>
                        </w:p>
                      </w:txbxContent>
                    </wps:txbx>
                    <wps:bodyPr wrap="none" lIns="0" tIns="0" rIns="0" bIns="0" upright="0">
                      <a:spAutoFit/>
                    </wps:bodyPr>
                  </wps:wsp>
                </a:graphicData>
              </a:graphic>
            </wp:anchor>
          </w:drawing>
        </mc:Choice>
        <mc:Fallback>
          <w:pict>
            <v:rect id="文本框 5" o:spid="_x0000_s1026" o:spt="1"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uXW5UtAAAAAFAQAADwAAAAAAAAABACAAAAAiAAAAZHJzL2Rvd25yZXYueG1sUEsB&#10;AhQAFAAAAAgAh07iQAUnjJ/EAQAAjwMAAA4AAAAAAAAAAQAgAAAAHwEAAGRycy9lMm9Eb2MueG1s&#10;UEsFBgAAAAAGAAYAWQEAAFUFAAAAAA==&#10;">
              <v:fill on="f" focussize="0,0"/>
              <v:stroke on="f"/>
              <v:imagedata o:title=""/>
              <o:lock v:ext="edit" aspectratio="f"/>
              <v:textbox inset="0mm,0mm,0mm,0mm" style="mso-fit-shape-to-text:t;">
                <w:txbxContent>
                  <w:p w14:paraId="626372ED">
                    <w:pPr>
                      <w:pStyle w:val="8"/>
                    </w:pPr>
                    <w:r>
                      <w:fldChar w:fldCharType="begin"/>
                    </w:r>
                    <w:r>
                      <w:instrText xml:space="preserve"> PAGE  \* MERGEFORMAT </w:instrText>
                    </w:r>
                    <w:r>
                      <w:fldChar w:fldCharType="separate"/>
                    </w:r>
                    <w:r>
                      <w:t>35</w:t>
                    </w:r>
                    <w:r>
                      <w:fldChar w:fldCharType="end"/>
                    </w:r>
                  </w:p>
                </w:txbxContent>
              </v:textbox>
            </v:rect>
          </w:pict>
        </mc:Fallback>
      </mc:AlternateContent>
    </w:r>
  </w:p>
  <w:p w14:paraId="032C158B">
    <w:pPr>
      <w:pStyle w:val="8"/>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7829CE">
    <w:pPr>
      <w:pStyle w:val="8"/>
      <w:jc w:val="center"/>
    </w:pPr>
    <w:r>
      <w:rPr>
        <w:rFonts w:ascii="Calibri" w:hAnsi="Calibri" w:eastAsia="宋体" w:cs="黑体"/>
        <w:kern w:val="2"/>
        <w:sz w:val="18"/>
        <w:szCs w:val="18"/>
        <w:lang w:val="en-US" w:eastAsia="zh-CN" w:bidi="ar-SA"/>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8"/>
              <wp:cNvGraphicFramePr/>
              <a:graphic xmlns:a="http://schemas.openxmlformats.org/drawingml/2006/main">
                <a:graphicData uri="http://schemas.microsoft.com/office/word/2010/wordprocessingShape">
                  <wps:wsp>
                    <wps:cNvSpPr/>
                    <wps:spPr>
                      <a:xfrm>
                        <a:off x="0" y="0"/>
                        <a:ext cx="1828800" cy="1828800"/>
                      </a:xfrm>
                      <a:prstGeom prst="rect">
                        <a:avLst/>
                      </a:prstGeom>
                      <a:noFill/>
                      <a:ln>
                        <a:noFill/>
                      </a:ln>
                    </wps:spPr>
                    <wps:txbx>
                      <w:txbxContent>
                        <w:p w14:paraId="0E24895B">
                          <w:pPr>
                            <w:pStyle w:val="8"/>
                          </w:pPr>
                          <w:r>
                            <w:fldChar w:fldCharType="begin"/>
                          </w:r>
                          <w:r>
                            <w:instrText xml:space="preserve"> PAGE  \* MERGEFORMAT </w:instrText>
                          </w:r>
                          <w:r>
                            <w:fldChar w:fldCharType="separate"/>
                          </w:r>
                          <w:r>
                            <w:t>84</w:t>
                          </w:r>
                          <w:r>
                            <w:fldChar w:fldCharType="end"/>
                          </w:r>
                        </w:p>
                      </w:txbxContent>
                    </wps:txbx>
                    <wps:bodyPr wrap="none" lIns="0" tIns="0" rIns="0" bIns="0" upright="0">
                      <a:spAutoFit/>
                    </wps:bodyPr>
                  </wps:wsp>
                </a:graphicData>
              </a:graphic>
            </wp:anchor>
          </w:drawing>
        </mc:Choice>
        <mc:Fallback>
          <w:pict>
            <v:rect id="文本框 8" o:spid="_x0000_s1026" o:spt="1"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C5dblS0AAAAAUBAAAPAAAAAAAAAAEAIAAAACIAAABkcnMvZG93bnJldi54bWxQSwEC&#10;FAAUAAAACACHTuJAG4JGt8MBAACPAwAADgAAAAAAAAABACAAAAAfAQAAZHJzL2Uyb0RvYy54bWxQ&#10;SwUGAAAAAAYABgBZAQAAVAUAAAAA&#10;">
              <v:fill on="f" focussize="0,0"/>
              <v:stroke on="f"/>
              <v:imagedata o:title=""/>
              <o:lock v:ext="edit" aspectratio="f"/>
              <v:textbox inset="0mm,0mm,0mm,0mm" style="mso-fit-shape-to-text:t;">
                <w:txbxContent>
                  <w:p w14:paraId="0E24895B">
                    <w:pPr>
                      <w:pStyle w:val="8"/>
                    </w:pPr>
                    <w:r>
                      <w:fldChar w:fldCharType="begin"/>
                    </w:r>
                    <w:r>
                      <w:instrText xml:space="preserve"> PAGE  \* MERGEFORMAT </w:instrText>
                    </w:r>
                    <w:r>
                      <w:fldChar w:fldCharType="separate"/>
                    </w:r>
                    <w:r>
                      <w:t>84</w:t>
                    </w:r>
                    <w:r>
                      <w:fldChar w:fldCharType="end"/>
                    </w:r>
                  </w:p>
                </w:txbxContent>
              </v:textbox>
            </v:rect>
          </w:pict>
        </mc:Fallback>
      </mc:AlternateContent>
    </w:r>
  </w:p>
  <w:p w14:paraId="26855C73">
    <w:pPr>
      <w:pStyle w:val="8"/>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B0AEB9">
    <w:pPr>
      <w:pStyle w:val="8"/>
      <w:jc w:val="cente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7237058">
                          <w:pPr>
                            <w:pStyle w:val="8"/>
                          </w:pPr>
                          <w:r>
                            <w:fldChar w:fldCharType="begin"/>
                          </w:r>
                          <w:r>
                            <w:instrText xml:space="preserve"> PAGE  \* MERGEFORMAT </w:instrText>
                          </w:r>
                          <w:r>
                            <w:fldChar w:fldCharType="separate"/>
                          </w:r>
                          <w:r>
                            <w:t>54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mor5U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pqK+VMQIAAGMEAAAOAAAAAAAAAAEAIAAAAB8BAABkcnMvZTJvRG9jLnhtbFBLBQYA&#10;AAAABgAGAFkBAADCBQAAAAA=&#10;">
              <v:fill on="f" focussize="0,0"/>
              <v:stroke on="f" weight="0.5pt"/>
              <v:imagedata o:title=""/>
              <o:lock v:ext="edit" aspectratio="f"/>
              <v:textbox inset="0mm,0mm,0mm,0mm" style="mso-fit-shape-to-text:t;">
                <w:txbxContent>
                  <w:p w14:paraId="27237058">
                    <w:pPr>
                      <w:pStyle w:val="8"/>
                    </w:pPr>
                    <w:r>
                      <w:fldChar w:fldCharType="begin"/>
                    </w:r>
                    <w:r>
                      <w:instrText xml:space="preserve"> PAGE  \* MERGEFORMAT </w:instrText>
                    </w:r>
                    <w:r>
                      <w:fldChar w:fldCharType="separate"/>
                    </w:r>
                    <w:r>
                      <w:t>54</w:t>
                    </w:r>
                    <w:r>
                      <w:fldChar w:fldCharType="end"/>
                    </w:r>
                  </w:p>
                </w:txbxContent>
              </v:textbox>
            </v:shape>
          </w:pict>
        </mc:Fallback>
      </mc:AlternateContent>
    </w:r>
  </w:p>
  <w:p w14:paraId="7D5596E5">
    <w:pPr>
      <w:pStyle w:val="8"/>
      <w:tabs>
        <w:tab w:val="clear" w:pos="4153"/>
      </w:tabs>
      <w:jc w:val="both"/>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E8E7B3">
    <w:pPr>
      <w:pStyle w:val="8"/>
      <w:jc w:val="center"/>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15F49CF">
                          <w:pPr>
                            <w:pStyle w:val="8"/>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AOHox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rADh6MQIAAGMEAAAOAAAAAAAAAAEAIAAAAB8BAABkcnMvZTJvRG9jLnhtbFBLBQYA&#10;AAAABgAGAFkBAADCBQAAAAA=&#10;">
              <v:fill on="f" focussize="0,0"/>
              <v:stroke on="f" weight="0.5pt"/>
              <v:imagedata o:title=""/>
              <o:lock v:ext="edit" aspectratio="f"/>
              <v:textbox inset="0mm,0mm,0mm,0mm" style="mso-fit-shape-to-text:t;">
                <w:txbxContent>
                  <w:p w14:paraId="415F49CF">
                    <w:pPr>
                      <w:pStyle w:val="8"/>
                    </w:pPr>
                    <w:r>
                      <w:fldChar w:fldCharType="begin"/>
                    </w:r>
                    <w:r>
                      <w:instrText xml:space="preserve"> PAGE  \* MERGEFORMAT </w:instrText>
                    </w:r>
                    <w:r>
                      <w:fldChar w:fldCharType="separate"/>
                    </w:r>
                    <w:r>
                      <w:t>1</w:t>
                    </w:r>
                    <w:r>
                      <w:fldChar w:fldCharType="end"/>
                    </w:r>
                  </w:p>
                </w:txbxContent>
              </v:textbox>
            </v:shape>
          </w:pict>
        </mc:Fallback>
      </mc:AlternateContent>
    </w:r>
  </w:p>
  <w:p w14:paraId="452EA43A">
    <w:pPr>
      <w:pStyle w:val="8"/>
      <w:tabs>
        <w:tab w:val="clear" w:pos="4153"/>
      </w:tabs>
      <w:jc w:val="cente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6A999B">
    <w:pPr>
      <w:pStyle w:val="8"/>
      <w:jc w:val="cente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4CDC2A4">
                          <w:pPr>
                            <w:pStyle w:val="8"/>
                          </w:pPr>
                          <w:r>
                            <w:fldChar w:fldCharType="begin"/>
                          </w:r>
                          <w:r>
                            <w:instrText xml:space="preserve"> PAGE  \* MERGEFORMAT </w:instrText>
                          </w:r>
                          <w:r>
                            <w:fldChar w:fldCharType="separate"/>
                          </w:r>
                          <w:r>
                            <w:t>84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bVWnMqAgAAVQ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CbVWnMqAgAAVQQAAA4AAAAAAAAAAQAgAAAAHwEAAGRycy9lMm9Eb2MueG1sUEsFBgAAAAAGAAYA&#10;WQEAALsFAAAAAA==&#10;">
              <v:fill on="f" focussize="0,0"/>
              <v:stroke on="f" weight="0.5pt"/>
              <v:imagedata o:title=""/>
              <o:lock v:ext="edit" aspectratio="f"/>
              <v:textbox inset="0mm,0mm,0mm,0mm" style="mso-fit-shape-to-text:t;">
                <w:txbxContent>
                  <w:p w14:paraId="34CDC2A4">
                    <w:pPr>
                      <w:pStyle w:val="8"/>
                    </w:pPr>
                    <w:r>
                      <w:fldChar w:fldCharType="begin"/>
                    </w:r>
                    <w:r>
                      <w:instrText xml:space="preserve"> PAGE  \* MERGEFORMAT </w:instrText>
                    </w:r>
                    <w:r>
                      <w:fldChar w:fldCharType="separate"/>
                    </w:r>
                    <w:r>
                      <w:t>84</w:t>
                    </w:r>
                    <w:r>
                      <w:fldChar w:fldCharType="end"/>
                    </w:r>
                  </w:p>
                </w:txbxContent>
              </v:textbox>
            </v:shape>
          </w:pict>
        </mc:Fallback>
      </mc:AlternateContent>
    </w:r>
  </w:p>
  <w:p w14:paraId="1A1EB4C6">
    <w:pPr>
      <w:pStyle w:val="8"/>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0E9081">
    <w:pPr>
      <w:pStyle w:val="8"/>
      <w:jc w:val="cente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DF86EB7">
                          <w:pPr>
                            <w:pStyle w:val="8"/>
                          </w:pPr>
                          <w:r>
                            <w:fldChar w:fldCharType="begin"/>
                          </w:r>
                          <w:r>
                            <w:instrText xml:space="preserve"> PAGE  \* MERGEFORMAT </w:instrText>
                          </w:r>
                          <w:r>
                            <w:fldChar w:fldCharType="separate"/>
                          </w:r>
                          <w:r>
                            <w:t>84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LQ8m0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y0PJtKwIAAFUEAAAOAAAAAAAAAAEAIAAAAB8BAABkcnMvZTJvRG9jLnhtbFBLBQYAAAAABgAG&#10;AFkBAAC8BQAAAAA=&#10;">
              <v:fill on="f" focussize="0,0"/>
              <v:stroke on="f" weight="0.5pt"/>
              <v:imagedata o:title=""/>
              <o:lock v:ext="edit" aspectratio="f"/>
              <v:textbox inset="0mm,0mm,0mm,0mm" style="mso-fit-shape-to-text:t;">
                <w:txbxContent>
                  <w:p w14:paraId="0DF86EB7">
                    <w:pPr>
                      <w:pStyle w:val="8"/>
                    </w:pPr>
                    <w:r>
                      <w:fldChar w:fldCharType="begin"/>
                    </w:r>
                    <w:r>
                      <w:instrText xml:space="preserve"> PAGE  \* MERGEFORMAT </w:instrText>
                    </w:r>
                    <w:r>
                      <w:fldChar w:fldCharType="separate"/>
                    </w:r>
                    <w:r>
                      <w:t>84</w:t>
                    </w:r>
                    <w:r>
                      <w:fldChar w:fldCharType="end"/>
                    </w:r>
                  </w:p>
                </w:txbxContent>
              </v:textbox>
            </v:shape>
          </w:pict>
        </mc:Fallback>
      </mc:AlternateContent>
    </w:r>
  </w:p>
  <w:p w14:paraId="55609F05">
    <w:pPr>
      <w:pStyle w:val="8"/>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9048226"/>
    <w:multiLevelType w:val="singleLevel"/>
    <w:tmpl w:val="A9048226"/>
    <w:lvl w:ilvl="0" w:tentative="0">
      <w:start w:val="1"/>
      <w:numFmt w:val="decimal"/>
      <w:suff w:val="nothing"/>
      <w:lvlText w:val="%1）"/>
      <w:lvlJc w:val="left"/>
    </w:lvl>
  </w:abstractNum>
  <w:abstractNum w:abstractNumId="1">
    <w:nsid w:val="657D3FBC"/>
    <w:multiLevelType w:val="multilevel"/>
    <w:tmpl w:val="657D3FBC"/>
    <w:lvl w:ilvl="0" w:tentative="0">
      <w:start w:val="1"/>
      <w:numFmt w:val="upperLetter"/>
      <w:suff w:val="nothing"/>
      <w:lvlText w:val="附录%1"/>
      <w:lvlJc w:val="left"/>
      <w:pPr>
        <w:ind w:left="0" w:firstLine="0"/>
      </w:pPr>
      <w:rPr>
        <w:rFonts w:ascii="Cambria Math" w:hAnsi="Cambria Math" w:eastAsia="黑体"/>
      </w:rPr>
    </w:lvl>
    <w:lvl w:ilvl="1" w:tentative="0">
      <w:start w:val="1"/>
      <w:numFmt w:val="decimal"/>
      <w:pStyle w:val="27"/>
      <w:suff w:val="nothing"/>
      <w:lvlText w:val="%1.%2　"/>
      <w:lvlJc w:val="left"/>
      <w:pPr>
        <w:ind w:left="710" w:firstLine="0"/>
      </w:pPr>
      <w:rPr>
        <w:rFonts w:hint="eastAsia" w:ascii="黑体" w:eastAsia="黑体"/>
        <w:b w:val="0"/>
        <w:i w:val="0"/>
        <w:sz w:val="21"/>
      </w:rPr>
    </w:lvl>
    <w:lvl w:ilvl="2" w:tentative="0">
      <w:start w:val="1"/>
      <w:numFmt w:val="decimal"/>
      <w:pStyle w:val="26"/>
      <w:suff w:val="nothing"/>
      <w:lvlText w:val="%1.%2.%3　"/>
      <w:lvlJc w:val="left"/>
      <w:pPr>
        <w:ind w:left="0" w:firstLine="0"/>
      </w:pPr>
      <w:rPr>
        <w:rFonts w:hint="eastAsia" w:ascii="黑体" w:eastAsia="黑体"/>
        <w:b w:val="0"/>
        <w:i w:val="0"/>
        <w:sz w:val="21"/>
      </w:rPr>
    </w:lvl>
    <w:lvl w:ilvl="3" w:tentative="0">
      <w:start w:val="1"/>
      <w:numFmt w:val="decimal"/>
      <w:suff w:val="nothing"/>
      <w:lvlText w:val="%1.%2.%3.%4　"/>
      <w:lvlJc w:val="left"/>
      <w:pPr>
        <w:ind w:left="0" w:firstLine="0"/>
      </w:pPr>
      <w:rPr>
        <w:rFonts w:hint="eastAsia" w:ascii="黑体" w:eastAsia="黑体"/>
        <w:b w:val="0"/>
        <w:i w:val="0"/>
        <w:sz w:val="21"/>
      </w:rPr>
    </w:lvl>
    <w:lvl w:ilvl="4" w:tentative="0">
      <w:start w:val="1"/>
      <w:numFmt w:val="decimal"/>
      <w:suff w:val="nothing"/>
      <w:lvlText w:val="%1.%2.%3.%4.%5　"/>
      <w:lvlJc w:val="left"/>
      <w:pPr>
        <w:ind w:left="0" w:firstLine="0"/>
      </w:pPr>
      <w:rPr>
        <w:rFonts w:hint="eastAsia" w:ascii="黑体" w:eastAsia="黑体"/>
        <w:b w:val="0"/>
        <w:i w:val="0"/>
        <w:sz w:val="21"/>
      </w:rPr>
    </w:lvl>
    <w:lvl w:ilvl="5" w:tentative="0">
      <w:start w:val="1"/>
      <w:numFmt w:val="decimal"/>
      <w:suff w:val="nothing"/>
      <w:lvlText w:val="%1.%2.%3.%4.%5.%6　"/>
      <w:lvlJc w:val="left"/>
      <w:pPr>
        <w:ind w:left="0" w:firstLine="0"/>
      </w:pPr>
      <w:rPr>
        <w:rFonts w:hint="eastAsia" w:ascii="黑体" w:eastAsia="黑体"/>
        <w:b w:val="0"/>
        <w:i w:val="0"/>
        <w:sz w:val="21"/>
      </w:rPr>
    </w:lvl>
    <w:lvl w:ilvl="6" w:tentative="0">
      <w:start w:val="1"/>
      <w:numFmt w:val="decimal"/>
      <w:suff w:val="nothing"/>
      <w:lvlText w:val="%1.%2.%3.%4.%5.%6.%7　"/>
      <w:lvlJc w:val="left"/>
      <w:pPr>
        <w:ind w:left="0" w:firstLine="0"/>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8"/>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ExYjlkZTU4M2YxMWYxY2YzY2YwMTRiY2I5NjkxMjEifQ=="/>
  </w:docVars>
  <w:rsids>
    <w:rsidRoot w:val="008B62DF"/>
    <w:rsid w:val="00095FF8"/>
    <w:rsid w:val="000D2C9E"/>
    <w:rsid w:val="000E0C2A"/>
    <w:rsid w:val="00134698"/>
    <w:rsid w:val="001D2C96"/>
    <w:rsid w:val="001F7A4B"/>
    <w:rsid w:val="00276D2E"/>
    <w:rsid w:val="002E14BF"/>
    <w:rsid w:val="002F2C60"/>
    <w:rsid w:val="00321640"/>
    <w:rsid w:val="00334838"/>
    <w:rsid w:val="00351E0B"/>
    <w:rsid w:val="003703C5"/>
    <w:rsid w:val="003D4A18"/>
    <w:rsid w:val="003F417C"/>
    <w:rsid w:val="003F7280"/>
    <w:rsid w:val="00420350"/>
    <w:rsid w:val="00472F7F"/>
    <w:rsid w:val="004A7A8D"/>
    <w:rsid w:val="004E357F"/>
    <w:rsid w:val="004E43BF"/>
    <w:rsid w:val="00502941"/>
    <w:rsid w:val="0051316A"/>
    <w:rsid w:val="00544CD9"/>
    <w:rsid w:val="00572233"/>
    <w:rsid w:val="0057395C"/>
    <w:rsid w:val="00586DF1"/>
    <w:rsid w:val="005A2D64"/>
    <w:rsid w:val="005B6633"/>
    <w:rsid w:val="005B68C7"/>
    <w:rsid w:val="005B6D99"/>
    <w:rsid w:val="005D199E"/>
    <w:rsid w:val="005F01CA"/>
    <w:rsid w:val="00640C33"/>
    <w:rsid w:val="006968B9"/>
    <w:rsid w:val="006D04C0"/>
    <w:rsid w:val="006E0D21"/>
    <w:rsid w:val="00710774"/>
    <w:rsid w:val="00724552"/>
    <w:rsid w:val="00753C1F"/>
    <w:rsid w:val="007A294F"/>
    <w:rsid w:val="007A3F85"/>
    <w:rsid w:val="007A5E88"/>
    <w:rsid w:val="007C15AF"/>
    <w:rsid w:val="0086788B"/>
    <w:rsid w:val="00876E7E"/>
    <w:rsid w:val="0087746F"/>
    <w:rsid w:val="008A2DAB"/>
    <w:rsid w:val="008B62DF"/>
    <w:rsid w:val="008E6997"/>
    <w:rsid w:val="008F2AEF"/>
    <w:rsid w:val="00950C99"/>
    <w:rsid w:val="00991ADF"/>
    <w:rsid w:val="009F066A"/>
    <w:rsid w:val="00A05850"/>
    <w:rsid w:val="00A26065"/>
    <w:rsid w:val="00AC7787"/>
    <w:rsid w:val="00B0507A"/>
    <w:rsid w:val="00B41526"/>
    <w:rsid w:val="00B52690"/>
    <w:rsid w:val="00BC6E12"/>
    <w:rsid w:val="00BD4653"/>
    <w:rsid w:val="00C32B79"/>
    <w:rsid w:val="00C37ECD"/>
    <w:rsid w:val="00C76A01"/>
    <w:rsid w:val="00C93A33"/>
    <w:rsid w:val="00CF24E3"/>
    <w:rsid w:val="00CF2CE6"/>
    <w:rsid w:val="00D04C2D"/>
    <w:rsid w:val="00D3475B"/>
    <w:rsid w:val="00D34F44"/>
    <w:rsid w:val="00D91EDB"/>
    <w:rsid w:val="00D95398"/>
    <w:rsid w:val="00DC71D7"/>
    <w:rsid w:val="00DD614D"/>
    <w:rsid w:val="00E02E17"/>
    <w:rsid w:val="00E11686"/>
    <w:rsid w:val="00EA33E9"/>
    <w:rsid w:val="00EC6338"/>
    <w:rsid w:val="00F20689"/>
    <w:rsid w:val="00F27441"/>
    <w:rsid w:val="00F60E89"/>
    <w:rsid w:val="00F85AB0"/>
    <w:rsid w:val="00FF4DE2"/>
    <w:rsid w:val="010C0CC0"/>
    <w:rsid w:val="01170221"/>
    <w:rsid w:val="01453029"/>
    <w:rsid w:val="014A102B"/>
    <w:rsid w:val="014E290D"/>
    <w:rsid w:val="014F03EF"/>
    <w:rsid w:val="015D0D5E"/>
    <w:rsid w:val="01627C78"/>
    <w:rsid w:val="01644AC6"/>
    <w:rsid w:val="016B66D8"/>
    <w:rsid w:val="016F0A91"/>
    <w:rsid w:val="0173411D"/>
    <w:rsid w:val="01752BF7"/>
    <w:rsid w:val="01802C9E"/>
    <w:rsid w:val="019057FC"/>
    <w:rsid w:val="01941F40"/>
    <w:rsid w:val="01A249C3"/>
    <w:rsid w:val="01AD5D30"/>
    <w:rsid w:val="01B12616"/>
    <w:rsid w:val="01B56049"/>
    <w:rsid w:val="01B666C0"/>
    <w:rsid w:val="01BD35AB"/>
    <w:rsid w:val="01C97943"/>
    <w:rsid w:val="01D5256F"/>
    <w:rsid w:val="01D628BE"/>
    <w:rsid w:val="01D778B7"/>
    <w:rsid w:val="01DA740F"/>
    <w:rsid w:val="01E11975"/>
    <w:rsid w:val="01E17645"/>
    <w:rsid w:val="01E47804"/>
    <w:rsid w:val="01EC67E2"/>
    <w:rsid w:val="01FE5971"/>
    <w:rsid w:val="02056D00"/>
    <w:rsid w:val="02070CCA"/>
    <w:rsid w:val="022D6A79"/>
    <w:rsid w:val="02325B35"/>
    <w:rsid w:val="02355837"/>
    <w:rsid w:val="023D1721"/>
    <w:rsid w:val="025232F8"/>
    <w:rsid w:val="02697288"/>
    <w:rsid w:val="02720839"/>
    <w:rsid w:val="02746243"/>
    <w:rsid w:val="027C5214"/>
    <w:rsid w:val="02834E5D"/>
    <w:rsid w:val="028419DB"/>
    <w:rsid w:val="02881B10"/>
    <w:rsid w:val="028D7B75"/>
    <w:rsid w:val="02A23CC7"/>
    <w:rsid w:val="02A75873"/>
    <w:rsid w:val="02B8630A"/>
    <w:rsid w:val="02C1356F"/>
    <w:rsid w:val="02C40969"/>
    <w:rsid w:val="02CA52EB"/>
    <w:rsid w:val="02DD1A2B"/>
    <w:rsid w:val="02E07C3D"/>
    <w:rsid w:val="02E1212F"/>
    <w:rsid w:val="02E945CE"/>
    <w:rsid w:val="02EB6973"/>
    <w:rsid w:val="02F20CE6"/>
    <w:rsid w:val="02F82A05"/>
    <w:rsid w:val="03004097"/>
    <w:rsid w:val="03047562"/>
    <w:rsid w:val="030B65CD"/>
    <w:rsid w:val="03123DCA"/>
    <w:rsid w:val="031713E0"/>
    <w:rsid w:val="031B4CF6"/>
    <w:rsid w:val="032D1EB1"/>
    <w:rsid w:val="0336401E"/>
    <w:rsid w:val="03440DDF"/>
    <w:rsid w:val="03480157"/>
    <w:rsid w:val="03777E76"/>
    <w:rsid w:val="03887BE8"/>
    <w:rsid w:val="03896E85"/>
    <w:rsid w:val="038B723F"/>
    <w:rsid w:val="039B3DC0"/>
    <w:rsid w:val="039B5B6E"/>
    <w:rsid w:val="03A10CAA"/>
    <w:rsid w:val="03A367D0"/>
    <w:rsid w:val="03A71AC9"/>
    <w:rsid w:val="03A857EB"/>
    <w:rsid w:val="03AF786B"/>
    <w:rsid w:val="03CC5D27"/>
    <w:rsid w:val="03D16A4C"/>
    <w:rsid w:val="03D270B5"/>
    <w:rsid w:val="03D35307"/>
    <w:rsid w:val="03EB48F9"/>
    <w:rsid w:val="03EC28C7"/>
    <w:rsid w:val="03F046FE"/>
    <w:rsid w:val="040D1973"/>
    <w:rsid w:val="041A2636"/>
    <w:rsid w:val="04303038"/>
    <w:rsid w:val="04333FF8"/>
    <w:rsid w:val="04505C44"/>
    <w:rsid w:val="04602913"/>
    <w:rsid w:val="046C030B"/>
    <w:rsid w:val="047D1717"/>
    <w:rsid w:val="049D5915"/>
    <w:rsid w:val="04A019C1"/>
    <w:rsid w:val="04AB3B8E"/>
    <w:rsid w:val="04B90A8E"/>
    <w:rsid w:val="04E229D4"/>
    <w:rsid w:val="04EE6171"/>
    <w:rsid w:val="04FD682D"/>
    <w:rsid w:val="04FD7924"/>
    <w:rsid w:val="04FF3EDA"/>
    <w:rsid w:val="05000558"/>
    <w:rsid w:val="05056D9E"/>
    <w:rsid w:val="05201F6C"/>
    <w:rsid w:val="052B6D68"/>
    <w:rsid w:val="052D6C99"/>
    <w:rsid w:val="0534627A"/>
    <w:rsid w:val="054317C7"/>
    <w:rsid w:val="05450282"/>
    <w:rsid w:val="05454D2E"/>
    <w:rsid w:val="05524952"/>
    <w:rsid w:val="05526700"/>
    <w:rsid w:val="055C757F"/>
    <w:rsid w:val="05882122"/>
    <w:rsid w:val="05A056BD"/>
    <w:rsid w:val="05A05CB3"/>
    <w:rsid w:val="05A14F91"/>
    <w:rsid w:val="05A24F6B"/>
    <w:rsid w:val="05C6677D"/>
    <w:rsid w:val="05D13AC9"/>
    <w:rsid w:val="05D413EE"/>
    <w:rsid w:val="05D6149F"/>
    <w:rsid w:val="05F91114"/>
    <w:rsid w:val="05FB28F4"/>
    <w:rsid w:val="06044A6E"/>
    <w:rsid w:val="06085F06"/>
    <w:rsid w:val="060F639F"/>
    <w:rsid w:val="06187C2B"/>
    <w:rsid w:val="061D0ABC"/>
    <w:rsid w:val="06372455"/>
    <w:rsid w:val="06412CF6"/>
    <w:rsid w:val="06473856"/>
    <w:rsid w:val="06502EB6"/>
    <w:rsid w:val="065101E4"/>
    <w:rsid w:val="066A1681"/>
    <w:rsid w:val="06791542"/>
    <w:rsid w:val="06824ED8"/>
    <w:rsid w:val="068E3768"/>
    <w:rsid w:val="06932F86"/>
    <w:rsid w:val="06BD5A59"/>
    <w:rsid w:val="06C2358F"/>
    <w:rsid w:val="06CE1DB6"/>
    <w:rsid w:val="06E71900"/>
    <w:rsid w:val="06EA597A"/>
    <w:rsid w:val="07091F89"/>
    <w:rsid w:val="070B125C"/>
    <w:rsid w:val="0724689D"/>
    <w:rsid w:val="07300CC3"/>
    <w:rsid w:val="073775BE"/>
    <w:rsid w:val="074B1659"/>
    <w:rsid w:val="07510C8F"/>
    <w:rsid w:val="07602C49"/>
    <w:rsid w:val="076507FF"/>
    <w:rsid w:val="076C089F"/>
    <w:rsid w:val="077961C6"/>
    <w:rsid w:val="07807554"/>
    <w:rsid w:val="078124B7"/>
    <w:rsid w:val="07854B6B"/>
    <w:rsid w:val="078D3A1F"/>
    <w:rsid w:val="079528D4"/>
    <w:rsid w:val="07966D78"/>
    <w:rsid w:val="079C1EB4"/>
    <w:rsid w:val="07A82607"/>
    <w:rsid w:val="07AA5B4E"/>
    <w:rsid w:val="07AF72FA"/>
    <w:rsid w:val="07D36815"/>
    <w:rsid w:val="07DC069D"/>
    <w:rsid w:val="07DF310E"/>
    <w:rsid w:val="07E22CA3"/>
    <w:rsid w:val="07EE2A40"/>
    <w:rsid w:val="0801278C"/>
    <w:rsid w:val="08012E66"/>
    <w:rsid w:val="0802597B"/>
    <w:rsid w:val="0805007C"/>
    <w:rsid w:val="080A5D13"/>
    <w:rsid w:val="081215DE"/>
    <w:rsid w:val="082446C5"/>
    <w:rsid w:val="082877A1"/>
    <w:rsid w:val="08397C29"/>
    <w:rsid w:val="084A4763"/>
    <w:rsid w:val="084E1401"/>
    <w:rsid w:val="08591B53"/>
    <w:rsid w:val="087D5842"/>
    <w:rsid w:val="088210AA"/>
    <w:rsid w:val="08844E22"/>
    <w:rsid w:val="08852948"/>
    <w:rsid w:val="08A25F5F"/>
    <w:rsid w:val="08AA4E73"/>
    <w:rsid w:val="08B529A8"/>
    <w:rsid w:val="08B7391C"/>
    <w:rsid w:val="08D37B4B"/>
    <w:rsid w:val="08DA18D2"/>
    <w:rsid w:val="08DE5DED"/>
    <w:rsid w:val="08E77D52"/>
    <w:rsid w:val="08FD4C21"/>
    <w:rsid w:val="090E16DC"/>
    <w:rsid w:val="093408ED"/>
    <w:rsid w:val="093B6A50"/>
    <w:rsid w:val="094062DA"/>
    <w:rsid w:val="09433E68"/>
    <w:rsid w:val="094C3BEA"/>
    <w:rsid w:val="094D1F28"/>
    <w:rsid w:val="094F5738"/>
    <w:rsid w:val="09554AF8"/>
    <w:rsid w:val="096D3B08"/>
    <w:rsid w:val="09872AAA"/>
    <w:rsid w:val="09B97B68"/>
    <w:rsid w:val="09BE248B"/>
    <w:rsid w:val="09BE6C55"/>
    <w:rsid w:val="09CB082F"/>
    <w:rsid w:val="09CB0E9E"/>
    <w:rsid w:val="09D57BCF"/>
    <w:rsid w:val="09D70950"/>
    <w:rsid w:val="09DA2EEE"/>
    <w:rsid w:val="09E850FB"/>
    <w:rsid w:val="09EA538E"/>
    <w:rsid w:val="09FA79DE"/>
    <w:rsid w:val="0A084044"/>
    <w:rsid w:val="0A0944BF"/>
    <w:rsid w:val="0A1A3238"/>
    <w:rsid w:val="0A1A6F23"/>
    <w:rsid w:val="0A2A2138"/>
    <w:rsid w:val="0A2F7010"/>
    <w:rsid w:val="0A307BEE"/>
    <w:rsid w:val="0A404947"/>
    <w:rsid w:val="0A404E18"/>
    <w:rsid w:val="0A481E7F"/>
    <w:rsid w:val="0A6C0264"/>
    <w:rsid w:val="0A777D00"/>
    <w:rsid w:val="0A892D35"/>
    <w:rsid w:val="0AA10287"/>
    <w:rsid w:val="0AA53284"/>
    <w:rsid w:val="0AA80259"/>
    <w:rsid w:val="0B0C5B81"/>
    <w:rsid w:val="0B156273"/>
    <w:rsid w:val="0B1759D5"/>
    <w:rsid w:val="0B3A2110"/>
    <w:rsid w:val="0B4D1E43"/>
    <w:rsid w:val="0B5B0786"/>
    <w:rsid w:val="0B6251C3"/>
    <w:rsid w:val="0B6772EE"/>
    <w:rsid w:val="0B720E7E"/>
    <w:rsid w:val="0B785F36"/>
    <w:rsid w:val="0B7B4DA1"/>
    <w:rsid w:val="0B7F3FC7"/>
    <w:rsid w:val="0B957346"/>
    <w:rsid w:val="0B9C2B89"/>
    <w:rsid w:val="0BA807DB"/>
    <w:rsid w:val="0BAF3447"/>
    <w:rsid w:val="0BCB7D33"/>
    <w:rsid w:val="0BDF3653"/>
    <w:rsid w:val="0BF73C75"/>
    <w:rsid w:val="0BFB0672"/>
    <w:rsid w:val="0C0F59E7"/>
    <w:rsid w:val="0C156278"/>
    <w:rsid w:val="0C16450A"/>
    <w:rsid w:val="0C2506CA"/>
    <w:rsid w:val="0C2923C8"/>
    <w:rsid w:val="0C334AD7"/>
    <w:rsid w:val="0C344DB1"/>
    <w:rsid w:val="0C566E61"/>
    <w:rsid w:val="0C5D3C03"/>
    <w:rsid w:val="0C6D44FE"/>
    <w:rsid w:val="0C6F3656"/>
    <w:rsid w:val="0C7C078A"/>
    <w:rsid w:val="0C7D1CCF"/>
    <w:rsid w:val="0C833C01"/>
    <w:rsid w:val="0C872ACF"/>
    <w:rsid w:val="0C8B47F5"/>
    <w:rsid w:val="0C973630"/>
    <w:rsid w:val="0CA74169"/>
    <w:rsid w:val="0CA810B8"/>
    <w:rsid w:val="0CBA583A"/>
    <w:rsid w:val="0CBF1356"/>
    <w:rsid w:val="0CC129C6"/>
    <w:rsid w:val="0CC6324C"/>
    <w:rsid w:val="0CCD4BCB"/>
    <w:rsid w:val="0CD002A7"/>
    <w:rsid w:val="0CD31016"/>
    <w:rsid w:val="0CD43E9E"/>
    <w:rsid w:val="0CE04714"/>
    <w:rsid w:val="0CF240F6"/>
    <w:rsid w:val="0CF32576"/>
    <w:rsid w:val="0CFD24DF"/>
    <w:rsid w:val="0CFD3AFE"/>
    <w:rsid w:val="0D006AC7"/>
    <w:rsid w:val="0D1F336B"/>
    <w:rsid w:val="0D2C5A88"/>
    <w:rsid w:val="0D511177"/>
    <w:rsid w:val="0D731117"/>
    <w:rsid w:val="0D8458C4"/>
    <w:rsid w:val="0D884641"/>
    <w:rsid w:val="0D8A633C"/>
    <w:rsid w:val="0D935B07"/>
    <w:rsid w:val="0D992EBD"/>
    <w:rsid w:val="0DB81BF0"/>
    <w:rsid w:val="0DB8556E"/>
    <w:rsid w:val="0DC9592B"/>
    <w:rsid w:val="0E0A401C"/>
    <w:rsid w:val="0E0D58BA"/>
    <w:rsid w:val="0E1B1CC8"/>
    <w:rsid w:val="0E2350DD"/>
    <w:rsid w:val="0E29592E"/>
    <w:rsid w:val="0E3620A9"/>
    <w:rsid w:val="0E3C529F"/>
    <w:rsid w:val="0E3D4F85"/>
    <w:rsid w:val="0E576546"/>
    <w:rsid w:val="0E635B49"/>
    <w:rsid w:val="0E6A2D0C"/>
    <w:rsid w:val="0E6C0FC3"/>
    <w:rsid w:val="0E767FF6"/>
    <w:rsid w:val="0E860687"/>
    <w:rsid w:val="0E863A79"/>
    <w:rsid w:val="0EBB3568"/>
    <w:rsid w:val="0ED87C76"/>
    <w:rsid w:val="0EE25E03"/>
    <w:rsid w:val="0F167F8C"/>
    <w:rsid w:val="0F342E88"/>
    <w:rsid w:val="0F397E50"/>
    <w:rsid w:val="0F5716E4"/>
    <w:rsid w:val="0F5A15C3"/>
    <w:rsid w:val="0F680CCC"/>
    <w:rsid w:val="0F757880"/>
    <w:rsid w:val="0F82598F"/>
    <w:rsid w:val="0F971819"/>
    <w:rsid w:val="0F9C0962"/>
    <w:rsid w:val="0F9C210D"/>
    <w:rsid w:val="0F9D315D"/>
    <w:rsid w:val="0FBC7610"/>
    <w:rsid w:val="0FDE4F6C"/>
    <w:rsid w:val="0FE94D62"/>
    <w:rsid w:val="0FF90261"/>
    <w:rsid w:val="0FFB3733"/>
    <w:rsid w:val="0FFE195E"/>
    <w:rsid w:val="100F718A"/>
    <w:rsid w:val="10150A56"/>
    <w:rsid w:val="10190546"/>
    <w:rsid w:val="10294B94"/>
    <w:rsid w:val="103979F0"/>
    <w:rsid w:val="103F3D25"/>
    <w:rsid w:val="10505F32"/>
    <w:rsid w:val="105B0C2A"/>
    <w:rsid w:val="109F3B5F"/>
    <w:rsid w:val="10A36062"/>
    <w:rsid w:val="10A55E8D"/>
    <w:rsid w:val="10AB1E9A"/>
    <w:rsid w:val="10C15448"/>
    <w:rsid w:val="10D601E5"/>
    <w:rsid w:val="10E56EA0"/>
    <w:rsid w:val="10E903A9"/>
    <w:rsid w:val="10FF7646"/>
    <w:rsid w:val="11036380"/>
    <w:rsid w:val="11086D13"/>
    <w:rsid w:val="1109680C"/>
    <w:rsid w:val="11130B68"/>
    <w:rsid w:val="111D18A1"/>
    <w:rsid w:val="115630D4"/>
    <w:rsid w:val="11641C95"/>
    <w:rsid w:val="11691059"/>
    <w:rsid w:val="11704D9F"/>
    <w:rsid w:val="11706556"/>
    <w:rsid w:val="11812353"/>
    <w:rsid w:val="1182211B"/>
    <w:rsid w:val="11862732"/>
    <w:rsid w:val="11912767"/>
    <w:rsid w:val="11996346"/>
    <w:rsid w:val="11997F00"/>
    <w:rsid w:val="11A03C60"/>
    <w:rsid w:val="11B30526"/>
    <w:rsid w:val="11B322D4"/>
    <w:rsid w:val="11BA144C"/>
    <w:rsid w:val="11BB523A"/>
    <w:rsid w:val="11C5368A"/>
    <w:rsid w:val="11C5533C"/>
    <w:rsid w:val="11D009E8"/>
    <w:rsid w:val="11D64215"/>
    <w:rsid w:val="11E86390"/>
    <w:rsid w:val="12027F9B"/>
    <w:rsid w:val="12053745"/>
    <w:rsid w:val="12070FE5"/>
    <w:rsid w:val="121216F1"/>
    <w:rsid w:val="121E5A0B"/>
    <w:rsid w:val="12256133"/>
    <w:rsid w:val="122F46D2"/>
    <w:rsid w:val="123160B3"/>
    <w:rsid w:val="123541E8"/>
    <w:rsid w:val="125A6F14"/>
    <w:rsid w:val="12665150"/>
    <w:rsid w:val="12982B2B"/>
    <w:rsid w:val="129F4315"/>
    <w:rsid w:val="12A10CC7"/>
    <w:rsid w:val="12A54313"/>
    <w:rsid w:val="12A83E03"/>
    <w:rsid w:val="12AF3799"/>
    <w:rsid w:val="12C33309"/>
    <w:rsid w:val="12F43135"/>
    <w:rsid w:val="12F6113A"/>
    <w:rsid w:val="12F95AC4"/>
    <w:rsid w:val="12FA35D5"/>
    <w:rsid w:val="12FD50BA"/>
    <w:rsid w:val="1308198A"/>
    <w:rsid w:val="13107C68"/>
    <w:rsid w:val="132A2A6A"/>
    <w:rsid w:val="133B5F3D"/>
    <w:rsid w:val="134004A0"/>
    <w:rsid w:val="134A4EBA"/>
    <w:rsid w:val="1350096D"/>
    <w:rsid w:val="135E28EE"/>
    <w:rsid w:val="135E346E"/>
    <w:rsid w:val="13672E91"/>
    <w:rsid w:val="138403CC"/>
    <w:rsid w:val="13A449AB"/>
    <w:rsid w:val="13AA7EBE"/>
    <w:rsid w:val="13BB5B9A"/>
    <w:rsid w:val="13C50FDA"/>
    <w:rsid w:val="13D05532"/>
    <w:rsid w:val="13D05F2D"/>
    <w:rsid w:val="13E04F3D"/>
    <w:rsid w:val="13E607E3"/>
    <w:rsid w:val="13E858DC"/>
    <w:rsid w:val="13FA41EA"/>
    <w:rsid w:val="13FC2C16"/>
    <w:rsid w:val="141E5EFD"/>
    <w:rsid w:val="1422526B"/>
    <w:rsid w:val="142B7A5B"/>
    <w:rsid w:val="143926ED"/>
    <w:rsid w:val="144B28A6"/>
    <w:rsid w:val="144E07DC"/>
    <w:rsid w:val="1454692B"/>
    <w:rsid w:val="14550167"/>
    <w:rsid w:val="14577F04"/>
    <w:rsid w:val="146A5814"/>
    <w:rsid w:val="147A532B"/>
    <w:rsid w:val="147C10A3"/>
    <w:rsid w:val="14A3531F"/>
    <w:rsid w:val="14B52694"/>
    <w:rsid w:val="14B52807"/>
    <w:rsid w:val="14BD178B"/>
    <w:rsid w:val="14C02AB0"/>
    <w:rsid w:val="14C12F5A"/>
    <w:rsid w:val="14CA2FC3"/>
    <w:rsid w:val="14CF092F"/>
    <w:rsid w:val="14DE58BA"/>
    <w:rsid w:val="14E708C8"/>
    <w:rsid w:val="14ED3D4F"/>
    <w:rsid w:val="150C07EF"/>
    <w:rsid w:val="151614F8"/>
    <w:rsid w:val="15164952"/>
    <w:rsid w:val="153507C4"/>
    <w:rsid w:val="153B74C2"/>
    <w:rsid w:val="15451DDD"/>
    <w:rsid w:val="15455939"/>
    <w:rsid w:val="154C5C39"/>
    <w:rsid w:val="156009C5"/>
    <w:rsid w:val="15640AA1"/>
    <w:rsid w:val="157C4AAB"/>
    <w:rsid w:val="15813341"/>
    <w:rsid w:val="159143E8"/>
    <w:rsid w:val="15973CD3"/>
    <w:rsid w:val="159A7A6B"/>
    <w:rsid w:val="15B36D47"/>
    <w:rsid w:val="15B43927"/>
    <w:rsid w:val="15B4486D"/>
    <w:rsid w:val="15C63491"/>
    <w:rsid w:val="15E94043"/>
    <w:rsid w:val="15FF01DE"/>
    <w:rsid w:val="160052C3"/>
    <w:rsid w:val="16047251"/>
    <w:rsid w:val="161061A2"/>
    <w:rsid w:val="164B4918"/>
    <w:rsid w:val="166676E4"/>
    <w:rsid w:val="166A4E37"/>
    <w:rsid w:val="167618A4"/>
    <w:rsid w:val="168C243D"/>
    <w:rsid w:val="16983C01"/>
    <w:rsid w:val="16985F3D"/>
    <w:rsid w:val="169D2DE6"/>
    <w:rsid w:val="16C06C62"/>
    <w:rsid w:val="16CB7CD9"/>
    <w:rsid w:val="16CE195E"/>
    <w:rsid w:val="16D25BC1"/>
    <w:rsid w:val="16E80C72"/>
    <w:rsid w:val="16EA2AAE"/>
    <w:rsid w:val="16EC2B02"/>
    <w:rsid w:val="170558F5"/>
    <w:rsid w:val="170A508C"/>
    <w:rsid w:val="171A77BC"/>
    <w:rsid w:val="173B6FF4"/>
    <w:rsid w:val="17412E31"/>
    <w:rsid w:val="174165D4"/>
    <w:rsid w:val="17571954"/>
    <w:rsid w:val="1764184B"/>
    <w:rsid w:val="176B0541"/>
    <w:rsid w:val="176D5C4E"/>
    <w:rsid w:val="17700BA9"/>
    <w:rsid w:val="177631F1"/>
    <w:rsid w:val="177E6C22"/>
    <w:rsid w:val="17810A74"/>
    <w:rsid w:val="17830BAF"/>
    <w:rsid w:val="17863F31"/>
    <w:rsid w:val="17870D2C"/>
    <w:rsid w:val="178A1D29"/>
    <w:rsid w:val="17926248"/>
    <w:rsid w:val="17945552"/>
    <w:rsid w:val="17A25C35"/>
    <w:rsid w:val="17D21D98"/>
    <w:rsid w:val="17DA1102"/>
    <w:rsid w:val="17E06A45"/>
    <w:rsid w:val="181573E9"/>
    <w:rsid w:val="18300B23"/>
    <w:rsid w:val="1835348C"/>
    <w:rsid w:val="18472FE3"/>
    <w:rsid w:val="18686854"/>
    <w:rsid w:val="186A43EE"/>
    <w:rsid w:val="186B462D"/>
    <w:rsid w:val="187D188E"/>
    <w:rsid w:val="18A610C4"/>
    <w:rsid w:val="18B15F12"/>
    <w:rsid w:val="18C62A4D"/>
    <w:rsid w:val="18D86AC4"/>
    <w:rsid w:val="18EA08A8"/>
    <w:rsid w:val="18F44BA4"/>
    <w:rsid w:val="191F211D"/>
    <w:rsid w:val="192C6F80"/>
    <w:rsid w:val="193A32DB"/>
    <w:rsid w:val="193E02FD"/>
    <w:rsid w:val="196D1903"/>
    <w:rsid w:val="197378AA"/>
    <w:rsid w:val="19872538"/>
    <w:rsid w:val="199645B8"/>
    <w:rsid w:val="199E7D0E"/>
    <w:rsid w:val="19CB2609"/>
    <w:rsid w:val="19E219A9"/>
    <w:rsid w:val="1A033406"/>
    <w:rsid w:val="1A0A0922"/>
    <w:rsid w:val="1A0C1A25"/>
    <w:rsid w:val="1A0E3712"/>
    <w:rsid w:val="1A224E03"/>
    <w:rsid w:val="1A3F37A3"/>
    <w:rsid w:val="1A5303FC"/>
    <w:rsid w:val="1A5574A5"/>
    <w:rsid w:val="1A5B79AD"/>
    <w:rsid w:val="1A604AC4"/>
    <w:rsid w:val="1A7120E8"/>
    <w:rsid w:val="1A74241B"/>
    <w:rsid w:val="1A7D192D"/>
    <w:rsid w:val="1A841F56"/>
    <w:rsid w:val="1A8970B1"/>
    <w:rsid w:val="1A96165C"/>
    <w:rsid w:val="1A967119"/>
    <w:rsid w:val="1A9D7FC6"/>
    <w:rsid w:val="1AA21F97"/>
    <w:rsid w:val="1AB61339"/>
    <w:rsid w:val="1AD67034"/>
    <w:rsid w:val="1AD75285"/>
    <w:rsid w:val="1AD870AE"/>
    <w:rsid w:val="1B1C0EEA"/>
    <w:rsid w:val="1B253699"/>
    <w:rsid w:val="1B2D1667"/>
    <w:rsid w:val="1B375E26"/>
    <w:rsid w:val="1B381927"/>
    <w:rsid w:val="1B3959CB"/>
    <w:rsid w:val="1B401415"/>
    <w:rsid w:val="1B724E3D"/>
    <w:rsid w:val="1B764D9C"/>
    <w:rsid w:val="1B847222"/>
    <w:rsid w:val="1B871AF9"/>
    <w:rsid w:val="1B8A0457"/>
    <w:rsid w:val="1B951DCE"/>
    <w:rsid w:val="1B966EEF"/>
    <w:rsid w:val="1B9B3C92"/>
    <w:rsid w:val="1BB559AF"/>
    <w:rsid w:val="1BBC0A6C"/>
    <w:rsid w:val="1BD160DD"/>
    <w:rsid w:val="1BD25E85"/>
    <w:rsid w:val="1BD80921"/>
    <w:rsid w:val="1BE2441E"/>
    <w:rsid w:val="1C0E54BF"/>
    <w:rsid w:val="1C0F46BA"/>
    <w:rsid w:val="1C166655"/>
    <w:rsid w:val="1C2278F3"/>
    <w:rsid w:val="1C2D7127"/>
    <w:rsid w:val="1C4F5FC1"/>
    <w:rsid w:val="1C536B8E"/>
    <w:rsid w:val="1C6A611C"/>
    <w:rsid w:val="1C775C44"/>
    <w:rsid w:val="1C7870A4"/>
    <w:rsid w:val="1C9205AD"/>
    <w:rsid w:val="1C995665"/>
    <w:rsid w:val="1C9E67F4"/>
    <w:rsid w:val="1CA94C42"/>
    <w:rsid w:val="1CAD6CD0"/>
    <w:rsid w:val="1CD07BE3"/>
    <w:rsid w:val="1CDD6ECA"/>
    <w:rsid w:val="1CED791D"/>
    <w:rsid w:val="1CF33ECD"/>
    <w:rsid w:val="1CFB17B8"/>
    <w:rsid w:val="1CFC3430"/>
    <w:rsid w:val="1CFE272D"/>
    <w:rsid w:val="1CFF70A1"/>
    <w:rsid w:val="1D020000"/>
    <w:rsid w:val="1D1E00CF"/>
    <w:rsid w:val="1D2247B2"/>
    <w:rsid w:val="1D24052A"/>
    <w:rsid w:val="1D2A2EDE"/>
    <w:rsid w:val="1D570900"/>
    <w:rsid w:val="1D6B7F07"/>
    <w:rsid w:val="1D6D3486"/>
    <w:rsid w:val="1D6D37DD"/>
    <w:rsid w:val="1D7522E4"/>
    <w:rsid w:val="1D790415"/>
    <w:rsid w:val="1D7F00D7"/>
    <w:rsid w:val="1D86683A"/>
    <w:rsid w:val="1DBC0763"/>
    <w:rsid w:val="1DBE02FC"/>
    <w:rsid w:val="1DC110DE"/>
    <w:rsid w:val="1DC475F4"/>
    <w:rsid w:val="1DE20FF3"/>
    <w:rsid w:val="1DE46FCF"/>
    <w:rsid w:val="1DF04B7E"/>
    <w:rsid w:val="1DF223D6"/>
    <w:rsid w:val="1DF3687A"/>
    <w:rsid w:val="1DF573F6"/>
    <w:rsid w:val="1E0532EA"/>
    <w:rsid w:val="1E1B2A3C"/>
    <w:rsid w:val="1E211FFF"/>
    <w:rsid w:val="1E292C50"/>
    <w:rsid w:val="1E46061A"/>
    <w:rsid w:val="1E586D08"/>
    <w:rsid w:val="1E831280"/>
    <w:rsid w:val="1E8B7A25"/>
    <w:rsid w:val="1E9A6CF6"/>
    <w:rsid w:val="1EA35F42"/>
    <w:rsid w:val="1EA90D7B"/>
    <w:rsid w:val="1EB24EEF"/>
    <w:rsid w:val="1EBD0254"/>
    <w:rsid w:val="1ECB542C"/>
    <w:rsid w:val="1ECF1C7A"/>
    <w:rsid w:val="1ED84532"/>
    <w:rsid w:val="1ED9724C"/>
    <w:rsid w:val="1EF27252"/>
    <w:rsid w:val="1F1B063B"/>
    <w:rsid w:val="1F2D7B6A"/>
    <w:rsid w:val="1F3C4326"/>
    <w:rsid w:val="1F561C27"/>
    <w:rsid w:val="1F7E6617"/>
    <w:rsid w:val="1F82552D"/>
    <w:rsid w:val="1F855E03"/>
    <w:rsid w:val="1F8835B4"/>
    <w:rsid w:val="1F9F3C88"/>
    <w:rsid w:val="1FCF567D"/>
    <w:rsid w:val="1FD20711"/>
    <w:rsid w:val="1FDD6D82"/>
    <w:rsid w:val="1FE6069B"/>
    <w:rsid w:val="1FFE1506"/>
    <w:rsid w:val="1FFF40A3"/>
    <w:rsid w:val="200551B5"/>
    <w:rsid w:val="201F4440"/>
    <w:rsid w:val="20232D1B"/>
    <w:rsid w:val="20242141"/>
    <w:rsid w:val="202645B9"/>
    <w:rsid w:val="202D4DBE"/>
    <w:rsid w:val="20344F28"/>
    <w:rsid w:val="2035592B"/>
    <w:rsid w:val="20490A01"/>
    <w:rsid w:val="2054271C"/>
    <w:rsid w:val="20621F0A"/>
    <w:rsid w:val="20711BF5"/>
    <w:rsid w:val="207B69AC"/>
    <w:rsid w:val="208E258C"/>
    <w:rsid w:val="20A50D5F"/>
    <w:rsid w:val="20A50EE8"/>
    <w:rsid w:val="20A9358F"/>
    <w:rsid w:val="20E97AC1"/>
    <w:rsid w:val="20ED7C01"/>
    <w:rsid w:val="20EE706B"/>
    <w:rsid w:val="20F3093F"/>
    <w:rsid w:val="20FF1092"/>
    <w:rsid w:val="210466A8"/>
    <w:rsid w:val="2108726A"/>
    <w:rsid w:val="211C7E96"/>
    <w:rsid w:val="213569C0"/>
    <w:rsid w:val="213A7DD3"/>
    <w:rsid w:val="213B4094"/>
    <w:rsid w:val="213F7BDA"/>
    <w:rsid w:val="214632D8"/>
    <w:rsid w:val="21542F5C"/>
    <w:rsid w:val="21577120"/>
    <w:rsid w:val="215F444F"/>
    <w:rsid w:val="2181419D"/>
    <w:rsid w:val="218C684C"/>
    <w:rsid w:val="21993E0B"/>
    <w:rsid w:val="21B26104"/>
    <w:rsid w:val="21C13A34"/>
    <w:rsid w:val="21D124D5"/>
    <w:rsid w:val="21D155BC"/>
    <w:rsid w:val="21F84D96"/>
    <w:rsid w:val="22046C77"/>
    <w:rsid w:val="220A597B"/>
    <w:rsid w:val="22224D48"/>
    <w:rsid w:val="222C48D9"/>
    <w:rsid w:val="22401962"/>
    <w:rsid w:val="2245532A"/>
    <w:rsid w:val="224B49BF"/>
    <w:rsid w:val="225A2E13"/>
    <w:rsid w:val="225B49EE"/>
    <w:rsid w:val="225D482A"/>
    <w:rsid w:val="22631AF5"/>
    <w:rsid w:val="226A738E"/>
    <w:rsid w:val="226D1621"/>
    <w:rsid w:val="22813DBA"/>
    <w:rsid w:val="22AF3387"/>
    <w:rsid w:val="22B119EC"/>
    <w:rsid w:val="22B15FB2"/>
    <w:rsid w:val="22B73D0E"/>
    <w:rsid w:val="22C034F3"/>
    <w:rsid w:val="22D14CB0"/>
    <w:rsid w:val="22D238C3"/>
    <w:rsid w:val="22D95913"/>
    <w:rsid w:val="22E91FFA"/>
    <w:rsid w:val="22F170D4"/>
    <w:rsid w:val="22F83FEB"/>
    <w:rsid w:val="23005595"/>
    <w:rsid w:val="230D06B8"/>
    <w:rsid w:val="23164DB9"/>
    <w:rsid w:val="23294587"/>
    <w:rsid w:val="232D6BB0"/>
    <w:rsid w:val="234821AA"/>
    <w:rsid w:val="235313A3"/>
    <w:rsid w:val="23562A62"/>
    <w:rsid w:val="235D69C1"/>
    <w:rsid w:val="23655C8A"/>
    <w:rsid w:val="236E4DD2"/>
    <w:rsid w:val="23701C1C"/>
    <w:rsid w:val="237B4A7C"/>
    <w:rsid w:val="23814533"/>
    <w:rsid w:val="23953F30"/>
    <w:rsid w:val="239E02A1"/>
    <w:rsid w:val="23B51EDC"/>
    <w:rsid w:val="23B75C54"/>
    <w:rsid w:val="23BA5F7D"/>
    <w:rsid w:val="23BF5EBD"/>
    <w:rsid w:val="23DA61EE"/>
    <w:rsid w:val="23EB5BDE"/>
    <w:rsid w:val="23F30C56"/>
    <w:rsid w:val="23F83B23"/>
    <w:rsid w:val="2412732E"/>
    <w:rsid w:val="241663A1"/>
    <w:rsid w:val="24183DE7"/>
    <w:rsid w:val="241A4435"/>
    <w:rsid w:val="24231734"/>
    <w:rsid w:val="24244ED1"/>
    <w:rsid w:val="24251314"/>
    <w:rsid w:val="2443573A"/>
    <w:rsid w:val="24577618"/>
    <w:rsid w:val="245C4A4D"/>
    <w:rsid w:val="245E2574"/>
    <w:rsid w:val="2469642F"/>
    <w:rsid w:val="24724271"/>
    <w:rsid w:val="24835562"/>
    <w:rsid w:val="2490547B"/>
    <w:rsid w:val="24946E92"/>
    <w:rsid w:val="24957DD5"/>
    <w:rsid w:val="24A06E8F"/>
    <w:rsid w:val="24C5072E"/>
    <w:rsid w:val="24F32DA4"/>
    <w:rsid w:val="24F372E4"/>
    <w:rsid w:val="24F64293"/>
    <w:rsid w:val="24FB7DC2"/>
    <w:rsid w:val="24FD4BC6"/>
    <w:rsid w:val="25041C15"/>
    <w:rsid w:val="25115838"/>
    <w:rsid w:val="251351C1"/>
    <w:rsid w:val="25145328"/>
    <w:rsid w:val="252C08C4"/>
    <w:rsid w:val="2533755C"/>
    <w:rsid w:val="253A32F5"/>
    <w:rsid w:val="253B5B11"/>
    <w:rsid w:val="25435834"/>
    <w:rsid w:val="2557086D"/>
    <w:rsid w:val="255732E2"/>
    <w:rsid w:val="255E2709"/>
    <w:rsid w:val="256726AA"/>
    <w:rsid w:val="25765528"/>
    <w:rsid w:val="257B0F94"/>
    <w:rsid w:val="259C15A5"/>
    <w:rsid w:val="25B34336"/>
    <w:rsid w:val="25B87063"/>
    <w:rsid w:val="25FA2770"/>
    <w:rsid w:val="25FD50A7"/>
    <w:rsid w:val="26062EC3"/>
    <w:rsid w:val="26072937"/>
    <w:rsid w:val="260B672B"/>
    <w:rsid w:val="26125A1E"/>
    <w:rsid w:val="26134A33"/>
    <w:rsid w:val="261A27ED"/>
    <w:rsid w:val="261B67BE"/>
    <w:rsid w:val="261E38D2"/>
    <w:rsid w:val="26233A75"/>
    <w:rsid w:val="26257C61"/>
    <w:rsid w:val="26373368"/>
    <w:rsid w:val="263863F1"/>
    <w:rsid w:val="26571970"/>
    <w:rsid w:val="26574219"/>
    <w:rsid w:val="265F6B13"/>
    <w:rsid w:val="26606302"/>
    <w:rsid w:val="26607126"/>
    <w:rsid w:val="26612A88"/>
    <w:rsid w:val="26654DF0"/>
    <w:rsid w:val="267B565F"/>
    <w:rsid w:val="267C0103"/>
    <w:rsid w:val="267C28AA"/>
    <w:rsid w:val="267E6EFD"/>
    <w:rsid w:val="26A95E92"/>
    <w:rsid w:val="26BE554B"/>
    <w:rsid w:val="26C15A9B"/>
    <w:rsid w:val="26C17D37"/>
    <w:rsid w:val="26C50688"/>
    <w:rsid w:val="26C64400"/>
    <w:rsid w:val="26C7088F"/>
    <w:rsid w:val="26C73833"/>
    <w:rsid w:val="26D11DC4"/>
    <w:rsid w:val="26D453F4"/>
    <w:rsid w:val="26D71032"/>
    <w:rsid w:val="26DB2DBF"/>
    <w:rsid w:val="26F23447"/>
    <w:rsid w:val="26FA2724"/>
    <w:rsid w:val="27041B72"/>
    <w:rsid w:val="27075B9E"/>
    <w:rsid w:val="270E3FB7"/>
    <w:rsid w:val="270F5DA7"/>
    <w:rsid w:val="27271343"/>
    <w:rsid w:val="272950BB"/>
    <w:rsid w:val="272F37F9"/>
    <w:rsid w:val="273974CB"/>
    <w:rsid w:val="273D00F1"/>
    <w:rsid w:val="274243CE"/>
    <w:rsid w:val="2752347D"/>
    <w:rsid w:val="275D0A3E"/>
    <w:rsid w:val="276205CD"/>
    <w:rsid w:val="27732CCF"/>
    <w:rsid w:val="2778394C"/>
    <w:rsid w:val="27935C01"/>
    <w:rsid w:val="279A06A1"/>
    <w:rsid w:val="27C735AF"/>
    <w:rsid w:val="27D7678A"/>
    <w:rsid w:val="27E81860"/>
    <w:rsid w:val="27F616D9"/>
    <w:rsid w:val="282011E6"/>
    <w:rsid w:val="282349BD"/>
    <w:rsid w:val="28247801"/>
    <w:rsid w:val="28340302"/>
    <w:rsid w:val="2841621D"/>
    <w:rsid w:val="28612632"/>
    <w:rsid w:val="2874016E"/>
    <w:rsid w:val="28861856"/>
    <w:rsid w:val="288F6A98"/>
    <w:rsid w:val="289447B6"/>
    <w:rsid w:val="289645A2"/>
    <w:rsid w:val="28BC0230"/>
    <w:rsid w:val="28E26B52"/>
    <w:rsid w:val="28F92AAF"/>
    <w:rsid w:val="2904676C"/>
    <w:rsid w:val="290E49FF"/>
    <w:rsid w:val="294658EA"/>
    <w:rsid w:val="295126A7"/>
    <w:rsid w:val="29593F64"/>
    <w:rsid w:val="295E11B7"/>
    <w:rsid w:val="29693E94"/>
    <w:rsid w:val="297B3BC8"/>
    <w:rsid w:val="298E38FB"/>
    <w:rsid w:val="299407E6"/>
    <w:rsid w:val="29956FA5"/>
    <w:rsid w:val="29A430EE"/>
    <w:rsid w:val="29B03871"/>
    <w:rsid w:val="29BA1FC8"/>
    <w:rsid w:val="29D117CE"/>
    <w:rsid w:val="29EE439A"/>
    <w:rsid w:val="29F85237"/>
    <w:rsid w:val="29FF31EB"/>
    <w:rsid w:val="2A026F6E"/>
    <w:rsid w:val="2A0C211C"/>
    <w:rsid w:val="2A1F23A7"/>
    <w:rsid w:val="2A351CF1"/>
    <w:rsid w:val="2A677CA8"/>
    <w:rsid w:val="2A6C6F38"/>
    <w:rsid w:val="2A7060E4"/>
    <w:rsid w:val="2A720B27"/>
    <w:rsid w:val="2A9D0428"/>
    <w:rsid w:val="2AA36169"/>
    <w:rsid w:val="2AA44F7D"/>
    <w:rsid w:val="2AAC7F1A"/>
    <w:rsid w:val="2AC631DA"/>
    <w:rsid w:val="2AD76BDC"/>
    <w:rsid w:val="2ADB00D0"/>
    <w:rsid w:val="2AE66F7F"/>
    <w:rsid w:val="2AF2541E"/>
    <w:rsid w:val="2AFE7D9D"/>
    <w:rsid w:val="2B040018"/>
    <w:rsid w:val="2B1716CE"/>
    <w:rsid w:val="2B2142FB"/>
    <w:rsid w:val="2B255B99"/>
    <w:rsid w:val="2B305A11"/>
    <w:rsid w:val="2B3551A7"/>
    <w:rsid w:val="2B3E7F43"/>
    <w:rsid w:val="2B4336FC"/>
    <w:rsid w:val="2B536BAA"/>
    <w:rsid w:val="2B606BD1"/>
    <w:rsid w:val="2B6253EC"/>
    <w:rsid w:val="2B6C50A6"/>
    <w:rsid w:val="2B736C9F"/>
    <w:rsid w:val="2B764647"/>
    <w:rsid w:val="2B794137"/>
    <w:rsid w:val="2B7C2725"/>
    <w:rsid w:val="2B9C3CC9"/>
    <w:rsid w:val="2BA80B77"/>
    <w:rsid w:val="2BBB68AF"/>
    <w:rsid w:val="2BBD4024"/>
    <w:rsid w:val="2BCE2231"/>
    <w:rsid w:val="2BE559FD"/>
    <w:rsid w:val="2BEC0A6F"/>
    <w:rsid w:val="2C002C4C"/>
    <w:rsid w:val="2C060EEC"/>
    <w:rsid w:val="2C077995"/>
    <w:rsid w:val="2C11759D"/>
    <w:rsid w:val="2C155C0E"/>
    <w:rsid w:val="2C167753"/>
    <w:rsid w:val="2C167BD8"/>
    <w:rsid w:val="2C4A6D28"/>
    <w:rsid w:val="2C6723D2"/>
    <w:rsid w:val="2C752B50"/>
    <w:rsid w:val="2C9F5E1F"/>
    <w:rsid w:val="2CBA592E"/>
    <w:rsid w:val="2CD0422B"/>
    <w:rsid w:val="2CE53F8C"/>
    <w:rsid w:val="2CE77484"/>
    <w:rsid w:val="2D0522DC"/>
    <w:rsid w:val="2D0839C4"/>
    <w:rsid w:val="2D19226E"/>
    <w:rsid w:val="2D193E22"/>
    <w:rsid w:val="2D231121"/>
    <w:rsid w:val="2D263E4A"/>
    <w:rsid w:val="2D444C4D"/>
    <w:rsid w:val="2D4C5D31"/>
    <w:rsid w:val="2D4E6E7A"/>
    <w:rsid w:val="2D505E4B"/>
    <w:rsid w:val="2D536E7A"/>
    <w:rsid w:val="2D7B5312"/>
    <w:rsid w:val="2D80355B"/>
    <w:rsid w:val="2D8079FF"/>
    <w:rsid w:val="2D8F7F8D"/>
    <w:rsid w:val="2DA06AE3"/>
    <w:rsid w:val="2DA371FF"/>
    <w:rsid w:val="2DA61A8B"/>
    <w:rsid w:val="2DB127D6"/>
    <w:rsid w:val="2DCD1944"/>
    <w:rsid w:val="2DD2619A"/>
    <w:rsid w:val="2DE97352"/>
    <w:rsid w:val="2DEC212A"/>
    <w:rsid w:val="2DF22187"/>
    <w:rsid w:val="2DF7019E"/>
    <w:rsid w:val="2DFA5BBE"/>
    <w:rsid w:val="2E0A3F33"/>
    <w:rsid w:val="2E134B63"/>
    <w:rsid w:val="2E135ACE"/>
    <w:rsid w:val="2E19537A"/>
    <w:rsid w:val="2E30723F"/>
    <w:rsid w:val="2E3D6E9B"/>
    <w:rsid w:val="2E410C79"/>
    <w:rsid w:val="2E4647A4"/>
    <w:rsid w:val="2E492A00"/>
    <w:rsid w:val="2E4D76FF"/>
    <w:rsid w:val="2E5844D8"/>
    <w:rsid w:val="2E597F26"/>
    <w:rsid w:val="2E686319"/>
    <w:rsid w:val="2E7A47B7"/>
    <w:rsid w:val="2EA25753"/>
    <w:rsid w:val="2EA27CD8"/>
    <w:rsid w:val="2EA66014"/>
    <w:rsid w:val="2EAC0F6E"/>
    <w:rsid w:val="2EB16C80"/>
    <w:rsid w:val="2EC059C0"/>
    <w:rsid w:val="2EC658E5"/>
    <w:rsid w:val="2ED221F2"/>
    <w:rsid w:val="2EDF55D5"/>
    <w:rsid w:val="2EF266DA"/>
    <w:rsid w:val="2F01691D"/>
    <w:rsid w:val="2F0F103A"/>
    <w:rsid w:val="2F126434"/>
    <w:rsid w:val="2F302D5E"/>
    <w:rsid w:val="2F4B3778"/>
    <w:rsid w:val="2F6B1FE9"/>
    <w:rsid w:val="2F6E6936"/>
    <w:rsid w:val="2F754524"/>
    <w:rsid w:val="2F8C0FDE"/>
    <w:rsid w:val="2F974B8C"/>
    <w:rsid w:val="2FAF0127"/>
    <w:rsid w:val="2FB249CB"/>
    <w:rsid w:val="2FB27C17"/>
    <w:rsid w:val="2FB4247B"/>
    <w:rsid w:val="2FB614B6"/>
    <w:rsid w:val="2FB642D1"/>
    <w:rsid w:val="2FC61B20"/>
    <w:rsid w:val="2FD96910"/>
    <w:rsid w:val="2FE07D1C"/>
    <w:rsid w:val="2FE14059"/>
    <w:rsid w:val="30147C76"/>
    <w:rsid w:val="304264AD"/>
    <w:rsid w:val="305B79FD"/>
    <w:rsid w:val="30933328"/>
    <w:rsid w:val="3094458D"/>
    <w:rsid w:val="30A9101A"/>
    <w:rsid w:val="30AC262A"/>
    <w:rsid w:val="30CD597E"/>
    <w:rsid w:val="30D43636"/>
    <w:rsid w:val="30D53BBD"/>
    <w:rsid w:val="30D81900"/>
    <w:rsid w:val="30D87F3A"/>
    <w:rsid w:val="30FE3DD7"/>
    <w:rsid w:val="310239B4"/>
    <w:rsid w:val="31073F26"/>
    <w:rsid w:val="310777FD"/>
    <w:rsid w:val="310B6782"/>
    <w:rsid w:val="31124D18"/>
    <w:rsid w:val="31163940"/>
    <w:rsid w:val="311B086F"/>
    <w:rsid w:val="311C48C8"/>
    <w:rsid w:val="31244B45"/>
    <w:rsid w:val="312E32CE"/>
    <w:rsid w:val="31344D88"/>
    <w:rsid w:val="313518A9"/>
    <w:rsid w:val="31555DC6"/>
    <w:rsid w:val="31556D67"/>
    <w:rsid w:val="31576CC8"/>
    <w:rsid w:val="316010D1"/>
    <w:rsid w:val="31684A32"/>
    <w:rsid w:val="316D2157"/>
    <w:rsid w:val="31832F49"/>
    <w:rsid w:val="318A28DE"/>
    <w:rsid w:val="31C2164C"/>
    <w:rsid w:val="31C3435E"/>
    <w:rsid w:val="31CF00FD"/>
    <w:rsid w:val="31D84C2E"/>
    <w:rsid w:val="31DF71D5"/>
    <w:rsid w:val="31E80F05"/>
    <w:rsid w:val="31E97F91"/>
    <w:rsid w:val="31EB11BF"/>
    <w:rsid w:val="31EB370B"/>
    <w:rsid w:val="31EC5DE3"/>
    <w:rsid w:val="31FA1445"/>
    <w:rsid w:val="31FE439A"/>
    <w:rsid w:val="320D1173"/>
    <w:rsid w:val="321E75CB"/>
    <w:rsid w:val="322745E8"/>
    <w:rsid w:val="322F3B83"/>
    <w:rsid w:val="32340DB8"/>
    <w:rsid w:val="32537490"/>
    <w:rsid w:val="326366A6"/>
    <w:rsid w:val="32676E90"/>
    <w:rsid w:val="328755E1"/>
    <w:rsid w:val="32896D4D"/>
    <w:rsid w:val="32A0644D"/>
    <w:rsid w:val="32B06982"/>
    <w:rsid w:val="32B14339"/>
    <w:rsid w:val="32B64946"/>
    <w:rsid w:val="32BF2D77"/>
    <w:rsid w:val="32C3321B"/>
    <w:rsid w:val="32C37971"/>
    <w:rsid w:val="32EC3440"/>
    <w:rsid w:val="32EC3D89"/>
    <w:rsid w:val="32EE540A"/>
    <w:rsid w:val="32F20A02"/>
    <w:rsid w:val="32F26805"/>
    <w:rsid w:val="32F42FBE"/>
    <w:rsid w:val="33122EA7"/>
    <w:rsid w:val="331522B5"/>
    <w:rsid w:val="334868C9"/>
    <w:rsid w:val="33552D94"/>
    <w:rsid w:val="335C2AF3"/>
    <w:rsid w:val="336B6A5B"/>
    <w:rsid w:val="336D5975"/>
    <w:rsid w:val="3372062A"/>
    <w:rsid w:val="3376753D"/>
    <w:rsid w:val="337D5F58"/>
    <w:rsid w:val="3381002D"/>
    <w:rsid w:val="33863414"/>
    <w:rsid w:val="33867234"/>
    <w:rsid w:val="338F1848"/>
    <w:rsid w:val="33BC1065"/>
    <w:rsid w:val="33C24D3E"/>
    <w:rsid w:val="33D224A9"/>
    <w:rsid w:val="33E85B96"/>
    <w:rsid w:val="33F7044F"/>
    <w:rsid w:val="33FC5C6A"/>
    <w:rsid w:val="3400308C"/>
    <w:rsid w:val="34062320"/>
    <w:rsid w:val="340A2B4B"/>
    <w:rsid w:val="34126ED7"/>
    <w:rsid w:val="342310E4"/>
    <w:rsid w:val="342D5ABF"/>
    <w:rsid w:val="342F5CDB"/>
    <w:rsid w:val="34410B77"/>
    <w:rsid w:val="344840CD"/>
    <w:rsid w:val="34512F06"/>
    <w:rsid w:val="34521211"/>
    <w:rsid w:val="3452442F"/>
    <w:rsid w:val="34687281"/>
    <w:rsid w:val="347B2CCE"/>
    <w:rsid w:val="34C35890"/>
    <w:rsid w:val="34C43857"/>
    <w:rsid w:val="34D6221D"/>
    <w:rsid w:val="34D74F6A"/>
    <w:rsid w:val="34E5141F"/>
    <w:rsid w:val="34E73336"/>
    <w:rsid w:val="34F01052"/>
    <w:rsid w:val="34F1676A"/>
    <w:rsid w:val="34F352BA"/>
    <w:rsid w:val="350707C5"/>
    <w:rsid w:val="3511225C"/>
    <w:rsid w:val="3527591A"/>
    <w:rsid w:val="35281A91"/>
    <w:rsid w:val="352B0420"/>
    <w:rsid w:val="353449B1"/>
    <w:rsid w:val="35463CB2"/>
    <w:rsid w:val="355955D5"/>
    <w:rsid w:val="355B4CA2"/>
    <w:rsid w:val="35611EC4"/>
    <w:rsid w:val="35637A1C"/>
    <w:rsid w:val="356A72E0"/>
    <w:rsid w:val="356B689E"/>
    <w:rsid w:val="357D4824"/>
    <w:rsid w:val="358436EF"/>
    <w:rsid w:val="35894E8A"/>
    <w:rsid w:val="358A200E"/>
    <w:rsid w:val="35907FD5"/>
    <w:rsid w:val="35A20892"/>
    <w:rsid w:val="35A51874"/>
    <w:rsid w:val="35A942D8"/>
    <w:rsid w:val="35AF3FC3"/>
    <w:rsid w:val="35C81F43"/>
    <w:rsid w:val="35CB1A33"/>
    <w:rsid w:val="35CE2414"/>
    <w:rsid w:val="35D24B6F"/>
    <w:rsid w:val="35DF242E"/>
    <w:rsid w:val="35E83F05"/>
    <w:rsid w:val="35F07E91"/>
    <w:rsid w:val="35FA7C22"/>
    <w:rsid w:val="36056CF3"/>
    <w:rsid w:val="36070CBD"/>
    <w:rsid w:val="36174F57"/>
    <w:rsid w:val="363148C3"/>
    <w:rsid w:val="36323860"/>
    <w:rsid w:val="3649532C"/>
    <w:rsid w:val="364C36E9"/>
    <w:rsid w:val="3653477C"/>
    <w:rsid w:val="36545FE9"/>
    <w:rsid w:val="366B1C23"/>
    <w:rsid w:val="366F6862"/>
    <w:rsid w:val="36830BB7"/>
    <w:rsid w:val="36855627"/>
    <w:rsid w:val="368816D2"/>
    <w:rsid w:val="36915DF2"/>
    <w:rsid w:val="369260AD"/>
    <w:rsid w:val="36962041"/>
    <w:rsid w:val="369C50C1"/>
    <w:rsid w:val="36AB3E1C"/>
    <w:rsid w:val="36BB7C74"/>
    <w:rsid w:val="36CA3A99"/>
    <w:rsid w:val="36D50EB5"/>
    <w:rsid w:val="36E61B67"/>
    <w:rsid w:val="36E903C3"/>
    <w:rsid w:val="36FF1994"/>
    <w:rsid w:val="37041207"/>
    <w:rsid w:val="37410C85"/>
    <w:rsid w:val="37481448"/>
    <w:rsid w:val="37557806"/>
    <w:rsid w:val="376B527C"/>
    <w:rsid w:val="376D7004"/>
    <w:rsid w:val="376E2676"/>
    <w:rsid w:val="3786382E"/>
    <w:rsid w:val="378E4AC6"/>
    <w:rsid w:val="379055DE"/>
    <w:rsid w:val="37974E04"/>
    <w:rsid w:val="379876F3"/>
    <w:rsid w:val="379F4F25"/>
    <w:rsid w:val="37A22CB9"/>
    <w:rsid w:val="37A81CE7"/>
    <w:rsid w:val="37BB7AC4"/>
    <w:rsid w:val="37BF0312"/>
    <w:rsid w:val="37C14E9C"/>
    <w:rsid w:val="37C87FD8"/>
    <w:rsid w:val="37DC69E5"/>
    <w:rsid w:val="37E000EA"/>
    <w:rsid w:val="37F417B2"/>
    <w:rsid w:val="37FA03AE"/>
    <w:rsid w:val="380F3A1B"/>
    <w:rsid w:val="38156F95"/>
    <w:rsid w:val="383218F5"/>
    <w:rsid w:val="385B75F6"/>
    <w:rsid w:val="3863404D"/>
    <w:rsid w:val="38665811"/>
    <w:rsid w:val="38690782"/>
    <w:rsid w:val="386D2E15"/>
    <w:rsid w:val="38777DD6"/>
    <w:rsid w:val="3885236D"/>
    <w:rsid w:val="388D2664"/>
    <w:rsid w:val="38A04AB1"/>
    <w:rsid w:val="38A67D7E"/>
    <w:rsid w:val="38AA48D1"/>
    <w:rsid w:val="38B46353"/>
    <w:rsid w:val="38C05153"/>
    <w:rsid w:val="38C16C80"/>
    <w:rsid w:val="38C62FE6"/>
    <w:rsid w:val="38D70736"/>
    <w:rsid w:val="38E075A3"/>
    <w:rsid w:val="39044D27"/>
    <w:rsid w:val="392845EB"/>
    <w:rsid w:val="394A0E7B"/>
    <w:rsid w:val="39525C6B"/>
    <w:rsid w:val="395F08C1"/>
    <w:rsid w:val="396A7752"/>
    <w:rsid w:val="396C7A5A"/>
    <w:rsid w:val="398E6E54"/>
    <w:rsid w:val="3990387E"/>
    <w:rsid w:val="39930359"/>
    <w:rsid w:val="3995038E"/>
    <w:rsid w:val="39AF35D4"/>
    <w:rsid w:val="39B20F3F"/>
    <w:rsid w:val="39D676C1"/>
    <w:rsid w:val="39DF6CBD"/>
    <w:rsid w:val="39ED1AF7"/>
    <w:rsid w:val="39F92094"/>
    <w:rsid w:val="39FA6443"/>
    <w:rsid w:val="39FC040D"/>
    <w:rsid w:val="39FF1CAB"/>
    <w:rsid w:val="3A0C100F"/>
    <w:rsid w:val="3A0D43C8"/>
    <w:rsid w:val="3A0D75D3"/>
    <w:rsid w:val="3A114E8D"/>
    <w:rsid w:val="3A1C127D"/>
    <w:rsid w:val="3A2B3D92"/>
    <w:rsid w:val="3A2D00A7"/>
    <w:rsid w:val="3A353154"/>
    <w:rsid w:val="3A4C1D95"/>
    <w:rsid w:val="3A584CF8"/>
    <w:rsid w:val="3A6A5BA7"/>
    <w:rsid w:val="3A704957"/>
    <w:rsid w:val="3A752072"/>
    <w:rsid w:val="3A7F79F2"/>
    <w:rsid w:val="3A802DEC"/>
    <w:rsid w:val="3A80592E"/>
    <w:rsid w:val="3A84050A"/>
    <w:rsid w:val="3A865F28"/>
    <w:rsid w:val="3A883EF9"/>
    <w:rsid w:val="3A95616C"/>
    <w:rsid w:val="3A9A715B"/>
    <w:rsid w:val="3A9D7469"/>
    <w:rsid w:val="3AAE21A2"/>
    <w:rsid w:val="3AD31696"/>
    <w:rsid w:val="3AD46F39"/>
    <w:rsid w:val="3ADB2B53"/>
    <w:rsid w:val="3AE13D53"/>
    <w:rsid w:val="3AE359DA"/>
    <w:rsid w:val="3B0308E0"/>
    <w:rsid w:val="3B07350D"/>
    <w:rsid w:val="3B0E664A"/>
    <w:rsid w:val="3B103923"/>
    <w:rsid w:val="3B2C78BE"/>
    <w:rsid w:val="3B360EAC"/>
    <w:rsid w:val="3B385475"/>
    <w:rsid w:val="3B3C787E"/>
    <w:rsid w:val="3B3F2CA7"/>
    <w:rsid w:val="3B436E50"/>
    <w:rsid w:val="3B471250"/>
    <w:rsid w:val="3B473730"/>
    <w:rsid w:val="3B5443C4"/>
    <w:rsid w:val="3B5D5E54"/>
    <w:rsid w:val="3B5F6EA5"/>
    <w:rsid w:val="3B714E2B"/>
    <w:rsid w:val="3B726F40"/>
    <w:rsid w:val="3B7A40B9"/>
    <w:rsid w:val="3B7E614E"/>
    <w:rsid w:val="3B854432"/>
    <w:rsid w:val="3B8704DA"/>
    <w:rsid w:val="3B8C312E"/>
    <w:rsid w:val="3BAF09EA"/>
    <w:rsid w:val="3BB52F69"/>
    <w:rsid w:val="3BC66F24"/>
    <w:rsid w:val="3BC92B7F"/>
    <w:rsid w:val="3BFC5C4D"/>
    <w:rsid w:val="3C0D4B53"/>
    <w:rsid w:val="3C183C8A"/>
    <w:rsid w:val="3C3C5664"/>
    <w:rsid w:val="3C3F2833"/>
    <w:rsid w:val="3C5A7AED"/>
    <w:rsid w:val="3C704FBD"/>
    <w:rsid w:val="3C72033D"/>
    <w:rsid w:val="3C836BC3"/>
    <w:rsid w:val="3C940DD1"/>
    <w:rsid w:val="3C9E2CD1"/>
    <w:rsid w:val="3CB82851"/>
    <w:rsid w:val="3CCF3BB7"/>
    <w:rsid w:val="3CD43083"/>
    <w:rsid w:val="3CD4773D"/>
    <w:rsid w:val="3CE37F50"/>
    <w:rsid w:val="3CE53779"/>
    <w:rsid w:val="3CE66579"/>
    <w:rsid w:val="3D10475F"/>
    <w:rsid w:val="3D183D86"/>
    <w:rsid w:val="3D1D7D9E"/>
    <w:rsid w:val="3D283E0F"/>
    <w:rsid w:val="3D3D7D6C"/>
    <w:rsid w:val="3D424B07"/>
    <w:rsid w:val="3D4A161A"/>
    <w:rsid w:val="3D4F6AA6"/>
    <w:rsid w:val="3D65276D"/>
    <w:rsid w:val="3D6767CC"/>
    <w:rsid w:val="3D6A7D83"/>
    <w:rsid w:val="3D6F48FD"/>
    <w:rsid w:val="3D8C1AA8"/>
    <w:rsid w:val="3D8C7CFA"/>
    <w:rsid w:val="3DA925E4"/>
    <w:rsid w:val="3DAD7631"/>
    <w:rsid w:val="3DB861BE"/>
    <w:rsid w:val="3DDE5A12"/>
    <w:rsid w:val="3DDE7267"/>
    <w:rsid w:val="3E080D4E"/>
    <w:rsid w:val="3E0D35E4"/>
    <w:rsid w:val="3E13538A"/>
    <w:rsid w:val="3E270A99"/>
    <w:rsid w:val="3E2E082B"/>
    <w:rsid w:val="3E40014A"/>
    <w:rsid w:val="3E440AB9"/>
    <w:rsid w:val="3E4A0F94"/>
    <w:rsid w:val="3E590956"/>
    <w:rsid w:val="3E60064C"/>
    <w:rsid w:val="3E6912FB"/>
    <w:rsid w:val="3E805561"/>
    <w:rsid w:val="3E892E66"/>
    <w:rsid w:val="3E9005CC"/>
    <w:rsid w:val="3E990920"/>
    <w:rsid w:val="3EA71A34"/>
    <w:rsid w:val="3EBA64DC"/>
    <w:rsid w:val="3EDE4683"/>
    <w:rsid w:val="3EE14075"/>
    <w:rsid w:val="3EF75647"/>
    <w:rsid w:val="3F0A7128"/>
    <w:rsid w:val="3F122481"/>
    <w:rsid w:val="3F20694C"/>
    <w:rsid w:val="3F21636C"/>
    <w:rsid w:val="3F225C2B"/>
    <w:rsid w:val="3F23643C"/>
    <w:rsid w:val="3F2D1AD9"/>
    <w:rsid w:val="3F3E7B79"/>
    <w:rsid w:val="3F4E5538"/>
    <w:rsid w:val="3F4F5B98"/>
    <w:rsid w:val="3F5B3807"/>
    <w:rsid w:val="3F6F7421"/>
    <w:rsid w:val="3F8376C6"/>
    <w:rsid w:val="3F91350E"/>
    <w:rsid w:val="3F9E50AA"/>
    <w:rsid w:val="3FB53538"/>
    <w:rsid w:val="3FBB2D46"/>
    <w:rsid w:val="3FD55988"/>
    <w:rsid w:val="3FE67B95"/>
    <w:rsid w:val="3FEC0F24"/>
    <w:rsid w:val="400C561F"/>
    <w:rsid w:val="400E322C"/>
    <w:rsid w:val="40151122"/>
    <w:rsid w:val="401819D8"/>
    <w:rsid w:val="401963CC"/>
    <w:rsid w:val="401A783F"/>
    <w:rsid w:val="40383561"/>
    <w:rsid w:val="403A1C8F"/>
    <w:rsid w:val="40600C44"/>
    <w:rsid w:val="40741F07"/>
    <w:rsid w:val="407F02EE"/>
    <w:rsid w:val="40812766"/>
    <w:rsid w:val="40850299"/>
    <w:rsid w:val="40872D25"/>
    <w:rsid w:val="408C2E25"/>
    <w:rsid w:val="408D1834"/>
    <w:rsid w:val="40A67324"/>
    <w:rsid w:val="40B46F71"/>
    <w:rsid w:val="40B91AD9"/>
    <w:rsid w:val="40BC5557"/>
    <w:rsid w:val="40C80C85"/>
    <w:rsid w:val="40C854ED"/>
    <w:rsid w:val="40CB6D8B"/>
    <w:rsid w:val="40D53766"/>
    <w:rsid w:val="40E749EE"/>
    <w:rsid w:val="40ED32DF"/>
    <w:rsid w:val="40FF7BDD"/>
    <w:rsid w:val="41384420"/>
    <w:rsid w:val="41387DD6"/>
    <w:rsid w:val="413C595F"/>
    <w:rsid w:val="414C1C7A"/>
    <w:rsid w:val="415718A2"/>
    <w:rsid w:val="415B77B2"/>
    <w:rsid w:val="415D5C35"/>
    <w:rsid w:val="416325D6"/>
    <w:rsid w:val="41720FB5"/>
    <w:rsid w:val="417B1727"/>
    <w:rsid w:val="417B24F8"/>
    <w:rsid w:val="41801923"/>
    <w:rsid w:val="419929D9"/>
    <w:rsid w:val="419D4283"/>
    <w:rsid w:val="41AB652E"/>
    <w:rsid w:val="41B27B54"/>
    <w:rsid w:val="41B75ADD"/>
    <w:rsid w:val="41CB32AA"/>
    <w:rsid w:val="41EA7FBD"/>
    <w:rsid w:val="41F52311"/>
    <w:rsid w:val="41F5520C"/>
    <w:rsid w:val="41F84FE2"/>
    <w:rsid w:val="42075BA1"/>
    <w:rsid w:val="421E7BDA"/>
    <w:rsid w:val="4223484B"/>
    <w:rsid w:val="422C50C0"/>
    <w:rsid w:val="423544BC"/>
    <w:rsid w:val="423A5F76"/>
    <w:rsid w:val="423B19CF"/>
    <w:rsid w:val="42440BA3"/>
    <w:rsid w:val="42817701"/>
    <w:rsid w:val="42933246"/>
    <w:rsid w:val="42AC26F8"/>
    <w:rsid w:val="42B37AD7"/>
    <w:rsid w:val="42B92155"/>
    <w:rsid w:val="42BE7563"/>
    <w:rsid w:val="42E25D0B"/>
    <w:rsid w:val="42F7398B"/>
    <w:rsid w:val="42FE5942"/>
    <w:rsid w:val="43151254"/>
    <w:rsid w:val="43172EBF"/>
    <w:rsid w:val="43303086"/>
    <w:rsid w:val="4330507C"/>
    <w:rsid w:val="43397FDC"/>
    <w:rsid w:val="434626F9"/>
    <w:rsid w:val="43470E11"/>
    <w:rsid w:val="43545856"/>
    <w:rsid w:val="435A3DE3"/>
    <w:rsid w:val="435C1F1C"/>
    <w:rsid w:val="43613481"/>
    <w:rsid w:val="4366330F"/>
    <w:rsid w:val="437454B8"/>
    <w:rsid w:val="437F1FD2"/>
    <w:rsid w:val="438020AF"/>
    <w:rsid w:val="43805C0B"/>
    <w:rsid w:val="43850508"/>
    <w:rsid w:val="43866F99"/>
    <w:rsid w:val="439C056B"/>
    <w:rsid w:val="439C475B"/>
    <w:rsid w:val="43A43A29"/>
    <w:rsid w:val="43A62357"/>
    <w:rsid w:val="43AF64F0"/>
    <w:rsid w:val="43B31158"/>
    <w:rsid w:val="43BC0144"/>
    <w:rsid w:val="43C024AB"/>
    <w:rsid w:val="43C51B9F"/>
    <w:rsid w:val="43C81707"/>
    <w:rsid w:val="43D5539A"/>
    <w:rsid w:val="43E81BD6"/>
    <w:rsid w:val="43E929BC"/>
    <w:rsid w:val="44055A95"/>
    <w:rsid w:val="440E72B6"/>
    <w:rsid w:val="442514B7"/>
    <w:rsid w:val="442A1EA0"/>
    <w:rsid w:val="443F5CBA"/>
    <w:rsid w:val="443F79D0"/>
    <w:rsid w:val="444044BF"/>
    <w:rsid w:val="44450C02"/>
    <w:rsid w:val="444D368F"/>
    <w:rsid w:val="444F55DD"/>
    <w:rsid w:val="445350CD"/>
    <w:rsid w:val="4453627E"/>
    <w:rsid w:val="44585328"/>
    <w:rsid w:val="445C3F15"/>
    <w:rsid w:val="44703ED1"/>
    <w:rsid w:val="447F5805"/>
    <w:rsid w:val="449000D0"/>
    <w:rsid w:val="44B22820"/>
    <w:rsid w:val="44B32010"/>
    <w:rsid w:val="44C10289"/>
    <w:rsid w:val="44D85918"/>
    <w:rsid w:val="44FE772F"/>
    <w:rsid w:val="45010124"/>
    <w:rsid w:val="45012D7B"/>
    <w:rsid w:val="4501636F"/>
    <w:rsid w:val="45017D7B"/>
    <w:rsid w:val="450D6E2F"/>
    <w:rsid w:val="451A3E3D"/>
    <w:rsid w:val="452809D1"/>
    <w:rsid w:val="452B1BA6"/>
    <w:rsid w:val="452E27FF"/>
    <w:rsid w:val="45476FB4"/>
    <w:rsid w:val="454A4722"/>
    <w:rsid w:val="454C282C"/>
    <w:rsid w:val="454E6219"/>
    <w:rsid w:val="455C14A6"/>
    <w:rsid w:val="45617CBE"/>
    <w:rsid w:val="4571339C"/>
    <w:rsid w:val="45717F01"/>
    <w:rsid w:val="45757AD0"/>
    <w:rsid w:val="45833790"/>
    <w:rsid w:val="45857508"/>
    <w:rsid w:val="45907C92"/>
    <w:rsid w:val="45CD4B09"/>
    <w:rsid w:val="45E55ABB"/>
    <w:rsid w:val="45E6754E"/>
    <w:rsid w:val="45EE799F"/>
    <w:rsid w:val="45F85DDD"/>
    <w:rsid w:val="46040D75"/>
    <w:rsid w:val="4607616F"/>
    <w:rsid w:val="461063B2"/>
    <w:rsid w:val="46144D30"/>
    <w:rsid w:val="461B3652"/>
    <w:rsid w:val="461E3F3C"/>
    <w:rsid w:val="46330528"/>
    <w:rsid w:val="46344D15"/>
    <w:rsid w:val="4638241D"/>
    <w:rsid w:val="463F7FFF"/>
    <w:rsid w:val="46572CEA"/>
    <w:rsid w:val="46641C54"/>
    <w:rsid w:val="46737CA9"/>
    <w:rsid w:val="469D09CE"/>
    <w:rsid w:val="469E48E3"/>
    <w:rsid w:val="46BA0FAE"/>
    <w:rsid w:val="46BA1434"/>
    <w:rsid w:val="46BB3063"/>
    <w:rsid w:val="46BD2CFD"/>
    <w:rsid w:val="46CE55BF"/>
    <w:rsid w:val="46D1610B"/>
    <w:rsid w:val="46DC584E"/>
    <w:rsid w:val="46E91D19"/>
    <w:rsid w:val="46EA3AF6"/>
    <w:rsid w:val="46F27A6C"/>
    <w:rsid w:val="47101D30"/>
    <w:rsid w:val="471065F1"/>
    <w:rsid w:val="47262F6D"/>
    <w:rsid w:val="473B4D55"/>
    <w:rsid w:val="474B4782"/>
    <w:rsid w:val="47583B8A"/>
    <w:rsid w:val="47594898"/>
    <w:rsid w:val="47634395"/>
    <w:rsid w:val="47680BE3"/>
    <w:rsid w:val="47694C08"/>
    <w:rsid w:val="477458B7"/>
    <w:rsid w:val="477517FF"/>
    <w:rsid w:val="477E6905"/>
    <w:rsid w:val="478E26F8"/>
    <w:rsid w:val="47B266AE"/>
    <w:rsid w:val="47B64CAA"/>
    <w:rsid w:val="47C06F1E"/>
    <w:rsid w:val="47E276D5"/>
    <w:rsid w:val="47FA4353"/>
    <w:rsid w:val="47FB1D70"/>
    <w:rsid w:val="480C5CBF"/>
    <w:rsid w:val="481A105A"/>
    <w:rsid w:val="482A4397"/>
    <w:rsid w:val="482C4538"/>
    <w:rsid w:val="482D3E87"/>
    <w:rsid w:val="483039B0"/>
    <w:rsid w:val="4838194C"/>
    <w:rsid w:val="48474F49"/>
    <w:rsid w:val="484874C0"/>
    <w:rsid w:val="484F0B21"/>
    <w:rsid w:val="485B09F4"/>
    <w:rsid w:val="486A6814"/>
    <w:rsid w:val="486B2D57"/>
    <w:rsid w:val="486F624E"/>
    <w:rsid w:val="487503AE"/>
    <w:rsid w:val="4877604D"/>
    <w:rsid w:val="488C6E00"/>
    <w:rsid w:val="48A06566"/>
    <w:rsid w:val="48A464AC"/>
    <w:rsid w:val="48A74635"/>
    <w:rsid w:val="48AA264F"/>
    <w:rsid w:val="48B4429E"/>
    <w:rsid w:val="48B54FCB"/>
    <w:rsid w:val="48B56DEF"/>
    <w:rsid w:val="48BC0D87"/>
    <w:rsid w:val="48C70F12"/>
    <w:rsid w:val="48CD036D"/>
    <w:rsid w:val="48CD5341"/>
    <w:rsid w:val="48DD3AFF"/>
    <w:rsid w:val="48E409EA"/>
    <w:rsid w:val="48E65887"/>
    <w:rsid w:val="48EB636F"/>
    <w:rsid w:val="48EE7ABB"/>
    <w:rsid w:val="48F52A61"/>
    <w:rsid w:val="48FB68C8"/>
    <w:rsid w:val="491071E7"/>
    <w:rsid w:val="491864D1"/>
    <w:rsid w:val="492A753C"/>
    <w:rsid w:val="49362AE4"/>
    <w:rsid w:val="493705FB"/>
    <w:rsid w:val="494838A4"/>
    <w:rsid w:val="495B2DBD"/>
    <w:rsid w:val="49715C83"/>
    <w:rsid w:val="498875C7"/>
    <w:rsid w:val="498A0878"/>
    <w:rsid w:val="49957F36"/>
    <w:rsid w:val="49BC1967"/>
    <w:rsid w:val="49E24D99"/>
    <w:rsid w:val="49EA0282"/>
    <w:rsid w:val="49F42EAF"/>
    <w:rsid w:val="49F446CD"/>
    <w:rsid w:val="4A0A1CA5"/>
    <w:rsid w:val="4A0B6D7E"/>
    <w:rsid w:val="4A112621"/>
    <w:rsid w:val="4A161BF9"/>
    <w:rsid w:val="4A1E1CDA"/>
    <w:rsid w:val="4A1F21D4"/>
    <w:rsid w:val="4A215E00"/>
    <w:rsid w:val="4A253068"/>
    <w:rsid w:val="4A4409DD"/>
    <w:rsid w:val="4A5846E1"/>
    <w:rsid w:val="4A673681"/>
    <w:rsid w:val="4A7730B7"/>
    <w:rsid w:val="4A791606"/>
    <w:rsid w:val="4A7E09CA"/>
    <w:rsid w:val="4A896855"/>
    <w:rsid w:val="4A91694F"/>
    <w:rsid w:val="4A9348B5"/>
    <w:rsid w:val="4A9B157C"/>
    <w:rsid w:val="4AA21A3B"/>
    <w:rsid w:val="4AAF6DD6"/>
    <w:rsid w:val="4ABB39CC"/>
    <w:rsid w:val="4AC44277"/>
    <w:rsid w:val="4AC565F9"/>
    <w:rsid w:val="4AD0284C"/>
    <w:rsid w:val="4AD8457E"/>
    <w:rsid w:val="4AE22CEC"/>
    <w:rsid w:val="4B007631"/>
    <w:rsid w:val="4B1A515D"/>
    <w:rsid w:val="4B1F3F5B"/>
    <w:rsid w:val="4B3A0D95"/>
    <w:rsid w:val="4B4E4840"/>
    <w:rsid w:val="4B674E8A"/>
    <w:rsid w:val="4B6C2BB4"/>
    <w:rsid w:val="4B8425EA"/>
    <w:rsid w:val="4B96177F"/>
    <w:rsid w:val="4BA2652F"/>
    <w:rsid w:val="4BAF1783"/>
    <w:rsid w:val="4BB35E8A"/>
    <w:rsid w:val="4BC2179E"/>
    <w:rsid w:val="4BD80439"/>
    <w:rsid w:val="4BE61B76"/>
    <w:rsid w:val="4BE85436"/>
    <w:rsid w:val="4C012BBE"/>
    <w:rsid w:val="4C0D64AA"/>
    <w:rsid w:val="4C111EE5"/>
    <w:rsid w:val="4C351930"/>
    <w:rsid w:val="4C365A00"/>
    <w:rsid w:val="4C482D0E"/>
    <w:rsid w:val="4C5A3D9D"/>
    <w:rsid w:val="4C5C6292"/>
    <w:rsid w:val="4C6E5002"/>
    <w:rsid w:val="4C740F6F"/>
    <w:rsid w:val="4C81433F"/>
    <w:rsid w:val="4C843466"/>
    <w:rsid w:val="4CC06562"/>
    <w:rsid w:val="4CC90226"/>
    <w:rsid w:val="4CCE5C39"/>
    <w:rsid w:val="4CDA571F"/>
    <w:rsid w:val="4CE83413"/>
    <w:rsid w:val="4CF17B79"/>
    <w:rsid w:val="4D014F56"/>
    <w:rsid w:val="4D0553D3"/>
    <w:rsid w:val="4D123D2A"/>
    <w:rsid w:val="4D1F0243"/>
    <w:rsid w:val="4D2B55C7"/>
    <w:rsid w:val="4D303BE4"/>
    <w:rsid w:val="4D4732A6"/>
    <w:rsid w:val="4D4B6871"/>
    <w:rsid w:val="4D5E7235"/>
    <w:rsid w:val="4D6319F9"/>
    <w:rsid w:val="4D9B0299"/>
    <w:rsid w:val="4DB27309"/>
    <w:rsid w:val="4DC37B1E"/>
    <w:rsid w:val="4DC465A1"/>
    <w:rsid w:val="4DD86C79"/>
    <w:rsid w:val="4DF153C9"/>
    <w:rsid w:val="4DF83257"/>
    <w:rsid w:val="4DFA480C"/>
    <w:rsid w:val="4E04568A"/>
    <w:rsid w:val="4E0E13B2"/>
    <w:rsid w:val="4E1B3100"/>
    <w:rsid w:val="4E2375D2"/>
    <w:rsid w:val="4E260ED5"/>
    <w:rsid w:val="4E285A01"/>
    <w:rsid w:val="4E2B33FB"/>
    <w:rsid w:val="4E2F6BAB"/>
    <w:rsid w:val="4E315483"/>
    <w:rsid w:val="4E434192"/>
    <w:rsid w:val="4E443AB7"/>
    <w:rsid w:val="4E492901"/>
    <w:rsid w:val="4E4B4C07"/>
    <w:rsid w:val="4E4B51B2"/>
    <w:rsid w:val="4E52289A"/>
    <w:rsid w:val="4E5C7274"/>
    <w:rsid w:val="4E737F6D"/>
    <w:rsid w:val="4E760336"/>
    <w:rsid w:val="4E8027D3"/>
    <w:rsid w:val="4E9461AB"/>
    <w:rsid w:val="4EA11F8C"/>
    <w:rsid w:val="4EB3158A"/>
    <w:rsid w:val="4EBE7F2F"/>
    <w:rsid w:val="4EE130BB"/>
    <w:rsid w:val="4EE334F2"/>
    <w:rsid w:val="4EEA23FE"/>
    <w:rsid w:val="4EF474AD"/>
    <w:rsid w:val="4EF70D4B"/>
    <w:rsid w:val="4F0040A4"/>
    <w:rsid w:val="4F1A68D4"/>
    <w:rsid w:val="4F236171"/>
    <w:rsid w:val="4F241EBB"/>
    <w:rsid w:val="4F4C2FF3"/>
    <w:rsid w:val="4F5340E2"/>
    <w:rsid w:val="4F5B55BA"/>
    <w:rsid w:val="4F642884"/>
    <w:rsid w:val="4F712FFC"/>
    <w:rsid w:val="4F73681C"/>
    <w:rsid w:val="4F80744A"/>
    <w:rsid w:val="4F841749"/>
    <w:rsid w:val="4F870399"/>
    <w:rsid w:val="4F934BAD"/>
    <w:rsid w:val="4FA113E3"/>
    <w:rsid w:val="4FA71922"/>
    <w:rsid w:val="4FA864B2"/>
    <w:rsid w:val="4FAB04B3"/>
    <w:rsid w:val="4FB43D4E"/>
    <w:rsid w:val="4FB733F0"/>
    <w:rsid w:val="4FE5035A"/>
    <w:rsid w:val="4FF6727B"/>
    <w:rsid w:val="50066542"/>
    <w:rsid w:val="50091939"/>
    <w:rsid w:val="501047BA"/>
    <w:rsid w:val="5018142F"/>
    <w:rsid w:val="50207A01"/>
    <w:rsid w:val="5029063E"/>
    <w:rsid w:val="50350D26"/>
    <w:rsid w:val="503C735D"/>
    <w:rsid w:val="50512CDB"/>
    <w:rsid w:val="50596FA3"/>
    <w:rsid w:val="505C355C"/>
    <w:rsid w:val="506D39BB"/>
    <w:rsid w:val="5079151F"/>
    <w:rsid w:val="50792360"/>
    <w:rsid w:val="50824921"/>
    <w:rsid w:val="5083155C"/>
    <w:rsid w:val="508D5E05"/>
    <w:rsid w:val="5091713A"/>
    <w:rsid w:val="50922842"/>
    <w:rsid w:val="50A85116"/>
    <w:rsid w:val="50AB54C7"/>
    <w:rsid w:val="50BC3FFA"/>
    <w:rsid w:val="50C07F8E"/>
    <w:rsid w:val="50F639B0"/>
    <w:rsid w:val="50F94754"/>
    <w:rsid w:val="50FC2455"/>
    <w:rsid w:val="5103261C"/>
    <w:rsid w:val="510B58D7"/>
    <w:rsid w:val="510B7BF1"/>
    <w:rsid w:val="5116195C"/>
    <w:rsid w:val="51192E02"/>
    <w:rsid w:val="511B6F73"/>
    <w:rsid w:val="512A0852"/>
    <w:rsid w:val="51381F95"/>
    <w:rsid w:val="51475FBA"/>
    <w:rsid w:val="51570432"/>
    <w:rsid w:val="5163198F"/>
    <w:rsid w:val="516A22DE"/>
    <w:rsid w:val="51717899"/>
    <w:rsid w:val="51AE0F7B"/>
    <w:rsid w:val="51E26C0E"/>
    <w:rsid w:val="51F62284"/>
    <w:rsid w:val="52007344"/>
    <w:rsid w:val="520E67ED"/>
    <w:rsid w:val="522111E0"/>
    <w:rsid w:val="52245A59"/>
    <w:rsid w:val="52326C6A"/>
    <w:rsid w:val="523E537B"/>
    <w:rsid w:val="52464AA6"/>
    <w:rsid w:val="524E5126"/>
    <w:rsid w:val="525766D1"/>
    <w:rsid w:val="526806C6"/>
    <w:rsid w:val="526B3F2A"/>
    <w:rsid w:val="52716224"/>
    <w:rsid w:val="527A3052"/>
    <w:rsid w:val="528024FB"/>
    <w:rsid w:val="52803D01"/>
    <w:rsid w:val="52841258"/>
    <w:rsid w:val="528B7E40"/>
    <w:rsid w:val="52950FA7"/>
    <w:rsid w:val="52951BD9"/>
    <w:rsid w:val="529B480F"/>
    <w:rsid w:val="529F6FA1"/>
    <w:rsid w:val="52A6736A"/>
    <w:rsid w:val="52B81B37"/>
    <w:rsid w:val="52B906FB"/>
    <w:rsid w:val="52D45F09"/>
    <w:rsid w:val="52D67B64"/>
    <w:rsid w:val="52ED6E7D"/>
    <w:rsid w:val="53130849"/>
    <w:rsid w:val="532A1835"/>
    <w:rsid w:val="533267F6"/>
    <w:rsid w:val="53340070"/>
    <w:rsid w:val="53466708"/>
    <w:rsid w:val="53501E0B"/>
    <w:rsid w:val="5356467D"/>
    <w:rsid w:val="5365251D"/>
    <w:rsid w:val="53746E0E"/>
    <w:rsid w:val="53836FDD"/>
    <w:rsid w:val="53876B42"/>
    <w:rsid w:val="539019D6"/>
    <w:rsid w:val="53AB4487"/>
    <w:rsid w:val="53BB46E3"/>
    <w:rsid w:val="53C332BE"/>
    <w:rsid w:val="53C75190"/>
    <w:rsid w:val="53CD2275"/>
    <w:rsid w:val="53D539EB"/>
    <w:rsid w:val="53DA4EC3"/>
    <w:rsid w:val="53EA7BCE"/>
    <w:rsid w:val="53F00B8B"/>
    <w:rsid w:val="53F266B1"/>
    <w:rsid w:val="53F77BD1"/>
    <w:rsid w:val="540006A2"/>
    <w:rsid w:val="540377A5"/>
    <w:rsid w:val="540C0822"/>
    <w:rsid w:val="542746E3"/>
    <w:rsid w:val="54294904"/>
    <w:rsid w:val="5431523D"/>
    <w:rsid w:val="543207C0"/>
    <w:rsid w:val="5435659E"/>
    <w:rsid w:val="543A1E06"/>
    <w:rsid w:val="543E79E5"/>
    <w:rsid w:val="54432AAE"/>
    <w:rsid w:val="54480953"/>
    <w:rsid w:val="54500FE4"/>
    <w:rsid w:val="545E5562"/>
    <w:rsid w:val="545F361A"/>
    <w:rsid w:val="546A1765"/>
    <w:rsid w:val="546A6346"/>
    <w:rsid w:val="546F7495"/>
    <w:rsid w:val="5471718D"/>
    <w:rsid w:val="54940CD4"/>
    <w:rsid w:val="549D6CE0"/>
    <w:rsid w:val="54AD25D8"/>
    <w:rsid w:val="54B0031A"/>
    <w:rsid w:val="54B52F28"/>
    <w:rsid w:val="54B913BD"/>
    <w:rsid w:val="54BB334B"/>
    <w:rsid w:val="54CF69F2"/>
    <w:rsid w:val="54D22380"/>
    <w:rsid w:val="54D84E73"/>
    <w:rsid w:val="54E87AB4"/>
    <w:rsid w:val="54F401CB"/>
    <w:rsid w:val="54F61F69"/>
    <w:rsid w:val="553A1F37"/>
    <w:rsid w:val="553C395C"/>
    <w:rsid w:val="553E6869"/>
    <w:rsid w:val="55401F25"/>
    <w:rsid w:val="555962BC"/>
    <w:rsid w:val="558468FF"/>
    <w:rsid w:val="55937A20"/>
    <w:rsid w:val="55A3078C"/>
    <w:rsid w:val="55AD05A3"/>
    <w:rsid w:val="55AF4F40"/>
    <w:rsid w:val="55B0425C"/>
    <w:rsid w:val="55BA1450"/>
    <w:rsid w:val="55BB2AD2"/>
    <w:rsid w:val="55C261D9"/>
    <w:rsid w:val="55C93441"/>
    <w:rsid w:val="55CC4CE0"/>
    <w:rsid w:val="55DB7BE6"/>
    <w:rsid w:val="55E86676"/>
    <w:rsid w:val="55E97640"/>
    <w:rsid w:val="55F0686E"/>
    <w:rsid w:val="55F45D76"/>
    <w:rsid w:val="5654361C"/>
    <w:rsid w:val="56650F46"/>
    <w:rsid w:val="56690BF1"/>
    <w:rsid w:val="566A2ADC"/>
    <w:rsid w:val="566E3FE9"/>
    <w:rsid w:val="5677277F"/>
    <w:rsid w:val="567A52DE"/>
    <w:rsid w:val="568630E0"/>
    <w:rsid w:val="5689506B"/>
    <w:rsid w:val="56A30E45"/>
    <w:rsid w:val="56AE4F65"/>
    <w:rsid w:val="56BE0EC6"/>
    <w:rsid w:val="56D13049"/>
    <w:rsid w:val="56E044D9"/>
    <w:rsid w:val="56E1674E"/>
    <w:rsid w:val="56EC25B2"/>
    <w:rsid w:val="56EC4BFA"/>
    <w:rsid w:val="56FA281E"/>
    <w:rsid w:val="57047937"/>
    <w:rsid w:val="570A5ABF"/>
    <w:rsid w:val="572D5C52"/>
    <w:rsid w:val="57313360"/>
    <w:rsid w:val="573C5E95"/>
    <w:rsid w:val="575059ED"/>
    <w:rsid w:val="575925A3"/>
    <w:rsid w:val="57596A47"/>
    <w:rsid w:val="57776ECD"/>
    <w:rsid w:val="577F0045"/>
    <w:rsid w:val="57807CD3"/>
    <w:rsid w:val="578515EA"/>
    <w:rsid w:val="57882E88"/>
    <w:rsid w:val="578F5648"/>
    <w:rsid w:val="578F75DB"/>
    <w:rsid w:val="57C6564C"/>
    <w:rsid w:val="57D936E4"/>
    <w:rsid w:val="57F53C90"/>
    <w:rsid w:val="57F63657"/>
    <w:rsid w:val="580E3F7E"/>
    <w:rsid w:val="58297FC7"/>
    <w:rsid w:val="58366D88"/>
    <w:rsid w:val="58384833"/>
    <w:rsid w:val="583A6878"/>
    <w:rsid w:val="584047E4"/>
    <w:rsid w:val="58425AEE"/>
    <w:rsid w:val="58536AB2"/>
    <w:rsid w:val="585D27D8"/>
    <w:rsid w:val="58650145"/>
    <w:rsid w:val="589407E8"/>
    <w:rsid w:val="589B73EA"/>
    <w:rsid w:val="58A714B5"/>
    <w:rsid w:val="58B72279"/>
    <w:rsid w:val="58D46D76"/>
    <w:rsid w:val="58DF11CE"/>
    <w:rsid w:val="58DF4D2A"/>
    <w:rsid w:val="58DF6EA6"/>
    <w:rsid w:val="58FB6022"/>
    <w:rsid w:val="591E1C07"/>
    <w:rsid w:val="591E7F23"/>
    <w:rsid w:val="59254E33"/>
    <w:rsid w:val="59353D76"/>
    <w:rsid w:val="595219A0"/>
    <w:rsid w:val="5958468C"/>
    <w:rsid w:val="595F1E08"/>
    <w:rsid w:val="5963617B"/>
    <w:rsid w:val="596A5C75"/>
    <w:rsid w:val="59775AE7"/>
    <w:rsid w:val="597B0EF6"/>
    <w:rsid w:val="597B3B2B"/>
    <w:rsid w:val="598A70BE"/>
    <w:rsid w:val="598D7287"/>
    <w:rsid w:val="598E7CA7"/>
    <w:rsid w:val="599E017A"/>
    <w:rsid w:val="59BE5287"/>
    <w:rsid w:val="59CD425B"/>
    <w:rsid w:val="59DF4FA9"/>
    <w:rsid w:val="59F66BA3"/>
    <w:rsid w:val="59FA7431"/>
    <w:rsid w:val="5A005301"/>
    <w:rsid w:val="5A022967"/>
    <w:rsid w:val="5A046F80"/>
    <w:rsid w:val="5A06524F"/>
    <w:rsid w:val="5A104988"/>
    <w:rsid w:val="5A135AAE"/>
    <w:rsid w:val="5A13663E"/>
    <w:rsid w:val="5A144EA7"/>
    <w:rsid w:val="5A15485D"/>
    <w:rsid w:val="5A154F25"/>
    <w:rsid w:val="5A1629CD"/>
    <w:rsid w:val="5A2450EA"/>
    <w:rsid w:val="5A2529AF"/>
    <w:rsid w:val="5A2C0304"/>
    <w:rsid w:val="5A3A2B60"/>
    <w:rsid w:val="5A45109D"/>
    <w:rsid w:val="5A474C49"/>
    <w:rsid w:val="5A5F6122"/>
    <w:rsid w:val="5A690862"/>
    <w:rsid w:val="5A6B75AE"/>
    <w:rsid w:val="5A7F5170"/>
    <w:rsid w:val="5A8F1676"/>
    <w:rsid w:val="5A92474A"/>
    <w:rsid w:val="5A9E48C6"/>
    <w:rsid w:val="5AD27BA9"/>
    <w:rsid w:val="5ADA32F8"/>
    <w:rsid w:val="5AE90ACC"/>
    <w:rsid w:val="5AF04FF6"/>
    <w:rsid w:val="5AFC7E15"/>
    <w:rsid w:val="5B06360A"/>
    <w:rsid w:val="5B1242C8"/>
    <w:rsid w:val="5B1769FD"/>
    <w:rsid w:val="5B372BFB"/>
    <w:rsid w:val="5B390F1C"/>
    <w:rsid w:val="5B3F3DF3"/>
    <w:rsid w:val="5B417F1E"/>
    <w:rsid w:val="5B506217"/>
    <w:rsid w:val="5B6454E7"/>
    <w:rsid w:val="5B890A74"/>
    <w:rsid w:val="5B8B1E3B"/>
    <w:rsid w:val="5BA74225"/>
    <w:rsid w:val="5BC052E6"/>
    <w:rsid w:val="5BC07060"/>
    <w:rsid w:val="5BD47B22"/>
    <w:rsid w:val="5BEA0EDD"/>
    <w:rsid w:val="5BEE20A9"/>
    <w:rsid w:val="5BF64864"/>
    <w:rsid w:val="5BFB24D8"/>
    <w:rsid w:val="5C180C7F"/>
    <w:rsid w:val="5C221AFD"/>
    <w:rsid w:val="5C2358A5"/>
    <w:rsid w:val="5C2C4FA2"/>
    <w:rsid w:val="5C4E5223"/>
    <w:rsid w:val="5C5A1297"/>
    <w:rsid w:val="5C6F16EF"/>
    <w:rsid w:val="5C853056"/>
    <w:rsid w:val="5C91458D"/>
    <w:rsid w:val="5CA00D96"/>
    <w:rsid w:val="5CAE665E"/>
    <w:rsid w:val="5CBA31DE"/>
    <w:rsid w:val="5CC36F85"/>
    <w:rsid w:val="5CD909F0"/>
    <w:rsid w:val="5CDB04AC"/>
    <w:rsid w:val="5CE40B61"/>
    <w:rsid w:val="5CFC0B1A"/>
    <w:rsid w:val="5D011713"/>
    <w:rsid w:val="5D0176D1"/>
    <w:rsid w:val="5D062381"/>
    <w:rsid w:val="5D121B72"/>
    <w:rsid w:val="5D162281"/>
    <w:rsid w:val="5D1C5D4A"/>
    <w:rsid w:val="5D1E4863"/>
    <w:rsid w:val="5D2F708D"/>
    <w:rsid w:val="5D35201A"/>
    <w:rsid w:val="5D3F5FF8"/>
    <w:rsid w:val="5D4D6706"/>
    <w:rsid w:val="5D59774F"/>
    <w:rsid w:val="5D6463A2"/>
    <w:rsid w:val="5D764186"/>
    <w:rsid w:val="5D812EB7"/>
    <w:rsid w:val="5D8C1451"/>
    <w:rsid w:val="5D9B355D"/>
    <w:rsid w:val="5DA000E5"/>
    <w:rsid w:val="5DAE45F7"/>
    <w:rsid w:val="5DB06F0C"/>
    <w:rsid w:val="5DBB1863"/>
    <w:rsid w:val="5DBB1B81"/>
    <w:rsid w:val="5DD46610"/>
    <w:rsid w:val="5DE06E2F"/>
    <w:rsid w:val="5DE6516A"/>
    <w:rsid w:val="5DED613B"/>
    <w:rsid w:val="5DF66D9E"/>
    <w:rsid w:val="5DFA26CE"/>
    <w:rsid w:val="5E033269"/>
    <w:rsid w:val="5E1726F5"/>
    <w:rsid w:val="5E2B4BE9"/>
    <w:rsid w:val="5E2F3AD5"/>
    <w:rsid w:val="5E367A64"/>
    <w:rsid w:val="5E393AFC"/>
    <w:rsid w:val="5E464AD9"/>
    <w:rsid w:val="5E574237"/>
    <w:rsid w:val="5E6C1B35"/>
    <w:rsid w:val="5E742B81"/>
    <w:rsid w:val="5E7A2373"/>
    <w:rsid w:val="5E837256"/>
    <w:rsid w:val="5E850121"/>
    <w:rsid w:val="5E9D5346"/>
    <w:rsid w:val="5EA04F5B"/>
    <w:rsid w:val="5EA26A17"/>
    <w:rsid w:val="5EC22750"/>
    <w:rsid w:val="5ED66BCF"/>
    <w:rsid w:val="5EDA0AF8"/>
    <w:rsid w:val="5EE83DBB"/>
    <w:rsid w:val="5EF05EE3"/>
    <w:rsid w:val="5F0F7FC7"/>
    <w:rsid w:val="5F103E8F"/>
    <w:rsid w:val="5F210394"/>
    <w:rsid w:val="5F2142EE"/>
    <w:rsid w:val="5F3217DB"/>
    <w:rsid w:val="5F4474B3"/>
    <w:rsid w:val="5F514B5A"/>
    <w:rsid w:val="5F733A6F"/>
    <w:rsid w:val="5F8852BC"/>
    <w:rsid w:val="5F9E7878"/>
    <w:rsid w:val="5FA07D48"/>
    <w:rsid w:val="5FA23AFF"/>
    <w:rsid w:val="5FED2422"/>
    <w:rsid w:val="600E2645"/>
    <w:rsid w:val="60153B5A"/>
    <w:rsid w:val="6025229F"/>
    <w:rsid w:val="603242D9"/>
    <w:rsid w:val="60373527"/>
    <w:rsid w:val="603F51C1"/>
    <w:rsid w:val="60417720"/>
    <w:rsid w:val="605E08D8"/>
    <w:rsid w:val="605E6231"/>
    <w:rsid w:val="6085066D"/>
    <w:rsid w:val="608C5797"/>
    <w:rsid w:val="609B4994"/>
    <w:rsid w:val="60D5726F"/>
    <w:rsid w:val="60D94755"/>
    <w:rsid w:val="60E750C3"/>
    <w:rsid w:val="60E76009"/>
    <w:rsid w:val="61027679"/>
    <w:rsid w:val="610750C1"/>
    <w:rsid w:val="610F354A"/>
    <w:rsid w:val="61134F3D"/>
    <w:rsid w:val="611F372F"/>
    <w:rsid w:val="613C71BD"/>
    <w:rsid w:val="61461FEE"/>
    <w:rsid w:val="614B11AE"/>
    <w:rsid w:val="6156759D"/>
    <w:rsid w:val="61587D6F"/>
    <w:rsid w:val="616109D2"/>
    <w:rsid w:val="61632D51"/>
    <w:rsid w:val="617E052F"/>
    <w:rsid w:val="61804119"/>
    <w:rsid w:val="618C68FC"/>
    <w:rsid w:val="618E553F"/>
    <w:rsid w:val="61903065"/>
    <w:rsid w:val="61A66D2D"/>
    <w:rsid w:val="61B51ED6"/>
    <w:rsid w:val="61DA27DE"/>
    <w:rsid w:val="61DB038C"/>
    <w:rsid w:val="61DC44FC"/>
    <w:rsid w:val="61E026E2"/>
    <w:rsid w:val="61FA549F"/>
    <w:rsid w:val="6246440C"/>
    <w:rsid w:val="626764BC"/>
    <w:rsid w:val="627477E0"/>
    <w:rsid w:val="62755CE5"/>
    <w:rsid w:val="628D044D"/>
    <w:rsid w:val="6291178B"/>
    <w:rsid w:val="62A151A0"/>
    <w:rsid w:val="62A94B66"/>
    <w:rsid w:val="62BB2364"/>
    <w:rsid w:val="62BB6808"/>
    <w:rsid w:val="62BE3C02"/>
    <w:rsid w:val="62C63139"/>
    <w:rsid w:val="62DF4CFA"/>
    <w:rsid w:val="62E94DD1"/>
    <w:rsid w:val="62EC5F9A"/>
    <w:rsid w:val="62F34189"/>
    <w:rsid w:val="630505A8"/>
    <w:rsid w:val="631061DA"/>
    <w:rsid w:val="631C03F6"/>
    <w:rsid w:val="632779F9"/>
    <w:rsid w:val="634B4489"/>
    <w:rsid w:val="634D1FBE"/>
    <w:rsid w:val="63901A42"/>
    <w:rsid w:val="639257BA"/>
    <w:rsid w:val="639D4736"/>
    <w:rsid w:val="63DD1B94"/>
    <w:rsid w:val="63E21995"/>
    <w:rsid w:val="63E91153"/>
    <w:rsid w:val="63F11BF1"/>
    <w:rsid w:val="63F3350A"/>
    <w:rsid w:val="63FD639F"/>
    <w:rsid w:val="64033FC2"/>
    <w:rsid w:val="64351429"/>
    <w:rsid w:val="644B1C7D"/>
    <w:rsid w:val="64685581"/>
    <w:rsid w:val="646F78AA"/>
    <w:rsid w:val="64755C72"/>
    <w:rsid w:val="647E5A31"/>
    <w:rsid w:val="647F0123"/>
    <w:rsid w:val="648669A1"/>
    <w:rsid w:val="64904662"/>
    <w:rsid w:val="64922D82"/>
    <w:rsid w:val="64956F26"/>
    <w:rsid w:val="64A647D1"/>
    <w:rsid w:val="64A77044"/>
    <w:rsid w:val="64AD3F2E"/>
    <w:rsid w:val="64AE1B26"/>
    <w:rsid w:val="64B11C70"/>
    <w:rsid w:val="64D140C0"/>
    <w:rsid w:val="64DD5792"/>
    <w:rsid w:val="64DF5FBE"/>
    <w:rsid w:val="64E34291"/>
    <w:rsid w:val="64EE5EEA"/>
    <w:rsid w:val="64EF09EB"/>
    <w:rsid w:val="64F35CA7"/>
    <w:rsid w:val="65051FBC"/>
    <w:rsid w:val="650B4129"/>
    <w:rsid w:val="650D2C1F"/>
    <w:rsid w:val="652870B5"/>
    <w:rsid w:val="652E4750"/>
    <w:rsid w:val="652F2B95"/>
    <w:rsid w:val="653F2E1B"/>
    <w:rsid w:val="65476131"/>
    <w:rsid w:val="654B50E5"/>
    <w:rsid w:val="65522E7A"/>
    <w:rsid w:val="657B5DDA"/>
    <w:rsid w:val="658B5535"/>
    <w:rsid w:val="65905D2A"/>
    <w:rsid w:val="65A05841"/>
    <w:rsid w:val="65A8328B"/>
    <w:rsid w:val="65B20273"/>
    <w:rsid w:val="65B70C21"/>
    <w:rsid w:val="65C0381B"/>
    <w:rsid w:val="65E545F5"/>
    <w:rsid w:val="65EE6DAB"/>
    <w:rsid w:val="65F8429B"/>
    <w:rsid w:val="660D2ED6"/>
    <w:rsid w:val="662446C4"/>
    <w:rsid w:val="662525FF"/>
    <w:rsid w:val="662602B7"/>
    <w:rsid w:val="663454DA"/>
    <w:rsid w:val="6638680C"/>
    <w:rsid w:val="66404421"/>
    <w:rsid w:val="664803B2"/>
    <w:rsid w:val="664C3B7B"/>
    <w:rsid w:val="66586183"/>
    <w:rsid w:val="66735CA3"/>
    <w:rsid w:val="668B68B4"/>
    <w:rsid w:val="66A733FC"/>
    <w:rsid w:val="66C31B85"/>
    <w:rsid w:val="66CC61B6"/>
    <w:rsid w:val="66DC23F0"/>
    <w:rsid w:val="66DD6475"/>
    <w:rsid w:val="66E63727"/>
    <w:rsid w:val="66E67735"/>
    <w:rsid w:val="66EB479F"/>
    <w:rsid w:val="66F01A9F"/>
    <w:rsid w:val="6703252B"/>
    <w:rsid w:val="6706202E"/>
    <w:rsid w:val="671578AF"/>
    <w:rsid w:val="673B3A73"/>
    <w:rsid w:val="6744160C"/>
    <w:rsid w:val="674B0FB5"/>
    <w:rsid w:val="675114E9"/>
    <w:rsid w:val="675A0539"/>
    <w:rsid w:val="675D6931"/>
    <w:rsid w:val="67621882"/>
    <w:rsid w:val="676F3102"/>
    <w:rsid w:val="67705E13"/>
    <w:rsid w:val="67BC2E06"/>
    <w:rsid w:val="67BD26DA"/>
    <w:rsid w:val="67C9510F"/>
    <w:rsid w:val="67CF3F55"/>
    <w:rsid w:val="67D619EE"/>
    <w:rsid w:val="67E2328B"/>
    <w:rsid w:val="67E752B6"/>
    <w:rsid w:val="67E9768B"/>
    <w:rsid w:val="67EF066E"/>
    <w:rsid w:val="67F60203"/>
    <w:rsid w:val="68071BA7"/>
    <w:rsid w:val="680D397D"/>
    <w:rsid w:val="680E5EC8"/>
    <w:rsid w:val="68130B4F"/>
    <w:rsid w:val="68166208"/>
    <w:rsid w:val="68211566"/>
    <w:rsid w:val="6827148C"/>
    <w:rsid w:val="6837038E"/>
    <w:rsid w:val="6850354E"/>
    <w:rsid w:val="68582403"/>
    <w:rsid w:val="685F19E3"/>
    <w:rsid w:val="686B65DA"/>
    <w:rsid w:val="68712ECB"/>
    <w:rsid w:val="6874675C"/>
    <w:rsid w:val="6877245D"/>
    <w:rsid w:val="689E4394"/>
    <w:rsid w:val="68A616DF"/>
    <w:rsid w:val="68C161FA"/>
    <w:rsid w:val="68C26707"/>
    <w:rsid w:val="68CD07EF"/>
    <w:rsid w:val="68DD1565"/>
    <w:rsid w:val="68E307CA"/>
    <w:rsid w:val="68E34A05"/>
    <w:rsid w:val="690031C6"/>
    <w:rsid w:val="69085FBC"/>
    <w:rsid w:val="690954A7"/>
    <w:rsid w:val="690A15B0"/>
    <w:rsid w:val="691C34A2"/>
    <w:rsid w:val="691C54AA"/>
    <w:rsid w:val="692A0243"/>
    <w:rsid w:val="6942733B"/>
    <w:rsid w:val="694761C1"/>
    <w:rsid w:val="697D20B3"/>
    <w:rsid w:val="69852EB0"/>
    <w:rsid w:val="69987736"/>
    <w:rsid w:val="699F02BD"/>
    <w:rsid w:val="69A1416D"/>
    <w:rsid w:val="69BC26F9"/>
    <w:rsid w:val="69C02956"/>
    <w:rsid w:val="69CC7408"/>
    <w:rsid w:val="69CF1719"/>
    <w:rsid w:val="69D72A31"/>
    <w:rsid w:val="69DB2A1F"/>
    <w:rsid w:val="69E10805"/>
    <w:rsid w:val="69E92801"/>
    <w:rsid w:val="69F03DFC"/>
    <w:rsid w:val="6A0A5561"/>
    <w:rsid w:val="6A0F43B7"/>
    <w:rsid w:val="6A1011E7"/>
    <w:rsid w:val="6A136E7E"/>
    <w:rsid w:val="6A217DC6"/>
    <w:rsid w:val="6A250929"/>
    <w:rsid w:val="6A2E60A4"/>
    <w:rsid w:val="6A351CBD"/>
    <w:rsid w:val="6A3B3D8A"/>
    <w:rsid w:val="6A473B06"/>
    <w:rsid w:val="6A510CA2"/>
    <w:rsid w:val="6A545A5C"/>
    <w:rsid w:val="6A5645D1"/>
    <w:rsid w:val="6A731776"/>
    <w:rsid w:val="6A793230"/>
    <w:rsid w:val="6A8D3736"/>
    <w:rsid w:val="6A9077AD"/>
    <w:rsid w:val="6A941E18"/>
    <w:rsid w:val="6AA16E02"/>
    <w:rsid w:val="6AA302AD"/>
    <w:rsid w:val="6AC67AF8"/>
    <w:rsid w:val="6ACD532A"/>
    <w:rsid w:val="6AD22976"/>
    <w:rsid w:val="6AEC32A9"/>
    <w:rsid w:val="6AF76678"/>
    <w:rsid w:val="6AFD0A40"/>
    <w:rsid w:val="6B017527"/>
    <w:rsid w:val="6B23319C"/>
    <w:rsid w:val="6B6A7E52"/>
    <w:rsid w:val="6B6D4417"/>
    <w:rsid w:val="6B7917F7"/>
    <w:rsid w:val="6B7E0A2B"/>
    <w:rsid w:val="6B9C57AF"/>
    <w:rsid w:val="6BA20565"/>
    <w:rsid w:val="6BA409DC"/>
    <w:rsid w:val="6BA77929"/>
    <w:rsid w:val="6BBF1117"/>
    <w:rsid w:val="6BC77FCB"/>
    <w:rsid w:val="6BD315DC"/>
    <w:rsid w:val="6BDA7CFF"/>
    <w:rsid w:val="6BEB5DF6"/>
    <w:rsid w:val="6BF34B85"/>
    <w:rsid w:val="6BF51CD1"/>
    <w:rsid w:val="6BF6440D"/>
    <w:rsid w:val="6BFF0D7C"/>
    <w:rsid w:val="6C040633"/>
    <w:rsid w:val="6C066D46"/>
    <w:rsid w:val="6C082075"/>
    <w:rsid w:val="6C4E4F2D"/>
    <w:rsid w:val="6C505F12"/>
    <w:rsid w:val="6C586E75"/>
    <w:rsid w:val="6C5B06C6"/>
    <w:rsid w:val="6C6C7008"/>
    <w:rsid w:val="6C7D61D1"/>
    <w:rsid w:val="6C7E0B67"/>
    <w:rsid w:val="6C9C2970"/>
    <w:rsid w:val="6C9D073E"/>
    <w:rsid w:val="6CA309F1"/>
    <w:rsid w:val="6CA4030D"/>
    <w:rsid w:val="6CB05CE5"/>
    <w:rsid w:val="6CB32660"/>
    <w:rsid w:val="6CB94146"/>
    <w:rsid w:val="6CBC40B1"/>
    <w:rsid w:val="6CCD0E22"/>
    <w:rsid w:val="6CDF734A"/>
    <w:rsid w:val="6CE146E6"/>
    <w:rsid w:val="6CE47D54"/>
    <w:rsid w:val="6CFC11DF"/>
    <w:rsid w:val="6D130DA5"/>
    <w:rsid w:val="6D162FB8"/>
    <w:rsid w:val="6D1B176C"/>
    <w:rsid w:val="6D281EA9"/>
    <w:rsid w:val="6D3118D1"/>
    <w:rsid w:val="6D317194"/>
    <w:rsid w:val="6D3B7CA7"/>
    <w:rsid w:val="6D3F2BC2"/>
    <w:rsid w:val="6D4515FE"/>
    <w:rsid w:val="6D555702"/>
    <w:rsid w:val="6D561607"/>
    <w:rsid w:val="6D5822A6"/>
    <w:rsid w:val="6D664CA6"/>
    <w:rsid w:val="6D694D90"/>
    <w:rsid w:val="6D6D1E0F"/>
    <w:rsid w:val="6D75679B"/>
    <w:rsid w:val="6D765805"/>
    <w:rsid w:val="6D7C6B93"/>
    <w:rsid w:val="6D7D171B"/>
    <w:rsid w:val="6D8B6DD7"/>
    <w:rsid w:val="6D8E6A7C"/>
    <w:rsid w:val="6D8F2D6B"/>
    <w:rsid w:val="6D9B21BC"/>
    <w:rsid w:val="6DA32372"/>
    <w:rsid w:val="6DB66549"/>
    <w:rsid w:val="6DB87489"/>
    <w:rsid w:val="6DC522E8"/>
    <w:rsid w:val="6DC81DD9"/>
    <w:rsid w:val="6DCC18C9"/>
    <w:rsid w:val="6DD70CC8"/>
    <w:rsid w:val="6DDD5884"/>
    <w:rsid w:val="6DF332FA"/>
    <w:rsid w:val="6DF65CB0"/>
    <w:rsid w:val="6E061278"/>
    <w:rsid w:val="6E0B4071"/>
    <w:rsid w:val="6E314E89"/>
    <w:rsid w:val="6E432F38"/>
    <w:rsid w:val="6E572636"/>
    <w:rsid w:val="6E587601"/>
    <w:rsid w:val="6E5B1089"/>
    <w:rsid w:val="6E6A4C6A"/>
    <w:rsid w:val="6E8B5C0E"/>
    <w:rsid w:val="6E8E1B18"/>
    <w:rsid w:val="6E98119D"/>
    <w:rsid w:val="6E9817AB"/>
    <w:rsid w:val="6EA80852"/>
    <w:rsid w:val="6EB67B5B"/>
    <w:rsid w:val="6EBF1ABE"/>
    <w:rsid w:val="6ED40590"/>
    <w:rsid w:val="6EEE3AC1"/>
    <w:rsid w:val="6EF15759"/>
    <w:rsid w:val="6EF40975"/>
    <w:rsid w:val="6F0E7CBF"/>
    <w:rsid w:val="6F215C44"/>
    <w:rsid w:val="6F25138F"/>
    <w:rsid w:val="6F3B6D06"/>
    <w:rsid w:val="6F490CF7"/>
    <w:rsid w:val="6F4F6909"/>
    <w:rsid w:val="6F544A43"/>
    <w:rsid w:val="6F547AEB"/>
    <w:rsid w:val="6F5B7D6A"/>
    <w:rsid w:val="6F674A49"/>
    <w:rsid w:val="6F6A4E4E"/>
    <w:rsid w:val="6F700A27"/>
    <w:rsid w:val="6F7049DF"/>
    <w:rsid w:val="6F7C790C"/>
    <w:rsid w:val="6F843776"/>
    <w:rsid w:val="6F93437F"/>
    <w:rsid w:val="6FA81EC2"/>
    <w:rsid w:val="6FB47B91"/>
    <w:rsid w:val="6FE2140B"/>
    <w:rsid w:val="6FE56B84"/>
    <w:rsid w:val="701E2184"/>
    <w:rsid w:val="70251A36"/>
    <w:rsid w:val="702D0E59"/>
    <w:rsid w:val="70404D6E"/>
    <w:rsid w:val="70471FBB"/>
    <w:rsid w:val="70721820"/>
    <w:rsid w:val="709014CD"/>
    <w:rsid w:val="709652CC"/>
    <w:rsid w:val="709A274B"/>
    <w:rsid w:val="70A10129"/>
    <w:rsid w:val="70B336AC"/>
    <w:rsid w:val="70BD7D81"/>
    <w:rsid w:val="70C948CD"/>
    <w:rsid w:val="70D65775"/>
    <w:rsid w:val="70E9652C"/>
    <w:rsid w:val="70F53623"/>
    <w:rsid w:val="7104137A"/>
    <w:rsid w:val="71332059"/>
    <w:rsid w:val="71457062"/>
    <w:rsid w:val="714979B6"/>
    <w:rsid w:val="715916C6"/>
    <w:rsid w:val="71604236"/>
    <w:rsid w:val="71664000"/>
    <w:rsid w:val="716F2C97"/>
    <w:rsid w:val="718129CA"/>
    <w:rsid w:val="718F6E95"/>
    <w:rsid w:val="719D3976"/>
    <w:rsid w:val="71A53529"/>
    <w:rsid w:val="71B047FB"/>
    <w:rsid w:val="71B24F4C"/>
    <w:rsid w:val="71C32A6A"/>
    <w:rsid w:val="71C50B09"/>
    <w:rsid w:val="71CF7BDA"/>
    <w:rsid w:val="71ED7BDC"/>
    <w:rsid w:val="71F52906"/>
    <w:rsid w:val="71F81E69"/>
    <w:rsid w:val="71FB2775"/>
    <w:rsid w:val="72060BC8"/>
    <w:rsid w:val="72113D47"/>
    <w:rsid w:val="72216AD5"/>
    <w:rsid w:val="7229553C"/>
    <w:rsid w:val="722D66AE"/>
    <w:rsid w:val="72576DBA"/>
    <w:rsid w:val="72607330"/>
    <w:rsid w:val="72740939"/>
    <w:rsid w:val="72966949"/>
    <w:rsid w:val="72A46E5D"/>
    <w:rsid w:val="72B54893"/>
    <w:rsid w:val="72B866DB"/>
    <w:rsid w:val="72B868C0"/>
    <w:rsid w:val="72BA7F87"/>
    <w:rsid w:val="72C64894"/>
    <w:rsid w:val="72C708B1"/>
    <w:rsid w:val="72DB607B"/>
    <w:rsid w:val="72DF2474"/>
    <w:rsid w:val="72DF5BFA"/>
    <w:rsid w:val="72E66F89"/>
    <w:rsid w:val="72E70F53"/>
    <w:rsid w:val="72EA7C39"/>
    <w:rsid w:val="72F36D66"/>
    <w:rsid w:val="73031118"/>
    <w:rsid w:val="731A1328"/>
    <w:rsid w:val="73223379"/>
    <w:rsid w:val="7328462E"/>
    <w:rsid w:val="733A7E0D"/>
    <w:rsid w:val="733B3EC8"/>
    <w:rsid w:val="73427665"/>
    <w:rsid w:val="73506706"/>
    <w:rsid w:val="73626210"/>
    <w:rsid w:val="7365626F"/>
    <w:rsid w:val="73667929"/>
    <w:rsid w:val="73737AAA"/>
    <w:rsid w:val="737C5B3F"/>
    <w:rsid w:val="73BD21D3"/>
    <w:rsid w:val="73CB27BC"/>
    <w:rsid w:val="73E17B55"/>
    <w:rsid w:val="73F4395C"/>
    <w:rsid w:val="74015DB5"/>
    <w:rsid w:val="740C7A72"/>
    <w:rsid w:val="740E2E99"/>
    <w:rsid w:val="742A6FE1"/>
    <w:rsid w:val="742D3663"/>
    <w:rsid w:val="744366B1"/>
    <w:rsid w:val="74561E71"/>
    <w:rsid w:val="745D327B"/>
    <w:rsid w:val="745E5F99"/>
    <w:rsid w:val="7460720F"/>
    <w:rsid w:val="748C590E"/>
    <w:rsid w:val="74B03CF2"/>
    <w:rsid w:val="74BB3DE0"/>
    <w:rsid w:val="74D555EB"/>
    <w:rsid w:val="74EB26CC"/>
    <w:rsid w:val="74EC2851"/>
    <w:rsid w:val="74ED4E94"/>
    <w:rsid w:val="74EF0E60"/>
    <w:rsid w:val="7516167C"/>
    <w:rsid w:val="75294432"/>
    <w:rsid w:val="75403BE6"/>
    <w:rsid w:val="75450130"/>
    <w:rsid w:val="754B3A1B"/>
    <w:rsid w:val="75504B8E"/>
    <w:rsid w:val="758672DF"/>
    <w:rsid w:val="7591390B"/>
    <w:rsid w:val="75986212"/>
    <w:rsid w:val="759932A7"/>
    <w:rsid w:val="75A301F6"/>
    <w:rsid w:val="75A45ED5"/>
    <w:rsid w:val="75B009C3"/>
    <w:rsid w:val="75D426BD"/>
    <w:rsid w:val="75D54362"/>
    <w:rsid w:val="75EB0B36"/>
    <w:rsid w:val="75EF6A96"/>
    <w:rsid w:val="75F84767"/>
    <w:rsid w:val="75FF1DAA"/>
    <w:rsid w:val="76085468"/>
    <w:rsid w:val="760B6356"/>
    <w:rsid w:val="761F4661"/>
    <w:rsid w:val="762068C9"/>
    <w:rsid w:val="76251130"/>
    <w:rsid w:val="762A0487"/>
    <w:rsid w:val="762D1DA4"/>
    <w:rsid w:val="762F6E99"/>
    <w:rsid w:val="76326989"/>
    <w:rsid w:val="763318D4"/>
    <w:rsid w:val="7645046A"/>
    <w:rsid w:val="766A7ED1"/>
    <w:rsid w:val="766C1E9B"/>
    <w:rsid w:val="767138F6"/>
    <w:rsid w:val="7677439C"/>
    <w:rsid w:val="76962A74"/>
    <w:rsid w:val="769720AD"/>
    <w:rsid w:val="76AD166D"/>
    <w:rsid w:val="76B119D4"/>
    <w:rsid w:val="76B92C06"/>
    <w:rsid w:val="76BA0E58"/>
    <w:rsid w:val="76C91416"/>
    <w:rsid w:val="76DD6D8A"/>
    <w:rsid w:val="76DE78A8"/>
    <w:rsid w:val="76E318ED"/>
    <w:rsid w:val="76E7376F"/>
    <w:rsid w:val="76EA2DC0"/>
    <w:rsid w:val="76FD7750"/>
    <w:rsid w:val="77091498"/>
    <w:rsid w:val="770C0F88"/>
    <w:rsid w:val="77112544"/>
    <w:rsid w:val="771509A7"/>
    <w:rsid w:val="771B30F6"/>
    <w:rsid w:val="77277E15"/>
    <w:rsid w:val="772E3F08"/>
    <w:rsid w:val="772E7150"/>
    <w:rsid w:val="77493F8A"/>
    <w:rsid w:val="774E15A1"/>
    <w:rsid w:val="775D4447"/>
    <w:rsid w:val="777A6B75"/>
    <w:rsid w:val="778F59A2"/>
    <w:rsid w:val="77903967"/>
    <w:rsid w:val="77905715"/>
    <w:rsid w:val="779807BE"/>
    <w:rsid w:val="77C2099A"/>
    <w:rsid w:val="77C33FD9"/>
    <w:rsid w:val="77DA61AE"/>
    <w:rsid w:val="77FA4257"/>
    <w:rsid w:val="77FC2DAB"/>
    <w:rsid w:val="78252459"/>
    <w:rsid w:val="7829401D"/>
    <w:rsid w:val="783F1485"/>
    <w:rsid w:val="788F0126"/>
    <w:rsid w:val="789456D9"/>
    <w:rsid w:val="78B73BB5"/>
    <w:rsid w:val="78CA2EA9"/>
    <w:rsid w:val="78D9432B"/>
    <w:rsid w:val="78DB4153"/>
    <w:rsid w:val="78E033B2"/>
    <w:rsid w:val="78F2388C"/>
    <w:rsid w:val="78F91413"/>
    <w:rsid w:val="790C1713"/>
    <w:rsid w:val="79132AA2"/>
    <w:rsid w:val="79381C6E"/>
    <w:rsid w:val="79420C91"/>
    <w:rsid w:val="794361F2"/>
    <w:rsid w:val="79671063"/>
    <w:rsid w:val="7974786D"/>
    <w:rsid w:val="797747BD"/>
    <w:rsid w:val="79840432"/>
    <w:rsid w:val="79890D78"/>
    <w:rsid w:val="79896D3F"/>
    <w:rsid w:val="79A731EA"/>
    <w:rsid w:val="79A76CEB"/>
    <w:rsid w:val="79AD0B36"/>
    <w:rsid w:val="79B41DE1"/>
    <w:rsid w:val="79B444A6"/>
    <w:rsid w:val="79B84534"/>
    <w:rsid w:val="79BC6C95"/>
    <w:rsid w:val="79CB3817"/>
    <w:rsid w:val="79CD6FA4"/>
    <w:rsid w:val="79F41E6D"/>
    <w:rsid w:val="79F632BD"/>
    <w:rsid w:val="79F93A46"/>
    <w:rsid w:val="79FF1E58"/>
    <w:rsid w:val="7A161D4F"/>
    <w:rsid w:val="7A243FD6"/>
    <w:rsid w:val="7A2F7467"/>
    <w:rsid w:val="7A3E5BEE"/>
    <w:rsid w:val="7A3F0658"/>
    <w:rsid w:val="7A4C0C91"/>
    <w:rsid w:val="7A4C4E34"/>
    <w:rsid w:val="7A4D239A"/>
    <w:rsid w:val="7A4F18B8"/>
    <w:rsid w:val="7A531FCD"/>
    <w:rsid w:val="7A5769BE"/>
    <w:rsid w:val="7A64004F"/>
    <w:rsid w:val="7A6B76D9"/>
    <w:rsid w:val="7A6C04E0"/>
    <w:rsid w:val="7A83024A"/>
    <w:rsid w:val="7A8837E5"/>
    <w:rsid w:val="7AA15E8B"/>
    <w:rsid w:val="7AA339B1"/>
    <w:rsid w:val="7AA533FC"/>
    <w:rsid w:val="7AAD65DE"/>
    <w:rsid w:val="7AB355A9"/>
    <w:rsid w:val="7AB43E11"/>
    <w:rsid w:val="7AB7745D"/>
    <w:rsid w:val="7AB919AE"/>
    <w:rsid w:val="7AC72E0F"/>
    <w:rsid w:val="7ACA254B"/>
    <w:rsid w:val="7ACA3634"/>
    <w:rsid w:val="7AD25EAF"/>
    <w:rsid w:val="7AD65B35"/>
    <w:rsid w:val="7ADD2492"/>
    <w:rsid w:val="7AE2097E"/>
    <w:rsid w:val="7AE4556E"/>
    <w:rsid w:val="7AE53FCA"/>
    <w:rsid w:val="7AE87915"/>
    <w:rsid w:val="7AEB5D98"/>
    <w:rsid w:val="7B0C2028"/>
    <w:rsid w:val="7B12336F"/>
    <w:rsid w:val="7B1448AF"/>
    <w:rsid w:val="7B1701E9"/>
    <w:rsid w:val="7B172B54"/>
    <w:rsid w:val="7B1E1FC8"/>
    <w:rsid w:val="7B272834"/>
    <w:rsid w:val="7B3E36DA"/>
    <w:rsid w:val="7B427C68"/>
    <w:rsid w:val="7B46200C"/>
    <w:rsid w:val="7B523868"/>
    <w:rsid w:val="7B656EB9"/>
    <w:rsid w:val="7B997BCB"/>
    <w:rsid w:val="7BA27382"/>
    <w:rsid w:val="7BB45452"/>
    <w:rsid w:val="7BC10593"/>
    <w:rsid w:val="7BDA4BE7"/>
    <w:rsid w:val="7BDD1145"/>
    <w:rsid w:val="7BEA7C3F"/>
    <w:rsid w:val="7BED2AA7"/>
    <w:rsid w:val="7BF22E42"/>
    <w:rsid w:val="7C2E374F"/>
    <w:rsid w:val="7C375D5C"/>
    <w:rsid w:val="7C3B32DD"/>
    <w:rsid w:val="7C4958CF"/>
    <w:rsid w:val="7C5C08E1"/>
    <w:rsid w:val="7C636594"/>
    <w:rsid w:val="7C67143B"/>
    <w:rsid w:val="7C7B38C5"/>
    <w:rsid w:val="7C822240"/>
    <w:rsid w:val="7C8F2291"/>
    <w:rsid w:val="7CAB5A55"/>
    <w:rsid w:val="7CBF4DD1"/>
    <w:rsid w:val="7CC14829"/>
    <w:rsid w:val="7CC200F4"/>
    <w:rsid w:val="7CF27572"/>
    <w:rsid w:val="7CF71AB3"/>
    <w:rsid w:val="7CFC4DA3"/>
    <w:rsid w:val="7D0D5952"/>
    <w:rsid w:val="7D1E1A15"/>
    <w:rsid w:val="7D23702C"/>
    <w:rsid w:val="7D260BDE"/>
    <w:rsid w:val="7D316036"/>
    <w:rsid w:val="7D3550D0"/>
    <w:rsid w:val="7D390966"/>
    <w:rsid w:val="7D3F0DC7"/>
    <w:rsid w:val="7D4A06B4"/>
    <w:rsid w:val="7D4A3840"/>
    <w:rsid w:val="7D523CB5"/>
    <w:rsid w:val="7D5B0573"/>
    <w:rsid w:val="7D615A63"/>
    <w:rsid w:val="7D6559DF"/>
    <w:rsid w:val="7D6E4856"/>
    <w:rsid w:val="7D953D7C"/>
    <w:rsid w:val="7D9B3066"/>
    <w:rsid w:val="7D9E606D"/>
    <w:rsid w:val="7DA16D73"/>
    <w:rsid w:val="7DA37C07"/>
    <w:rsid w:val="7DA42E6D"/>
    <w:rsid w:val="7DBE0DB7"/>
    <w:rsid w:val="7DCD715E"/>
    <w:rsid w:val="7DD70C82"/>
    <w:rsid w:val="7DEB18F7"/>
    <w:rsid w:val="7DF84014"/>
    <w:rsid w:val="7DFF6FDE"/>
    <w:rsid w:val="7E007582"/>
    <w:rsid w:val="7E2F6E92"/>
    <w:rsid w:val="7E450460"/>
    <w:rsid w:val="7E5E713D"/>
    <w:rsid w:val="7E681432"/>
    <w:rsid w:val="7E6E1EFE"/>
    <w:rsid w:val="7E7832F6"/>
    <w:rsid w:val="7E79600D"/>
    <w:rsid w:val="7E803C11"/>
    <w:rsid w:val="7E8734E4"/>
    <w:rsid w:val="7E9F2024"/>
    <w:rsid w:val="7EAC301C"/>
    <w:rsid w:val="7EB15C26"/>
    <w:rsid w:val="7EB75231"/>
    <w:rsid w:val="7EC32874"/>
    <w:rsid w:val="7ED00E47"/>
    <w:rsid w:val="7EDB1808"/>
    <w:rsid w:val="7EE233E7"/>
    <w:rsid w:val="7F0215EE"/>
    <w:rsid w:val="7F0B5A8E"/>
    <w:rsid w:val="7F155D13"/>
    <w:rsid w:val="7F21544D"/>
    <w:rsid w:val="7F23202A"/>
    <w:rsid w:val="7F3472CE"/>
    <w:rsid w:val="7F350F48"/>
    <w:rsid w:val="7F453A47"/>
    <w:rsid w:val="7F463D34"/>
    <w:rsid w:val="7F4F5EB6"/>
    <w:rsid w:val="7F51408F"/>
    <w:rsid w:val="7F5300F0"/>
    <w:rsid w:val="7F5E29F9"/>
    <w:rsid w:val="7F663065"/>
    <w:rsid w:val="7F6D7F43"/>
    <w:rsid w:val="7F6E6B46"/>
    <w:rsid w:val="7F940BD9"/>
    <w:rsid w:val="7F9803BC"/>
    <w:rsid w:val="7F9B0EC3"/>
    <w:rsid w:val="7FB245F3"/>
    <w:rsid w:val="7FB4040F"/>
    <w:rsid w:val="7FCA19E0"/>
    <w:rsid w:val="7FD6152B"/>
    <w:rsid w:val="7FF26469"/>
    <w:rsid w:val="7FF76C79"/>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黑体"/>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3"/>
    <w:basedOn w:val="1"/>
    <w:next w:val="1"/>
    <w:autoRedefine/>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rPr>
  </w:style>
  <w:style w:type="character" w:default="1" w:styleId="16">
    <w:name w:val="Default Paragraph Font"/>
    <w:autoRedefine/>
    <w:unhideWhenUsed/>
    <w:qFormat/>
    <w:uiPriority w:val="1"/>
  </w:style>
  <w:style w:type="table" w:default="1" w:styleId="14">
    <w:name w:val="Normal Table"/>
    <w:autoRedefine/>
    <w:unhideWhenUsed/>
    <w:qFormat/>
    <w:uiPriority w:val="99"/>
    <w:tblPr>
      <w:tblCellMar>
        <w:top w:w="0" w:type="dxa"/>
        <w:left w:w="108" w:type="dxa"/>
        <w:bottom w:w="0" w:type="dxa"/>
        <w:right w:w="108" w:type="dxa"/>
      </w:tblCellMar>
    </w:tblPr>
  </w:style>
  <w:style w:type="paragraph" w:styleId="4">
    <w:name w:val="annotation text"/>
    <w:basedOn w:val="1"/>
    <w:link w:val="31"/>
    <w:autoRedefine/>
    <w:qFormat/>
    <w:uiPriority w:val="0"/>
    <w:pPr>
      <w:jc w:val="left"/>
    </w:pPr>
  </w:style>
  <w:style w:type="paragraph" w:styleId="5">
    <w:name w:val="Body Text"/>
    <w:basedOn w:val="1"/>
    <w:autoRedefine/>
    <w:qFormat/>
    <w:uiPriority w:val="99"/>
    <w:rPr>
      <w:sz w:val="24"/>
      <w:szCs w:val="20"/>
    </w:rPr>
  </w:style>
  <w:style w:type="paragraph" w:styleId="6">
    <w:name w:val="toc 3"/>
    <w:basedOn w:val="1"/>
    <w:next w:val="1"/>
    <w:autoRedefine/>
    <w:qFormat/>
    <w:uiPriority w:val="0"/>
    <w:pPr>
      <w:ind w:left="840" w:leftChars="400"/>
    </w:pPr>
  </w:style>
  <w:style w:type="paragraph" w:styleId="7">
    <w:name w:val="Balloon Text"/>
    <w:basedOn w:val="1"/>
    <w:link w:val="30"/>
    <w:autoRedefine/>
    <w:qFormat/>
    <w:uiPriority w:val="0"/>
    <w:rPr>
      <w:sz w:val="18"/>
      <w:szCs w:val="18"/>
    </w:rPr>
  </w:style>
  <w:style w:type="paragraph" w:styleId="8">
    <w:name w:val="footer"/>
    <w:basedOn w:val="1"/>
    <w:autoRedefine/>
    <w:unhideWhenUsed/>
    <w:qFormat/>
    <w:uiPriority w:val="99"/>
    <w:pPr>
      <w:tabs>
        <w:tab w:val="center" w:pos="4153"/>
        <w:tab w:val="right" w:pos="8306"/>
      </w:tabs>
      <w:snapToGrid w:val="0"/>
      <w:jc w:val="left"/>
    </w:pPr>
    <w:rPr>
      <w:sz w:val="18"/>
      <w:szCs w:val="18"/>
    </w:rPr>
  </w:style>
  <w:style w:type="paragraph" w:styleId="9">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0">
    <w:name w:val="toc 1"/>
    <w:basedOn w:val="1"/>
    <w:next w:val="1"/>
    <w:autoRedefine/>
    <w:qFormat/>
    <w:uiPriority w:val="0"/>
  </w:style>
  <w:style w:type="paragraph" w:styleId="11">
    <w:name w:val="toc 2"/>
    <w:basedOn w:val="1"/>
    <w:next w:val="1"/>
    <w:autoRedefine/>
    <w:qFormat/>
    <w:uiPriority w:val="0"/>
    <w:pPr>
      <w:ind w:left="420" w:leftChars="200"/>
    </w:pPr>
  </w:style>
  <w:style w:type="paragraph" w:styleId="12">
    <w:name w:val="Normal (Web)"/>
    <w:basedOn w:val="1"/>
    <w:autoRedefine/>
    <w:qFormat/>
    <w:uiPriority w:val="0"/>
    <w:pPr>
      <w:spacing w:before="0" w:beforeAutospacing="1" w:after="0" w:afterAutospacing="1"/>
      <w:ind w:left="0" w:right="0"/>
      <w:jc w:val="left"/>
    </w:pPr>
    <w:rPr>
      <w:kern w:val="0"/>
      <w:sz w:val="24"/>
      <w:lang w:val="en-US" w:eastAsia="zh-CN"/>
    </w:rPr>
  </w:style>
  <w:style w:type="paragraph" w:styleId="13">
    <w:name w:val="annotation subject"/>
    <w:basedOn w:val="4"/>
    <w:next w:val="4"/>
    <w:link w:val="32"/>
    <w:autoRedefine/>
    <w:qFormat/>
    <w:uiPriority w:val="0"/>
    <w:rPr>
      <w:b/>
      <w:bCs/>
    </w:rPr>
  </w:style>
  <w:style w:type="table" w:styleId="15">
    <w:name w:val="Table Grid"/>
    <w:basedOn w:val="1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Strong"/>
    <w:basedOn w:val="16"/>
    <w:autoRedefine/>
    <w:qFormat/>
    <w:uiPriority w:val="0"/>
    <w:rPr>
      <w:b/>
    </w:rPr>
  </w:style>
  <w:style w:type="character" w:styleId="18">
    <w:name w:val="Hyperlink"/>
    <w:basedOn w:val="16"/>
    <w:qFormat/>
    <w:uiPriority w:val="0"/>
    <w:rPr>
      <w:color w:val="0000FF"/>
      <w:u w:val="single"/>
    </w:rPr>
  </w:style>
  <w:style w:type="character" w:styleId="19">
    <w:name w:val="annotation reference"/>
    <w:basedOn w:val="16"/>
    <w:qFormat/>
    <w:uiPriority w:val="0"/>
    <w:rPr>
      <w:sz w:val="21"/>
      <w:szCs w:val="21"/>
    </w:rPr>
  </w:style>
  <w:style w:type="paragraph" w:customStyle="1" w:styleId="20">
    <w:name w:val="公式"/>
    <w:qFormat/>
    <w:uiPriority w:val="0"/>
    <w:pPr>
      <w:tabs>
        <w:tab w:val="center" w:pos="4150"/>
        <w:tab w:val="right" w:pos="8295"/>
      </w:tabs>
      <w:spacing w:line="360" w:lineRule="auto"/>
    </w:pPr>
    <w:rPr>
      <w:rFonts w:ascii="Times New Roman" w:hAnsi="Times New Roman" w:eastAsia="宋体" w:cs="Times New Roman"/>
      <w:bCs/>
      <w:w w:val="95"/>
      <w:sz w:val="24"/>
      <w:szCs w:val="28"/>
      <w:lang w:val="en-US" w:eastAsia="zh-CN" w:bidi="ar-SA"/>
    </w:rPr>
  </w:style>
  <w:style w:type="paragraph" w:customStyle="1" w:styleId="21">
    <w:name w:val="章"/>
    <w:basedOn w:val="1"/>
    <w:qFormat/>
    <w:uiPriority w:val="0"/>
    <w:pPr>
      <w:spacing w:beforeLines="100" w:afterLines="100" w:line="300" w:lineRule="auto"/>
      <w:jc w:val="center"/>
      <w:outlineLvl w:val="0"/>
    </w:pPr>
    <w:rPr>
      <w:rFonts w:ascii="Times New Roman" w:hAnsi="Times New Roman" w:eastAsia="宋体"/>
      <w:b/>
      <w:bCs/>
      <w:kern w:val="0"/>
      <w:sz w:val="28"/>
      <w:szCs w:val="28"/>
    </w:rPr>
  </w:style>
  <w:style w:type="paragraph" w:customStyle="1" w:styleId="22">
    <w:name w:val="WPSOffice手动目录 1"/>
    <w:qFormat/>
    <w:uiPriority w:val="0"/>
    <w:rPr>
      <w:rFonts w:ascii="Times New Roman" w:hAnsi="Times New Roman" w:eastAsia="宋体" w:cs="Times New Roman"/>
      <w:lang w:val="en-US" w:eastAsia="zh-CN" w:bidi="ar-SA"/>
    </w:rPr>
  </w:style>
  <w:style w:type="paragraph" w:customStyle="1" w:styleId="23">
    <w:name w:val="WPSOffice手动目录 2"/>
    <w:qFormat/>
    <w:uiPriority w:val="0"/>
    <w:pPr>
      <w:ind w:left="200" w:leftChars="200"/>
    </w:pPr>
    <w:rPr>
      <w:rFonts w:ascii="Times New Roman" w:hAnsi="Times New Roman" w:eastAsia="宋体" w:cs="Times New Roman"/>
      <w:lang w:val="en-US" w:eastAsia="zh-CN" w:bidi="ar-SA"/>
    </w:rPr>
  </w:style>
  <w:style w:type="paragraph" w:customStyle="1" w:styleId="24">
    <w:name w:val="WPSOffice手动目录 3"/>
    <w:qFormat/>
    <w:uiPriority w:val="0"/>
    <w:pPr>
      <w:ind w:left="400" w:leftChars="400"/>
    </w:pPr>
    <w:rPr>
      <w:rFonts w:ascii="Times New Roman" w:hAnsi="Times New Roman" w:eastAsia="宋体" w:cs="Times New Roman"/>
      <w:lang w:val="en-US" w:eastAsia="zh-CN" w:bidi="ar-SA"/>
    </w:rPr>
  </w:style>
  <w:style w:type="paragraph" w:customStyle="1" w:styleId="25">
    <w:name w:val="标准文件_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26">
    <w:name w:val="标准文件_附录二级条标题"/>
    <w:basedOn w:val="27"/>
    <w:next w:val="25"/>
    <w:qFormat/>
    <w:uiPriority w:val="0"/>
    <w:pPr>
      <w:widowControl/>
      <w:numPr>
        <w:ilvl w:val="2"/>
        <w:numId w:val="1"/>
      </w:numPr>
      <w:wordWrap w:val="0"/>
      <w:overflowPunct w:val="0"/>
      <w:autoSpaceDE w:val="0"/>
      <w:autoSpaceDN w:val="0"/>
      <w:textAlignment w:val="baseline"/>
      <w:outlineLvl w:val="3"/>
    </w:pPr>
  </w:style>
  <w:style w:type="paragraph" w:customStyle="1" w:styleId="27">
    <w:name w:val="标准文件_附录一级条标题"/>
    <w:next w:val="25"/>
    <w:qFormat/>
    <w:uiPriority w:val="0"/>
    <w:pPr>
      <w:widowControl w:val="0"/>
      <w:numPr>
        <w:ilvl w:val="1"/>
        <w:numId w:val="1"/>
      </w:numPr>
      <w:spacing w:beforeLines="50" w:afterLines="50"/>
      <w:jc w:val="both"/>
      <w:outlineLvl w:val="2"/>
    </w:pPr>
    <w:rPr>
      <w:rFonts w:ascii="黑体" w:hAnsi="Times New Roman" w:eastAsia="黑体" w:cs="Times New Roman"/>
      <w:kern w:val="21"/>
      <w:sz w:val="21"/>
      <w:lang w:val="en-US" w:eastAsia="zh-CN" w:bidi="ar-SA"/>
    </w:rPr>
  </w:style>
  <w:style w:type="paragraph" w:customStyle="1" w:styleId="28">
    <w:name w:val="List Paragraph"/>
    <w:basedOn w:val="1"/>
    <w:unhideWhenUsed/>
    <w:qFormat/>
    <w:uiPriority w:val="99"/>
    <w:pPr>
      <w:ind w:firstLine="420" w:firstLineChars="200"/>
    </w:pPr>
  </w:style>
  <w:style w:type="paragraph" w:customStyle="1" w:styleId="29">
    <w:name w:val="修订1"/>
    <w:hidden/>
    <w:unhideWhenUsed/>
    <w:qFormat/>
    <w:uiPriority w:val="99"/>
    <w:rPr>
      <w:rFonts w:ascii="Calibri" w:hAnsi="Calibri" w:eastAsia="宋体" w:cs="黑体"/>
      <w:kern w:val="2"/>
      <w:sz w:val="21"/>
      <w:szCs w:val="24"/>
      <w:lang w:val="en-US" w:eastAsia="zh-CN" w:bidi="ar-SA"/>
    </w:rPr>
  </w:style>
  <w:style w:type="character" w:customStyle="1" w:styleId="30">
    <w:name w:val="批注框文本 字符"/>
    <w:basedOn w:val="16"/>
    <w:link w:val="7"/>
    <w:qFormat/>
    <w:uiPriority w:val="0"/>
    <w:rPr>
      <w:rFonts w:ascii="Calibri" w:hAnsi="Calibri" w:eastAsia="宋体" w:cs="黑体"/>
      <w:kern w:val="2"/>
      <w:sz w:val="18"/>
      <w:szCs w:val="18"/>
    </w:rPr>
  </w:style>
  <w:style w:type="character" w:customStyle="1" w:styleId="31">
    <w:name w:val="批注文字 字符"/>
    <w:basedOn w:val="16"/>
    <w:link w:val="4"/>
    <w:qFormat/>
    <w:uiPriority w:val="0"/>
    <w:rPr>
      <w:rFonts w:ascii="Calibri" w:hAnsi="Calibri" w:eastAsia="宋体" w:cs="黑体"/>
      <w:kern w:val="2"/>
      <w:sz w:val="21"/>
      <w:szCs w:val="24"/>
    </w:rPr>
  </w:style>
  <w:style w:type="character" w:customStyle="1" w:styleId="32">
    <w:name w:val="批注主题 字符"/>
    <w:basedOn w:val="31"/>
    <w:link w:val="13"/>
    <w:qFormat/>
    <w:uiPriority w:val="0"/>
    <w:rPr>
      <w:rFonts w:ascii="Calibri" w:hAnsi="Calibri" w:eastAsia="宋体" w:cs="黑体"/>
      <w:b/>
      <w:bCs/>
      <w:kern w:val="2"/>
      <w:sz w:val="21"/>
      <w:szCs w:val="24"/>
    </w:rPr>
  </w:style>
  <w:style w:type="character" w:customStyle="1" w:styleId="33">
    <w:name w:val="font51"/>
    <w:basedOn w:val="16"/>
    <w:qFormat/>
    <w:uiPriority w:val="0"/>
    <w:rPr>
      <w:rFonts w:hint="eastAsia" w:ascii="宋体" w:hAnsi="宋体" w:eastAsia="宋体" w:cs="宋体"/>
      <w:i/>
      <w:iCs/>
      <w:color w:val="FF0000"/>
      <w:sz w:val="24"/>
      <w:szCs w:val="24"/>
      <w:u w:val="none"/>
    </w:rPr>
  </w:style>
  <w:style w:type="character" w:customStyle="1" w:styleId="34">
    <w:name w:val="font31"/>
    <w:basedOn w:val="16"/>
    <w:qFormat/>
    <w:uiPriority w:val="0"/>
    <w:rPr>
      <w:rFonts w:hint="eastAsia" w:ascii="宋体" w:hAnsi="宋体" w:eastAsia="宋体" w:cs="宋体"/>
      <w:color w:val="000000"/>
      <w:sz w:val="24"/>
      <w:szCs w:val="24"/>
      <w:u w:val="none"/>
    </w:rPr>
  </w:style>
  <w:style w:type="character" w:customStyle="1" w:styleId="35">
    <w:name w:val="font41"/>
    <w:basedOn w:val="16"/>
    <w:qFormat/>
    <w:uiPriority w:val="0"/>
    <w:rPr>
      <w:rFonts w:hint="eastAsia" w:ascii="宋体" w:hAnsi="宋体" w:eastAsia="宋体" w:cs="宋体"/>
      <w:color w:val="FF0000"/>
      <w:sz w:val="24"/>
      <w:szCs w:val="24"/>
      <w:u w:val="none"/>
    </w:rPr>
  </w:style>
  <w:style w:type="paragraph" w:customStyle="1" w:styleId="36">
    <w:name w:val="Table Text"/>
    <w:basedOn w:val="1"/>
    <w:semiHidden/>
    <w:qFormat/>
    <w:uiPriority w:val="0"/>
    <w:rPr>
      <w:rFonts w:ascii="Arial" w:hAnsi="Arial" w:eastAsia="Arial" w:cs="Arial"/>
      <w:sz w:val="18"/>
      <w:szCs w:val="18"/>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theme" Target="theme/theme1.xml"/><Relationship Id="rId12" Type="http://schemas.openxmlformats.org/officeDocument/2006/relationships/footer" Target="footer10.xml"/><Relationship Id="rId11" Type="http://schemas.openxmlformats.org/officeDocument/2006/relationships/footer" Target="footer9.xml"/><Relationship Id="rId10" Type="http://schemas.openxmlformats.org/officeDocument/2006/relationships/footer" Target="footer8.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DoubleOX</Company>
  <Pages>142</Pages>
  <Words>92199</Words>
  <Characters>99503</Characters>
  <Lines>405</Lines>
  <Paragraphs>114</Paragraphs>
  <TotalTime>0</TotalTime>
  <ScaleCrop>false</ScaleCrop>
  <LinksUpToDate>false</LinksUpToDate>
  <CharactersWithSpaces>101202</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2024-02-12T10:55:00Z</dcterms:created>
  <dc:creator>94807</dc:creator>
  <cp:lastModifiedBy>WPS_1657854682</cp:lastModifiedBy>
  <dcterms:modified xsi:type="dcterms:W3CDTF">2025-06-28T11:13:47Z</dcterms:modified>
  <dc:title>CECS</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47516AB788B34D0CA1FB86FE16E99874_13</vt:lpwstr>
  </property>
  <property fmtid="{D5CDD505-2E9C-101B-9397-08002B2CF9AE}" pid="4" name="KSOTemplateDocerSaveRecord">
    <vt:lpwstr>eyJoZGlkIjoiOWI5ZTk3NGU0NmM4M2RlMTQ5YTU1MWY5YmQ2Y2JmOTUiLCJ1c2VySWQiOiIxMzg4NzE0ODUyIn0=</vt:lpwstr>
  </property>
</Properties>
</file>