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FDF2E3" w14:textId="77777777" w:rsidR="00E269CD" w:rsidRDefault="00E13E3E">
      <w:pPr>
        <w:autoSpaceDE w:val="0"/>
        <w:autoSpaceDN w:val="0"/>
        <w:adjustRightInd w:val="0"/>
        <w:spacing w:line="360" w:lineRule="auto"/>
        <w:jc w:val="distribute"/>
        <w:rPr>
          <w:rFonts w:ascii="Times New Roman" w:hAnsi="Times New Roman" w:cs="Times New Roman"/>
          <w:color w:val="000000" w:themeColor="text1"/>
          <w:sz w:val="36"/>
          <w:szCs w:val="36"/>
        </w:rPr>
      </w:pPr>
      <w:r>
        <w:rPr>
          <w:rFonts w:ascii="Times New Roman" w:eastAsia="华文楷体" w:hAnsi="Times New Roman" w:cs="Times New Roman"/>
          <w:b/>
          <w:bCs/>
          <w:noProof/>
          <w:color w:val="000000" w:themeColor="text1"/>
          <w:sz w:val="52"/>
          <w:szCs w:val="48"/>
        </w:rPr>
        <w:drawing>
          <wp:inline distT="0" distB="0" distL="0" distR="0" wp14:anchorId="7156FE0B" wp14:editId="315CEF32">
            <wp:extent cx="1287780" cy="922020"/>
            <wp:effectExtent l="0" t="0" r="7620" b="0"/>
            <wp:docPr id="64" name="图片 64"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CECS--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287780" cy="922020"/>
                    </a:xfrm>
                    <a:prstGeom prst="rect">
                      <a:avLst/>
                    </a:prstGeom>
                    <a:noFill/>
                    <a:ln>
                      <a:noFill/>
                    </a:ln>
                  </pic:spPr>
                </pic:pic>
              </a:graphicData>
            </a:graphic>
          </wp:inline>
        </w:drawing>
      </w:r>
      <w:r>
        <w:rPr>
          <w:rFonts w:ascii="Times New Roman" w:hAnsi="Times New Roman" w:cs="Times New Roman"/>
          <w:color w:val="000000" w:themeColor="text1"/>
          <w:sz w:val="36"/>
          <w:szCs w:val="36"/>
        </w:rPr>
        <w:t xml:space="preserve">                   T/CECS xxx-2023</w:t>
      </w:r>
    </w:p>
    <w:tbl>
      <w:tblPr>
        <w:tblW w:w="8723" w:type="dxa"/>
        <w:tblInd w:w="-87" w:type="dxa"/>
        <w:tblBorders>
          <w:top w:val="single" w:sz="24" w:space="0" w:color="auto"/>
        </w:tblBorders>
        <w:tblLayout w:type="fixed"/>
        <w:tblLook w:val="04A0" w:firstRow="1" w:lastRow="0" w:firstColumn="1" w:lastColumn="0" w:noHBand="0" w:noVBand="1"/>
      </w:tblPr>
      <w:tblGrid>
        <w:gridCol w:w="8723"/>
      </w:tblGrid>
      <w:tr w:rsidR="00E269CD" w14:paraId="0F092B0C" w14:textId="77777777">
        <w:trPr>
          <w:trHeight w:val="93"/>
        </w:trPr>
        <w:tc>
          <w:tcPr>
            <w:tcW w:w="8723" w:type="dxa"/>
          </w:tcPr>
          <w:p w14:paraId="4F5BC7B4" w14:textId="77777777" w:rsidR="00E269CD" w:rsidRDefault="00E269CD">
            <w:pPr>
              <w:autoSpaceDE w:val="0"/>
              <w:autoSpaceDN w:val="0"/>
              <w:adjustRightInd w:val="0"/>
              <w:spacing w:line="360" w:lineRule="auto"/>
              <w:jc w:val="center"/>
              <w:rPr>
                <w:rFonts w:ascii="Times New Roman" w:hAnsi="Times New Roman" w:cs="Times New Roman"/>
                <w:b/>
                <w:color w:val="000000" w:themeColor="text1"/>
                <w:sz w:val="44"/>
                <w:szCs w:val="44"/>
              </w:rPr>
            </w:pPr>
          </w:p>
        </w:tc>
      </w:tr>
    </w:tbl>
    <w:p w14:paraId="6DC518FD" w14:textId="77777777" w:rsidR="00E269CD" w:rsidRDefault="00E13E3E">
      <w:pPr>
        <w:autoSpaceDE w:val="0"/>
        <w:autoSpaceDN w:val="0"/>
        <w:adjustRightInd w:val="0"/>
        <w:spacing w:line="360" w:lineRule="auto"/>
        <w:jc w:val="center"/>
        <w:rPr>
          <w:rFonts w:ascii="Times New Roman" w:eastAsia="黑体" w:hAnsi="Times New Roman" w:cs="Times New Roman"/>
          <w:color w:val="000000" w:themeColor="text1"/>
          <w:spacing w:val="20"/>
          <w:kern w:val="0"/>
          <w:sz w:val="36"/>
          <w:szCs w:val="36"/>
        </w:rPr>
      </w:pPr>
      <w:r>
        <w:rPr>
          <w:rFonts w:ascii="Times New Roman" w:eastAsia="黑体" w:hAnsi="Times New Roman" w:cs="Times New Roman"/>
          <w:color w:val="000000" w:themeColor="text1"/>
          <w:spacing w:val="20"/>
          <w:kern w:val="0"/>
          <w:sz w:val="36"/>
          <w:szCs w:val="36"/>
        </w:rPr>
        <w:t>中国工程建设标准化协会标准</w:t>
      </w:r>
    </w:p>
    <w:p w14:paraId="3D5C9380" w14:textId="77777777" w:rsidR="00E269CD" w:rsidRDefault="00E269CD">
      <w:pPr>
        <w:autoSpaceDE w:val="0"/>
        <w:autoSpaceDN w:val="0"/>
        <w:adjustRightInd w:val="0"/>
        <w:spacing w:line="360" w:lineRule="auto"/>
        <w:jc w:val="center"/>
        <w:rPr>
          <w:rFonts w:ascii="Times New Roman" w:hAnsi="Times New Roman" w:cs="Times New Roman"/>
          <w:b/>
          <w:color w:val="000000" w:themeColor="text1"/>
          <w:sz w:val="44"/>
          <w:szCs w:val="44"/>
        </w:rPr>
      </w:pPr>
    </w:p>
    <w:p w14:paraId="23937D6D" w14:textId="77777777" w:rsidR="00E269CD" w:rsidRDefault="00E269CD">
      <w:pPr>
        <w:spacing w:line="360" w:lineRule="auto"/>
        <w:jc w:val="center"/>
        <w:rPr>
          <w:rFonts w:ascii="Times New Roman" w:eastAsia="黑体" w:hAnsi="Times New Roman" w:cs="Times New Roman"/>
          <w:color w:val="000000" w:themeColor="text1"/>
          <w:sz w:val="32"/>
        </w:rPr>
      </w:pPr>
    </w:p>
    <w:p w14:paraId="6C3F95F6" w14:textId="77777777" w:rsidR="00E269CD" w:rsidRDefault="00E269CD">
      <w:pPr>
        <w:spacing w:line="360" w:lineRule="auto"/>
        <w:jc w:val="center"/>
        <w:rPr>
          <w:rFonts w:ascii="Times New Roman" w:eastAsia="黑体" w:hAnsi="Times New Roman" w:cs="Times New Roman"/>
          <w:color w:val="000000" w:themeColor="text1"/>
          <w:sz w:val="32"/>
        </w:rPr>
      </w:pPr>
    </w:p>
    <w:p w14:paraId="5E68F6A0" w14:textId="77777777" w:rsidR="00E269CD" w:rsidRDefault="00E269CD">
      <w:pPr>
        <w:adjustRightInd w:val="0"/>
        <w:spacing w:line="360" w:lineRule="auto"/>
        <w:ind w:left="568"/>
        <w:jc w:val="left"/>
        <w:textAlignment w:val="baseline"/>
        <w:rPr>
          <w:rFonts w:ascii="Times New Roman" w:eastAsia="宋体" w:hAnsi="Times New Roman" w:cs="Times New Roman"/>
          <w:color w:val="000000" w:themeColor="text1"/>
          <w:kern w:val="0"/>
          <w:sz w:val="28"/>
          <w:szCs w:val="20"/>
        </w:rPr>
      </w:pPr>
    </w:p>
    <w:p w14:paraId="7BCA467E" w14:textId="77777777" w:rsidR="00E269CD" w:rsidRDefault="00E269CD">
      <w:pPr>
        <w:adjustRightInd w:val="0"/>
        <w:spacing w:line="360" w:lineRule="auto"/>
        <w:ind w:left="568"/>
        <w:jc w:val="left"/>
        <w:textAlignment w:val="baseline"/>
        <w:rPr>
          <w:rFonts w:ascii="Times New Roman" w:eastAsia="宋体" w:hAnsi="Times New Roman" w:cs="Times New Roman"/>
          <w:color w:val="000000" w:themeColor="text1"/>
          <w:kern w:val="0"/>
          <w:sz w:val="28"/>
          <w:szCs w:val="20"/>
        </w:rPr>
      </w:pPr>
    </w:p>
    <w:p w14:paraId="19FF3EF8" w14:textId="77777777" w:rsidR="00E269CD" w:rsidRDefault="00E269CD">
      <w:pPr>
        <w:widowControl/>
        <w:spacing w:line="360" w:lineRule="auto"/>
        <w:jc w:val="center"/>
        <w:rPr>
          <w:rFonts w:ascii="Times New Roman" w:eastAsia="宋体" w:hAnsi="Times New Roman" w:cs="Times New Roman"/>
          <w:color w:val="000000" w:themeColor="text1"/>
          <w:kern w:val="0"/>
          <w:sz w:val="28"/>
          <w:szCs w:val="20"/>
        </w:rPr>
      </w:pPr>
    </w:p>
    <w:p w14:paraId="701F78D9" w14:textId="77777777" w:rsidR="00E269CD" w:rsidRDefault="00E13E3E">
      <w:pPr>
        <w:widowControl/>
        <w:spacing w:line="360" w:lineRule="auto"/>
        <w:jc w:val="center"/>
        <w:rPr>
          <w:rFonts w:ascii="Times New Roman" w:eastAsia="黑体" w:hAnsi="Times New Roman" w:cs="Times New Roman"/>
          <w:color w:val="000000" w:themeColor="text1"/>
          <w:sz w:val="52"/>
          <w:szCs w:val="52"/>
        </w:rPr>
      </w:pPr>
      <w:r>
        <w:rPr>
          <w:rFonts w:ascii="Times New Roman" w:eastAsia="黑体" w:hAnsi="Times New Roman" w:cs="Times New Roman"/>
          <w:color w:val="000000" w:themeColor="text1"/>
          <w:sz w:val="52"/>
          <w:szCs w:val="52"/>
        </w:rPr>
        <w:t>次氯酸钠消毒技术规程</w:t>
      </w:r>
    </w:p>
    <w:p w14:paraId="026C04FD" w14:textId="77777777" w:rsidR="00E269CD" w:rsidRDefault="00E13E3E">
      <w:pPr>
        <w:adjustRightInd w:val="0"/>
        <w:spacing w:line="360" w:lineRule="auto"/>
        <w:jc w:val="center"/>
        <w:textAlignment w:val="baseline"/>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Technical specification for sodium hypochlorite disinfection</w:t>
      </w:r>
    </w:p>
    <w:p w14:paraId="0507FD9C" w14:textId="77777777" w:rsidR="00E269CD" w:rsidRDefault="00E269CD">
      <w:pPr>
        <w:adjustRightInd w:val="0"/>
        <w:spacing w:line="360" w:lineRule="auto"/>
        <w:ind w:left="568"/>
        <w:jc w:val="left"/>
        <w:textAlignment w:val="baseline"/>
        <w:rPr>
          <w:rFonts w:ascii="Times New Roman" w:eastAsia="宋体" w:hAnsi="Times New Roman" w:cs="Times New Roman"/>
          <w:color w:val="000000" w:themeColor="text1"/>
          <w:kern w:val="0"/>
          <w:sz w:val="28"/>
          <w:szCs w:val="20"/>
        </w:rPr>
      </w:pPr>
    </w:p>
    <w:p w14:paraId="1E98F6C9" w14:textId="77777777" w:rsidR="00E269CD" w:rsidRDefault="00E269CD">
      <w:pPr>
        <w:adjustRightInd w:val="0"/>
        <w:spacing w:line="360" w:lineRule="auto"/>
        <w:ind w:left="568"/>
        <w:jc w:val="left"/>
        <w:textAlignment w:val="baseline"/>
        <w:rPr>
          <w:rFonts w:ascii="Times New Roman" w:eastAsia="宋体" w:hAnsi="Times New Roman" w:cs="Times New Roman"/>
          <w:color w:val="000000" w:themeColor="text1"/>
          <w:kern w:val="0"/>
          <w:sz w:val="28"/>
          <w:szCs w:val="20"/>
        </w:rPr>
      </w:pPr>
    </w:p>
    <w:p w14:paraId="6D402E76" w14:textId="77777777" w:rsidR="00E269CD" w:rsidRDefault="00E269CD">
      <w:pPr>
        <w:adjustRightInd w:val="0"/>
        <w:spacing w:line="360" w:lineRule="auto"/>
        <w:ind w:left="568"/>
        <w:jc w:val="left"/>
        <w:textAlignment w:val="baseline"/>
        <w:rPr>
          <w:rFonts w:ascii="Times New Roman" w:eastAsia="宋体" w:hAnsi="Times New Roman" w:cs="Times New Roman"/>
          <w:color w:val="000000" w:themeColor="text1"/>
          <w:kern w:val="0"/>
          <w:sz w:val="28"/>
          <w:szCs w:val="20"/>
        </w:rPr>
      </w:pPr>
    </w:p>
    <w:p w14:paraId="52435153" w14:textId="77777777" w:rsidR="00E269CD" w:rsidRDefault="00E269CD">
      <w:pPr>
        <w:adjustRightInd w:val="0"/>
        <w:spacing w:line="360" w:lineRule="auto"/>
        <w:ind w:left="568"/>
        <w:jc w:val="left"/>
        <w:textAlignment w:val="baseline"/>
        <w:rPr>
          <w:rFonts w:ascii="Times New Roman" w:eastAsia="宋体" w:hAnsi="Times New Roman" w:cs="Times New Roman"/>
          <w:color w:val="000000" w:themeColor="text1"/>
          <w:kern w:val="0"/>
          <w:sz w:val="28"/>
          <w:szCs w:val="20"/>
        </w:rPr>
      </w:pPr>
    </w:p>
    <w:p w14:paraId="7B93C753" w14:textId="77777777" w:rsidR="00E269CD" w:rsidRDefault="00E269CD">
      <w:pPr>
        <w:adjustRightInd w:val="0"/>
        <w:spacing w:line="360" w:lineRule="auto"/>
        <w:ind w:left="568"/>
        <w:jc w:val="left"/>
        <w:textAlignment w:val="baseline"/>
        <w:rPr>
          <w:rFonts w:ascii="Times New Roman" w:eastAsia="宋体" w:hAnsi="Times New Roman" w:cs="Times New Roman"/>
          <w:color w:val="000000" w:themeColor="text1"/>
          <w:kern w:val="0"/>
          <w:sz w:val="28"/>
          <w:szCs w:val="20"/>
        </w:rPr>
      </w:pPr>
    </w:p>
    <w:p w14:paraId="6F52A3C0" w14:textId="77777777" w:rsidR="00E269CD" w:rsidRDefault="00E13E3E">
      <w:pPr>
        <w:autoSpaceDE w:val="0"/>
        <w:autoSpaceDN w:val="0"/>
        <w:adjustRightInd w:val="0"/>
        <w:spacing w:line="360" w:lineRule="auto"/>
        <w:jc w:val="center"/>
        <w:rPr>
          <w:rFonts w:ascii="Times New Roman" w:eastAsia="黑体" w:hAnsi="Times New Roman" w:cs="Times New Roman"/>
          <w:color w:val="000000" w:themeColor="text1"/>
          <w:spacing w:val="20"/>
          <w:kern w:val="0"/>
          <w:sz w:val="32"/>
          <w:szCs w:val="32"/>
        </w:rPr>
      </w:pPr>
      <w:r>
        <w:rPr>
          <w:rFonts w:ascii="Times New Roman" w:eastAsia="黑体" w:hAnsi="Times New Roman" w:cs="Times New Roman"/>
          <w:color w:val="000000" w:themeColor="text1"/>
          <w:spacing w:val="20"/>
          <w:kern w:val="0"/>
          <w:sz w:val="32"/>
          <w:szCs w:val="32"/>
        </w:rPr>
        <w:t>中国建筑工业出版社</w:t>
      </w:r>
    </w:p>
    <w:p w14:paraId="5060EC78" w14:textId="77777777" w:rsidR="00E269CD" w:rsidRDefault="00E13E3E">
      <w:pPr>
        <w:spacing w:line="360" w:lineRule="auto"/>
        <w:jc w:val="center"/>
        <w:rPr>
          <w:rFonts w:ascii="Times New Roman" w:eastAsia="宋体" w:hAnsi="Times New Roman" w:cs="Times New Roman"/>
          <w:b/>
          <w:color w:val="000000" w:themeColor="text1"/>
          <w:sz w:val="28"/>
          <w:szCs w:val="28"/>
        </w:rPr>
      </w:pPr>
      <w:r>
        <w:rPr>
          <w:rFonts w:ascii="Times New Roman" w:eastAsia="黑体" w:hAnsi="Times New Roman" w:cs="Times New Roman"/>
          <w:color w:val="000000" w:themeColor="text1"/>
          <w:spacing w:val="20"/>
          <w:kern w:val="0"/>
          <w:sz w:val="32"/>
          <w:szCs w:val="32"/>
        </w:rPr>
        <w:t xml:space="preserve">2023  </w:t>
      </w:r>
      <w:r>
        <w:rPr>
          <w:rFonts w:ascii="Times New Roman" w:eastAsia="黑体" w:hAnsi="Times New Roman" w:cs="Times New Roman"/>
          <w:color w:val="000000" w:themeColor="text1"/>
          <w:spacing w:val="20"/>
          <w:kern w:val="0"/>
          <w:sz w:val="32"/>
          <w:szCs w:val="32"/>
        </w:rPr>
        <w:t>北京</w:t>
      </w:r>
    </w:p>
    <w:p w14:paraId="315C8AD7" w14:textId="77777777" w:rsidR="00E269CD" w:rsidRDefault="00E13E3E">
      <w:pPr>
        <w:spacing w:line="360" w:lineRule="auto"/>
        <w:ind w:firstLineChars="557" w:firstLine="1560"/>
        <w:rPr>
          <w:rFonts w:ascii="Times New Roman" w:eastAsia="宋体" w:hAnsi="Times New Roman" w:cs="Times New Roman"/>
          <w:color w:val="000000" w:themeColor="text1"/>
          <w:sz w:val="28"/>
        </w:rPr>
        <w:sectPr w:rsidR="00E269CD">
          <w:footerReference w:type="default" r:id="rId8"/>
          <w:pgSz w:w="11906" w:h="16838"/>
          <w:pgMar w:top="1440" w:right="1800" w:bottom="1440" w:left="1800" w:header="851" w:footer="992" w:gutter="0"/>
          <w:cols w:space="425"/>
          <w:docGrid w:type="lines" w:linePitch="312"/>
        </w:sectPr>
      </w:pPr>
      <w:r>
        <w:rPr>
          <w:rFonts w:ascii="Times New Roman" w:eastAsia="宋体" w:hAnsi="Times New Roman" w:cs="Times New Roman"/>
          <w:color w:val="000000" w:themeColor="text1"/>
          <w:sz w:val="28"/>
        </w:rPr>
        <w:br w:type="page"/>
      </w:r>
    </w:p>
    <w:p w14:paraId="46472C60" w14:textId="77777777" w:rsidR="00E269CD" w:rsidRDefault="00E269CD">
      <w:pPr>
        <w:spacing w:line="360" w:lineRule="auto"/>
        <w:jc w:val="center"/>
        <w:rPr>
          <w:rFonts w:ascii="Times New Roman" w:eastAsia="黑体" w:hAnsi="Times New Roman" w:cs="Times New Roman"/>
          <w:color w:val="000000" w:themeColor="text1"/>
          <w:sz w:val="32"/>
        </w:rPr>
      </w:pPr>
    </w:p>
    <w:p w14:paraId="337E49A6" w14:textId="77777777" w:rsidR="00E269CD" w:rsidRDefault="00E269CD">
      <w:pPr>
        <w:spacing w:line="360" w:lineRule="auto"/>
        <w:jc w:val="center"/>
        <w:rPr>
          <w:rFonts w:ascii="Times New Roman" w:eastAsia="黑体" w:hAnsi="Times New Roman" w:cs="Times New Roman"/>
          <w:color w:val="000000" w:themeColor="text1"/>
          <w:sz w:val="32"/>
        </w:rPr>
      </w:pPr>
    </w:p>
    <w:p w14:paraId="0EDC38EE" w14:textId="77777777" w:rsidR="00E269CD" w:rsidRDefault="00E13E3E">
      <w:pPr>
        <w:spacing w:line="360" w:lineRule="auto"/>
        <w:jc w:val="center"/>
        <w:rPr>
          <w:rFonts w:ascii="Times New Roman" w:eastAsia="黑体" w:hAnsi="Times New Roman" w:cs="Times New Roman"/>
          <w:color w:val="000000" w:themeColor="text1"/>
          <w:sz w:val="36"/>
          <w:szCs w:val="36"/>
        </w:rPr>
      </w:pPr>
      <w:r>
        <w:rPr>
          <w:rFonts w:ascii="Times New Roman" w:eastAsia="黑体" w:hAnsi="Times New Roman" w:cs="Times New Roman"/>
          <w:color w:val="000000" w:themeColor="text1"/>
          <w:sz w:val="36"/>
          <w:szCs w:val="36"/>
        </w:rPr>
        <w:t>中国工程建设标准化协会标准</w:t>
      </w:r>
    </w:p>
    <w:p w14:paraId="3180AAD9" w14:textId="77777777" w:rsidR="00E269CD" w:rsidRDefault="00E269CD">
      <w:pPr>
        <w:adjustRightInd w:val="0"/>
        <w:spacing w:line="360" w:lineRule="auto"/>
        <w:ind w:left="568"/>
        <w:jc w:val="left"/>
        <w:textAlignment w:val="baseline"/>
        <w:rPr>
          <w:rFonts w:ascii="Times New Roman" w:eastAsia="宋体" w:hAnsi="Times New Roman" w:cs="Times New Roman"/>
          <w:color w:val="000000" w:themeColor="text1"/>
          <w:kern w:val="0"/>
          <w:sz w:val="28"/>
          <w:szCs w:val="20"/>
        </w:rPr>
      </w:pPr>
    </w:p>
    <w:p w14:paraId="30271D00" w14:textId="77777777" w:rsidR="00E269CD" w:rsidRDefault="00E13E3E">
      <w:pPr>
        <w:widowControl/>
        <w:spacing w:line="360" w:lineRule="auto"/>
        <w:jc w:val="center"/>
        <w:rPr>
          <w:rFonts w:ascii="Times New Roman" w:eastAsia="黑体" w:hAnsi="Times New Roman" w:cs="Times New Roman"/>
          <w:b/>
          <w:color w:val="000000" w:themeColor="text1"/>
          <w:sz w:val="48"/>
          <w:szCs w:val="48"/>
        </w:rPr>
      </w:pPr>
      <w:r>
        <w:rPr>
          <w:rFonts w:ascii="Times New Roman" w:eastAsia="黑体" w:hAnsi="Times New Roman" w:cs="Times New Roman"/>
          <w:b/>
          <w:color w:val="000000" w:themeColor="text1"/>
          <w:sz w:val="48"/>
          <w:szCs w:val="48"/>
        </w:rPr>
        <w:t>次氯酸钠消毒技术规程</w:t>
      </w:r>
    </w:p>
    <w:p w14:paraId="67905E7E" w14:textId="77777777" w:rsidR="00E269CD" w:rsidRDefault="00E13E3E">
      <w:pPr>
        <w:adjustRightInd w:val="0"/>
        <w:spacing w:line="360" w:lineRule="auto"/>
        <w:jc w:val="center"/>
        <w:textAlignment w:val="baseline"/>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Technical specification for sodium hypochlorite disinfection</w:t>
      </w:r>
    </w:p>
    <w:p w14:paraId="2885EB48" w14:textId="77777777" w:rsidR="00E269CD" w:rsidRDefault="00E13E3E">
      <w:pPr>
        <w:adjustRightInd w:val="0"/>
        <w:spacing w:line="360" w:lineRule="auto"/>
        <w:ind w:left="568"/>
        <w:jc w:val="center"/>
        <w:textAlignment w:val="baseline"/>
        <w:rPr>
          <w:rFonts w:ascii="Times New Roman" w:eastAsia="宋体" w:hAnsi="Times New Roman" w:cs="Times New Roman"/>
          <w:color w:val="000000" w:themeColor="text1"/>
          <w:kern w:val="0"/>
          <w:sz w:val="28"/>
          <w:szCs w:val="20"/>
        </w:rPr>
      </w:pPr>
      <w:r>
        <w:rPr>
          <w:rFonts w:ascii="Times New Roman" w:eastAsia="宋体" w:hAnsi="Times New Roman" w:cs="Times New Roman"/>
          <w:color w:val="000000" w:themeColor="text1"/>
          <w:kern w:val="0"/>
          <w:sz w:val="28"/>
          <w:szCs w:val="20"/>
        </w:rPr>
        <w:t>（征求意见稿）</w:t>
      </w:r>
    </w:p>
    <w:p w14:paraId="349FE506" w14:textId="77777777" w:rsidR="00E269CD" w:rsidRDefault="00E13E3E">
      <w:pPr>
        <w:adjustRightInd w:val="0"/>
        <w:spacing w:line="360" w:lineRule="auto"/>
        <w:ind w:left="568"/>
        <w:jc w:val="center"/>
        <w:textAlignment w:val="baseline"/>
        <w:rPr>
          <w:rFonts w:ascii="Times New Roman" w:eastAsia="宋体" w:hAnsi="Times New Roman" w:cs="Times New Roman"/>
          <w:color w:val="000000" w:themeColor="text1"/>
          <w:kern w:val="0"/>
          <w:sz w:val="32"/>
          <w:szCs w:val="20"/>
        </w:rPr>
      </w:pPr>
      <w:r>
        <w:rPr>
          <w:rFonts w:ascii="Times New Roman" w:hAnsi="Times New Roman" w:cs="Times New Roman"/>
          <w:color w:val="000000" w:themeColor="text1"/>
          <w:sz w:val="28"/>
        </w:rPr>
        <w:t>T/CECS  xxx-2023</w:t>
      </w:r>
    </w:p>
    <w:p w14:paraId="7521F609" w14:textId="77777777" w:rsidR="00E269CD" w:rsidRDefault="00E269CD">
      <w:pPr>
        <w:adjustRightInd w:val="0"/>
        <w:spacing w:line="360" w:lineRule="auto"/>
        <w:ind w:left="568"/>
        <w:jc w:val="left"/>
        <w:textAlignment w:val="baseline"/>
        <w:rPr>
          <w:rFonts w:ascii="Times New Roman" w:eastAsia="宋体" w:hAnsi="Times New Roman" w:cs="Times New Roman"/>
          <w:color w:val="000000" w:themeColor="text1"/>
          <w:kern w:val="0"/>
          <w:sz w:val="28"/>
          <w:szCs w:val="20"/>
        </w:rPr>
      </w:pPr>
    </w:p>
    <w:p w14:paraId="32E8B5D3" w14:textId="77777777" w:rsidR="00E269CD" w:rsidRDefault="00E13E3E">
      <w:pPr>
        <w:spacing w:line="360" w:lineRule="auto"/>
        <w:ind w:left="568" w:firstLine="1559"/>
        <w:jc w:val="left"/>
        <w:rPr>
          <w:rFonts w:ascii="Times New Roman" w:eastAsia="宋体" w:hAnsi="Times New Roman" w:cs="Times New Roman"/>
          <w:color w:val="000000" w:themeColor="text1"/>
          <w:sz w:val="28"/>
        </w:rPr>
      </w:pPr>
      <w:r>
        <w:rPr>
          <w:rFonts w:ascii="Times New Roman" w:eastAsia="宋体" w:hAnsi="Times New Roman" w:cs="Times New Roman"/>
          <w:color w:val="000000" w:themeColor="text1"/>
          <w:sz w:val="28"/>
        </w:rPr>
        <w:t>主编单位：</w:t>
      </w:r>
    </w:p>
    <w:p w14:paraId="2494318D" w14:textId="77777777" w:rsidR="00E269CD" w:rsidRDefault="00E13E3E">
      <w:pPr>
        <w:spacing w:line="360" w:lineRule="auto"/>
        <w:ind w:left="568" w:firstLine="1559"/>
        <w:jc w:val="left"/>
        <w:rPr>
          <w:rFonts w:ascii="Times New Roman" w:eastAsia="宋体" w:hAnsi="Times New Roman" w:cs="Times New Roman"/>
          <w:color w:val="000000" w:themeColor="text1"/>
          <w:sz w:val="28"/>
        </w:rPr>
      </w:pPr>
      <w:r>
        <w:rPr>
          <w:rFonts w:ascii="Times New Roman" w:eastAsia="宋体" w:hAnsi="Times New Roman" w:cs="Times New Roman"/>
          <w:color w:val="000000" w:themeColor="text1"/>
          <w:sz w:val="28"/>
        </w:rPr>
        <w:t>上海市政工程设计研究总院（集团）有限公司</w:t>
      </w:r>
    </w:p>
    <w:p w14:paraId="643DB627" w14:textId="77777777" w:rsidR="00E269CD" w:rsidRDefault="00E13E3E">
      <w:pPr>
        <w:spacing w:line="360" w:lineRule="auto"/>
        <w:ind w:left="568" w:firstLine="1559"/>
        <w:jc w:val="left"/>
        <w:rPr>
          <w:rFonts w:ascii="Times New Roman" w:eastAsia="宋体" w:hAnsi="Times New Roman" w:cs="Times New Roman"/>
          <w:color w:val="000000" w:themeColor="text1"/>
          <w:sz w:val="28"/>
        </w:rPr>
      </w:pPr>
      <w:r>
        <w:rPr>
          <w:rFonts w:ascii="Times New Roman" w:eastAsia="宋体" w:hAnsi="Times New Roman" w:cs="Times New Roman"/>
          <w:color w:val="000000" w:themeColor="text1"/>
          <w:sz w:val="28"/>
        </w:rPr>
        <w:t>格兰富水泵（上海）有限公司</w:t>
      </w:r>
    </w:p>
    <w:p w14:paraId="2E81DE65" w14:textId="77777777" w:rsidR="00E269CD" w:rsidRDefault="00E13E3E">
      <w:pPr>
        <w:spacing w:line="360" w:lineRule="auto"/>
        <w:ind w:left="568" w:firstLine="1559"/>
        <w:jc w:val="left"/>
        <w:rPr>
          <w:rFonts w:ascii="Times New Roman" w:eastAsia="宋体" w:hAnsi="Times New Roman" w:cs="Times New Roman"/>
          <w:color w:val="000000" w:themeColor="text1"/>
          <w:sz w:val="28"/>
        </w:rPr>
      </w:pPr>
      <w:r>
        <w:rPr>
          <w:rFonts w:ascii="Times New Roman" w:eastAsia="宋体" w:hAnsi="Times New Roman" w:cs="Times New Roman"/>
          <w:color w:val="000000" w:themeColor="text1"/>
          <w:sz w:val="28"/>
        </w:rPr>
        <w:t>批准单位：中国工程建设标准化协会</w:t>
      </w:r>
    </w:p>
    <w:p w14:paraId="473D9591" w14:textId="77777777" w:rsidR="00E269CD" w:rsidRDefault="00E13E3E">
      <w:pPr>
        <w:spacing w:line="360" w:lineRule="auto"/>
        <w:ind w:left="568" w:firstLine="1559"/>
        <w:jc w:val="left"/>
        <w:rPr>
          <w:rFonts w:ascii="Times New Roman" w:eastAsia="宋体" w:hAnsi="Times New Roman" w:cs="Times New Roman"/>
          <w:color w:val="000000" w:themeColor="text1"/>
          <w:sz w:val="28"/>
        </w:rPr>
      </w:pPr>
      <w:r>
        <w:rPr>
          <w:rFonts w:ascii="Times New Roman" w:eastAsia="宋体" w:hAnsi="Times New Roman" w:cs="Times New Roman"/>
          <w:color w:val="000000" w:themeColor="text1"/>
          <w:sz w:val="28"/>
        </w:rPr>
        <w:t>施行日期：</w:t>
      </w:r>
      <w:r>
        <w:rPr>
          <w:rFonts w:ascii="Times New Roman" w:eastAsia="宋体" w:hAnsi="Times New Roman" w:cs="Times New Roman"/>
          <w:color w:val="000000" w:themeColor="text1"/>
          <w:sz w:val="28"/>
        </w:rPr>
        <w:t>2023</w:t>
      </w:r>
      <w:r>
        <w:rPr>
          <w:rFonts w:ascii="Times New Roman" w:eastAsia="宋体" w:hAnsi="Times New Roman" w:cs="Times New Roman"/>
          <w:color w:val="000000" w:themeColor="text1"/>
          <w:sz w:val="28"/>
        </w:rPr>
        <w:t>年</w:t>
      </w:r>
      <w:r>
        <w:rPr>
          <w:rFonts w:ascii="Times New Roman" w:eastAsia="宋体" w:hAnsi="Times New Roman" w:cs="Times New Roman"/>
          <w:color w:val="000000" w:themeColor="text1"/>
          <w:sz w:val="28"/>
        </w:rPr>
        <w:t>x</w:t>
      </w:r>
      <w:r>
        <w:rPr>
          <w:rFonts w:ascii="Times New Roman" w:eastAsia="宋体" w:hAnsi="Times New Roman" w:cs="Times New Roman"/>
          <w:color w:val="000000" w:themeColor="text1"/>
          <w:sz w:val="28"/>
        </w:rPr>
        <w:t>月</w:t>
      </w:r>
      <w:r>
        <w:rPr>
          <w:rFonts w:ascii="Times New Roman" w:eastAsia="宋体" w:hAnsi="Times New Roman" w:cs="Times New Roman"/>
          <w:color w:val="000000" w:themeColor="text1"/>
          <w:sz w:val="28"/>
        </w:rPr>
        <w:t>x</w:t>
      </w:r>
      <w:r>
        <w:rPr>
          <w:rFonts w:ascii="Times New Roman" w:eastAsia="宋体" w:hAnsi="Times New Roman" w:cs="Times New Roman"/>
          <w:color w:val="000000" w:themeColor="text1"/>
          <w:sz w:val="28"/>
        </w:rPr>
        <w:t>日</w:t>
      </w:r>
    </w:p>
    <w:p w14:paraId="209FC374" w14:textId="77777777" w:rsidR="00E269CD" w:rsidRDefault="00E269CD">
      <w:pPr>
        <w:spacing w:line="360" w:lineRule="auto"/>
        <w:ind w:left="568" w:firstLine="1559"/>
        <w:jc w:val="left"/>
        <w:rPr>
          <w:rFonts w:ascii="Times New Roman" w:eastAsia="宋体" w:hAnsi="Times New Roman" w:cs="Times New Roman"/>
          <w:color w:val="000000" w:themeColor="text1"/>
          <w:sz w:val="28"/>
        </w:rPr>
      </w:pPr>
    </w:p>
    <w:p w14:paraId="2C1A0292" w14:textId="77777777" w:rsidR="00E269CD" w:rsidRDefault="00E269CD">
      <w:pPr>
        <w:spacing w:line="360" w:lineRule="auto"/>
        <w:ind w:left="568" w:firstLine="1559"/>
        <w:jc w:val="left"/>
        <w:rPr>
          <w:rFonts w:ascii="Times New Roman" w:eastAsia="宋体" w:hAnsi="Times New Roman" w:cs="Times New Roman"/>
          <w:color w:val="000000" w:themeColor="text1"/>
          <w:sz w:val="28"/>
        </w:rPr>
      </w:pPr>
    </w:p>
    <w:p w14:paraId="7CE1752D" w14:textId="77777777" w:rsidR="00E269CD" w:rsidRDefault="00E269CD">
      <w:pPr>
        <w:spacing w:line="360" w:lineRule="auto"/>
        <w:ind w:left="568" w:firstLine="1559"/>
        <w:jc w:val="left"/>
        <w:rPr>
          <w:rFonts w:ascii="Times New Roman" w:eastAsia="宋体" w:hAnsi="Times New Roman" w:cs="Times New Roman"/>
          <w:color w:val="000000" w:themeColor="text1"/>
          <w:sz w:val="28"/>
        </w:rPr>
      </w:pPr>
    </w:p>
    <w:p w14:paraId="70592CE4" w14:textId="77777777" w:rsidR="00E269CD" w:rsidRDefault="00E13E3E">
      <w:pPr>
        <w:autoSpaceDE w:val="0"/>
        <w:autoSpaceDN w:val="0"/>
        <w:adjustRightInd w:val="0"/>
        <w:spacing w:line="360" w:lineRule="auto"/>
        <w:jc w:val="center"/>
        <w:rPr>
          <w:rFonts w:ascii="Times New Roman" w:eastAsia="黑体" w:hAnsi="Times New Roman" w:cs="Times New Roman"/>
          <w:color w:val="000000" w:themeColor="text1"/>
          <w:spacing w:val="20"/>
          <w:kern w:val="0"/>
          <w:sz w:val="32"/>
          <w:szCs w:val="32"/>
        </w:rPr>
      </w:pPr>
      <w:r>
        <w:rPr>
          <w:rFonts w:ascii="Times New Roman" w:eastAsia="黑体" w:hAnsi="Times New Roman" w:cs="Times New Roman"/>
          <w:color w:val="000000" w:themeColor="text1"/>
          <w:spacing w:val="20"/>
          <w:kern w:val="0"/>
          <w:sz w:val="32"/>
          <w:szCs w:val="32"/>
        </w:rPr>
        <w:t>中国建筑工业出版社</w:t>
      </w:r>
    </w:p>
    <w:p w14:paraId="281C1640" w14:textId="77777777" w:rsidR="00E269CD" w:rsidRDefault="00E13E3E">
      <w:pPr>
        <w:spacing w:line="360" w:lineRule="auto"/>
        <w:jc w:val="center"/>
        <w:rPr>
          <w:rFonts w:ascii="Times New Roman" w:eastAsia="宋体" w:hAnsi="Times New Roman" w:cs="Times New Roman"/>
          <w:b/>
          <w:color w:val="000000" w:themeColor="text1"/>
          <w:sz w:val="28"/>
          <w:szCs w:val="28"/>
        </w:rPr>
      </w:pPr>
      <w:r>
        <w:rPr>
          <w:rFonts w:ascii="Times New Roman" w:eastAsia="黑体" w:hAnsi="Times New Roman" w:cs="Times New Roman"/>
          <w:color w:val="000000" w:themeColor="text1"/>
          <w:spacing w:val="20"/>
          <w:kern w:val="0"/>
          <w:sz w:val="32"/>
          <w:szCs w:val="32"/>
        </w:rPr>
        <w:t xml:space="preserve">2023  </w:t>
      </w:r>
      <w:r>
        <w:rPr>
          <w:rFonts w:ascii="Times New Roman" w:eastAsia="黑体" w:hAnsi="Times New Roman" w:cs="Times New Roman"/>
          <w:color w:val="000000" w:themeColor="text1"/>
          <w:spacing w:val="20"/>
          <w:kern w:val="0"/>
          <w:sz w:val="32"/>
          <w:szCs w:val="32"/>
        </w:rPr>
        <w:t>北京</w:t>
      </w:r>
    </w:p>
    <w:p w14:paraId="588E4C9F" w14:textId="77777777" w:rsidR="00E269CD" w:rsidRDefault="00E269CD">
      <w:pPr>
        <w:spacing w:line="360" w:lineRule="auto"/>
        <w:ind w:firstLineChars="557" w:firstLine="1560"/>
        <w:rPr>
          <w:rFonts w:ascii="Times New Roman" w:eastAsia="宋体" w:hAnsi="Times New Roman" w:cs="Times New Roman"/>
          <w:color w:val="000000" w:themeColor="text1"/>
          <w:sz w:val="28"/>
        </w:rPr>
        <w:sectPr w:rsidR="00E269CD">
          <w:pgSz w:w="11906" w:h="16838"/>
          <w:pgMar w:top="1440" w:right="1800" w:bottom="1440" w:left="1800" w:header="851" w:footer="992" w:gutter="0"/>
          <w:cols w:space="425"/>
          <w:docGrid w:type="lines" w:linePitch="312"/>
        </w:sectPr>
      </w:pPr>
    </w:p>
    <w:p w14:paraId="661E5284" w14:textId="77777777" w:rsidR="00E269CD" w:rsidRDefault="00E13E3E">
      <w:pPr>
        <w:adjustRightInd w:val="0"/>
        <w:spacing w:line="360" w:lineRule="auto"/>
        <w:ind w:left="568"/>
        <w:jc w:val="center"/>
        <w:textAlignment w:val="baseline"/>
        <w:rPr>
          <w:rFonts w:ascii="Times New Roman" w:eastAsia="黑体" w:hAnsi="Times New Roman" w:cs="Times New Roman"/>
          <w:b/>
          <w:color w:val="000000" w:themeColor="text1"/>
          <w:kern w:val="0"/>
          <w:sz w:val="36"/>
          <w:szCs w:val="36"/>
        </w:rPr>
      </w:pPr>
      <w:r>
        <w:rPr>
          <w:rFonts w:ascii="Times New Roman" w:eastAsia="黑体" w:hAnsi="Times New Roman" w:cs="Times New Roman"/>
          <w:b/>
          <w:color w:val="000000" w:themeColor="text1"/>
          <w:kern w:val="0"/>
          <w:sz w:val="36"/>
          <w:szCs w:val="36"/>
        </w:rPr>
        <w:lastRenderedPageBreak/>
        <w:t>前</w:t>
      </w:r>
      <w:r>
        <w:rPr>
          <w:rFonts w:ascii="Times New Roman" w:eastAsia="黑体" w:hAnsi="Times New Roman" w:cs="Times New Roman"/>
          <w:b/>
          <w:color w:val="000000" w:themeColor="text1"/>
          <w:kern w:val="0"/>
          <w:sz w:val="36"/>
          <w:szCs w:val="36"/>
        </w:rPr>
        <w:t xml:space="preserve">  </w:t>
      </w:r>
      <w:r>
        <w:rPr>
          <w:rFonts w:ascii="Times New Roman" w:eastAsia="黑体" w:hAnsi="Times New Roman" w:cs="Times New Roman"/>
          <w:b/>
          <w:color w:val="000000" w:themeColor="text1"/>
          <w:kern w:val="0"/>
          <w:sz w:val="36"/>
          <w:szCs w:val="36"/>
        </w:rPr>
        <w:t>言</w:t>
      </w:r>
    </w:p>
    <w:p w14:paraId="34507B3A" w14:textId="77777777" w:rsidR="00E269CD" w:rsidRDefault="00E269CD">
      <w:pPr>
        <w:adjustRightInd w:val="0"/>
        <w:spacing w:line="360" w:lineRule="auto"/>
        <w:ind w:left="568"/>
        <w:jc w:val="center"/>
        <w:textAlignment w:val="baseline"/>
        <w:rPr>
          <w:rFonts w:ascii="Times New Roman" w:eastAsia="宋体" w:hAnsi="Times New Roman" w:cs="Times New Roman"/>
          <w:b/>
          <w:color w:val="000000" w:themeColor="text1"/>
          <w:kern w:val="0"/>
          <w:sz w:val="28"/>
          <w:szCs w:val="20"/>
        </w:rPr>
      </w:pPr>
    </w:p>
    <w:p w14:paraId="0E9441C8" w14:textId="77777777" w:rsidR="00E269CD" w:rsidRDefault="00E13E3E">
      <w:pPr>
        <w:adjustRightInd w:val="0"/>
        <w:spacing w:line="360" w:lineRule="auto"/>
        <w:ind w:firstLineChars="202" w:firstLine="485"/>
        <w:jc w:val="left"/>
        <w:textAlignment w:val="baseline"/>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根据中国工程建设标准协会</w:t>
      </w:r>
      <w:r>
        <w:rPr>
          <w:rFonts w:ascii="Times New Roman" w:eastAsia="宋体" w:hAnsi="Times New Roman" w:cs="Times New Roman"/>
          <w:color w:val="000000" w:themeColor="text1"/>
          <w:kern w:val="0"/>
          <w:sz w:val="24"/>
          <w:szCs w:val="24"/>
        </w:rPr>
        <w:t>“</w:t>
      </w:r>
      <w:r>
        <w:rPr>
          <w:rFonts w:ascii="Times New Roman" w:eastAsia="宋体" w:hAnsi="Times New Roman" w:cs="Times New Roman"/>
          <w:color w:val="000000" w:themeColor="text1"/>
          <w:kern w:val="0"/>
          <w:sz w:val="24"/>
          <w:szCs w:val="24"/>
        </w:rPr>
        <w:t>关于印发《</w:t>
      </w:r>
      <w:r>
        <w:rPr>
          <w:rFonts w:ascii="Times New Roman" w:eastAsia="宋体" w:hAnsi="Times New Roman" w:cs="Times New Roman"/>
          <w:color w:val="000000" w:themeColor="text1"/>
          <w:kern w:val="0"/>
          <w:sz w:val="24"/>
          <w:szCs w:val="24"/>
        </w:rPr>
        <w:t>2018</w:t>
      </w:r>
      <w:r>
        <w:rPr>
          <w:rFonts w:ascii="Times New Roman" w:eastAsia="宋体" w:hAnsi="Times New Roman" w:cs="Times New Roman"/>
          <w:color w:val="000000" w:themeColor="text1"/>
          <w:kern w:val="0"/>
          <w:sz w:val="24"/>
          <w:szCs w:val="24"/>
        </w:rPr>
        <w:t>年第二批协会标准制订、修订计划》的通知</w:t>
      </w:r>
      <w:r>
        <w:rPr>
          <w:rFonts w:ascii="Times New Roman" w:eastAsia="宋体" w:hAnsi="Times New Roman" w:cs="Times New Roman"/>
          <w:color w:val="000000" w:themeColor="text1"/>
          <w:kern w:val="0"/>
          <w:sz w:val="24"/>
          <w:szCs w:val="24"/>
        </w:rPr>
        <w:t>”</w:t>
      </w:r>
      <w:r>
        <w:rPr>
          <w:rFonts w:ascii="Times New Roman" w:eastAsia="宋体" w:hAnsi="Times New Roman" w:cs="Times New Roman"/>
          <w:color w:val="000000" w:themeColor="text1"/>
          <w:kern w:val="0"/>
          <w:sz w:val="24"/>
          <w:szCs w:val="24"/>
        </w:rPr>
        <w:t>（建标协字〔</w:t>
      </w:r>
      <w:r>
        <w:rPr>
          <w:rFonts w:ascii="Times New Roman" w:eastAsia="宋体" w:hAnsi="Times New Roman" w:cs="Times New Roman"/>
          <w:color w:val="000000" w:themeColor="text1"/>
          <w:kern w:val="0"/>
          <w:sz w:val="24"/>
          <w:szCs w:val="24"/>
        </w:rPr>
        <w:t>2018</w:t>
      </w:r>
      <w:r>
        <w:rPr>
          <w:rFonts w:ascii="Times New Roman" w:eastAsia="宋体" w:hAnsi="Times New Roman" w:cs="Times New Roman"/>
          <w:color w:val="000000" w:themeColor="text1"/>
          <w:kern w:val="0"/>
          <w:sz w:val="24"/>
          <w:szCs w:val="24"/>
        </w:rPr>
        <w:t>〕</w:t>
      </w:r>
      <w:r>
        <w:rPr>
          <w:rFonts w:ascii="Times New Roman" w:eastAsia="宋体" w:hAnsi="Times New Roman" w:cs="Times New Roman"/>
          <w:color w:val="000000" w:themeColor="text1"/>
          <w:kern w:val="0"/>
          <w:sz w:val="24"/>
          <w:szCs w:val="24"/>
        </w:rPr>
        <w:t>030</w:t>
      </w:r>
      <w:r>
        <w:rPr>
          <w:rFonts w:ascii="Times New Roman" w:eastAsia="宋体" w:hAnsi="Times New Roman" w:cs="Times New Roman"/>
          <w:color w:val="000000" w:themeColor="text1"/>
          <w:kern w:val="0"/>
          <w:sz w:val="24"/>
          <w:szCs w:val="24"/>
        </w:rPr>
        <w:t>号文）要求，规程编制组经广泛调查研究，认真总结实践经验，参考有关国际标准和国外先进标准，并在广泛征求意见的基础上，编制本标准。</w:t>
      </w:r>
    </w:p>
    <w:p w14:paraId="68AC43BC" w14:textId="77777777" w:rsidR="00E269CD" w:rsidRDefault="00E13E3E">
      <w:pPr>
        <w:adjustRightInd w:val="0"/>
        <w:spacing w:line="360" w:lineRule="auto"/>
        <w:ind w:firstLineChars="202" w:firstLine="485"/>
        <w:jc w:val="left"/>
        <w:textAlignment w:val="baseline"/>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本标准共分为</w:t>
      </w:r>
      <w:r>
        <w:rPr>
          <w:rFonts w:ascii="Times New Roman" w:eastAsia="宋体" w:hAnsi="Times New Roman" w:cs="Times New Roman"/>
          <w:color w:val="000000" w:themeColor="text1"/>
          <w:kern w:val="0"/>
          <w:sz w:val="24"/>
          <w:szCs w:val="24"/>
        </w:rPr>
        <w:t>10</w:t>
      </w:r>
      <w:r>
        <w:rPr>
          <w:rFonts w:ascii="Times New Roman" w:eastAsia="宋体" w:hAnsi="Times New Roman" w:cs="Times New Roman"/>
          <w:color w:val="000000" w:themeColor="text1"/>
          <w:kern w:val="0"/>
          <w:sz w:val="24"/>
          <w:szCs w:val="24"/>
        </w:rPr>
        <w:t>章和</w:t>
      </w:r>
      <w:r>
        <w:rPr>
          <w:rFonts w:ascii="Times New Roman" w:eastAsia="宋体" w:hAnsi="Times New Roman" w:cs="Times New Roman"/>
          <w:color w:val="000000" w:themeColor="text1"/>
          <w:kern w:val="0"/>
          <w:sz w:val="24"/>
          <w:szCs w:val="24"/>
        </w:rPr>
        <w:t>1</w:t>
      </w:r>
      <w:r>
        <w:rPr>
          <w:rFonts w:ascii="Times New Roman" w:eastAsia="宋体" w:hAnsi="Times New Roman" w:cs="Times New Roman"/>
          <w:color w:val="000000" w:themeColor="text1"/>
          <w:kern w:val="0"/>
          <w:sz w:val="24"/>
          <w:szCs w:val="24"/>
        </w:rPr>
        <w:t>个附录，主要技术内容包括：总则、术语、基本规定、商品次氯酸钠消毒系统、次氯酸钠现场制备消毒系统、排放、施工和验收、运行管理、维护管理、安全管理等。</w:t>
      </w:r>
    </w:p>
    <w:p w14:paraId="33AF7856" w14:textId="77777777" w:rsidR="00E269CD" w:rsidRDefault="00E13E3E">
      <w:pPr>
        <w:adjustRightInd w:val="0"/>
        <w:spacing w:line="360" w:lineRule="auto"/>
        <w:ind w:firstLineChars="202" w:firstLine="485"/>
        <w:jc w:val="left"/>
        <w:textAlignment w:val="baseline"/>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本标准的某些内容可能直接或间接涉及专利，本标准的发布机构不承担识别这些专利的责任。</w:t>
      </w:r>
    </w:p>
    <w:p w14:paraId="6DA84A70" w14:textId="77777777" w:rsidR="00E269CD" w:rsidRDefault="00E13E3E">
      <w:pPr>
        <w:adjustRightInd w:val="0"/>
        <w:spacing w:line="360" w:lineRule="auto"/>
        <w:ind w:firstLineChars="202" w:firstLine="485"/>
        <w:jc w:val="left"/>
        <w:textAlignment w:val="baseline"/>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本标准由中国工程建设标准协会归口管理，由上海市政工程设计研究总院（集团）有限公司负责具体技术内容的解释。执行过程中如有意见或建议，请寄送上海市政工程设计研究总院（集团）有限公司（地址：上海市中山北二路</w:t>
      </w:r>
      <w:r>
        <w:rPr>
          <w:rFonts w:ascii="Times New Roman" w:eastAsia="宋体" w:hAnsi="Times New Roman" w:cs="Times New Roman"/>
          <w:color w:val="000000" w:themeColor="text1"/>
          <w:kern w:val="0"/>
          <w:sz w:val="24"/>
          <w:szCs w:val="24"/>
        </w:rPr>
        <w:t>901</w:t>
      </w:r>
      <w:r>
        <w:rPr>
          <w:rFonts w:ascii="Times New Roman" w:eastAsia="宋体" w:hAnsi="Times New Roman" w:cs="Times New Roman"/>
          <w:color w:val="000000" w:themeColor="text1"/>
          <w:kern w:val="0"/>
          <w:sz w:val="24"/>
          <w:szCs w:val="24"/>
        </w:rPr>
        <w:t>号；邮编：</w:t>
      </w:r>
      <w:r>
        <w:rPr>
          <w:rFonts w:ascii="Times New Roman" w:eastAsia="宋体" w:hAnsi="Times New Roman" w:cs="Times New Roman"/>
          <w:color w:val="000000" w:themeColor="text1"/>
          <w:kern w:val="0"/>
          <w:sz w:val="24"/>
          <w:szCs w:val="24"/>
        </w:rPr>
        <w:t>200092</w:t>
      </w:r>
      <w:r>
        <w:rPr>
          <w:rFonts w:ascii="Times New Roman" w:eastAsia="宋体" w:hAnsi="Times New Roman" w:cs="Times New Roman"/>
          <w:color w:val="000000" w:themeColor="text1"/>
          <w:kern w:val="0"/>
          <w:sz w:val="24"/>
          <w:szCs w:val="24"/>
        </w:rPr>
        <w:t>）。</w:t>
      </w:r>
    </w:p>
    <w:p w14:paraId="6C3CAAAA" w14:textId="77777777" w:rsidR="00E269CD" w:rsidRDefault="00E13E3E">
      <w:pPr>
        <w:adjustRightInd w:val="0"/>
        <w:spacing w:line="360" w:lineRule="auto"/>
        <w:ind w:firstLineChars="202" w:firstLine="487"/>
        <w:jc w:val="left"/>
        <w:textAlignment w:val="baseline"/>
        <w:rPr>
          <w:rFonts w:ascii="Times New Roman" w:eastAsia="宋体" w:hAnsi="Times New Roman" w:cs="Times New Roman"/>
          <w:color w:val="000000" w:themeColor="text1"/>
          <w:kern w:val="0"/>
          <w:sz w:val="24"/>
          <w:szCs w:val="24"/>
        </w:rPr>
      </w:pPr>
      <w:r>
        <w:rPr>
          <w:rFonts w:ascii="Times New Roman" w:eastAsia="宋体" w:hAnsi="Times New Roman" w:cs="Times New Roman"/>
          <w:b/>
          <w:color w:val="000000" w:themeColor="text1"/>
          <w:kern w:val="0"/>
          <w:sz w:val="24"/>
          <w:szCs w:val="24"/>
        </w:rPr>
        <w:t>主编单位：</w:t>
      </w:r>
      <w:r>
        <w:rPr>
          <w:rFonts w:ascii="Times New Roman" w:eastAsia="宋体" w:hAnsi="Times New Roman" w:cs="Times New Roman"/>
          <w:color w:val="000000" w:themeColor="text1"/>
          <w:kern w:val="0"/>
          <w:sz w:val="24"/>
          <w:szCs w:val="24"/>
        </w:rPr>
        <w:t>上海市政工程设计研究总院（集团）有限公司</w:t>
      </w:r>
    </w:p>
    <w:p w14:paraId="6E6C1EE3" w14:textId="77777777" w:rsidR="00E269CD" w:rsidRDefault="00E13E3E">
      <w:pPr>
        <w:adjustRightInd w:val="0"/>
        <w:spacing w:line="360" w:lineRule="auto"/>
        <w:ind w:firstLineChars="702" w:firstLine="1685"/>
        <w:jc w:val="left"/>
        <w:textAlignment w:val="baseline"/>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格兰富水泵（上海）有限公司</w:t>
      </w:r>
    </w:p>
    <w:p w14:paraId="44E9D04B" w14:textId="77777777" w:rsidR="00E269CD" w:rsidRDefault="00E13E3E">
      <w:pPr>
        <w:adjustRightInd w:val="0"/>
        <w:spacing w:line="360" w:lineRule="auto"/>
        <w:ind w:firstLineChars="202" w:firstLine="487"/>
        <w:jc w:val="left"/>
        <w:textAlignment w:val="baseline"/>
        <w:rPr>
          <w:rFonts w:ascii="Times New Roman" w:eastAsia="宋体" w:hAnsi="Times New Roman" w:cs="Times New Roman"/>
          <w:color w:val="000000" w:themeColor="text1"/>
          <w:kern w:val="0"/>
          <w:sz w:val="24"/>
          <w:szCs w:val="24"/>
        </w:rPr>
      </w:pPr>
      <w:r>
        <w:rPr>
          <w:rFonts w:ascii="Times New Roman" w:eastAsia="宋体" w:hAnsi="Times New Roman" w:cs="Times New Roman"/>
          <w:b/>
          <w:color w:val="000000" w:themeColor="text1"/>
          <w:kern w:val="0"/>
          <w:sz w:val="24"/>
          <w:szCs w:val="24"/>
        </w:rPr>
        <w:t>参编单位：</w:t>
      </w:r>
      <w:r>
        <w:rPr>
          <w:rFonts w:ascii="Times New Roman" w:eastAsia="宋体" w:hAnsi="Times New Roman" w:cs="Times New Roman"/>
          <w:color w:val="000000" w:themeColor="text1"/>
          <w:kern w:val="0"/>
          <w:sz w:val="24"/>
          <w:szCs w:val="24"/>
        </w:rPr>
        <w:t>上海城投水务（集团）有限公司</w:t>
      </w:r>
    </w:p>
    <w:p w14:paraId="58E8A164" w14:textId="77777777" w:rsidR="00E269CD" w:rsidRDefault="00E13E3E">
      <w:pPr>
        <w:adjustRightInd w:val="0"/>
        <w:spacing w:line="360" w:lineRule="auto"/>
        <w:ind w:firstLineChars="702" w:firstLine="1685"/>
        <w:jc w:val="left"/>
        <w:textAlignment w:val="baseline"/>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国家城市供水水质监测网上海监测站</w:t>
      </w:r>
    </w:p>
    <w:p w14:paraId="6F84527D" w14:textId="77777777" w:rsidR="00E269CD" w:rsidRDefault="00E13E3E">
      <w:pPr>
        <w:adjustRightInd w:val="0"/>
        <w:spacing w:line="360" w:lineRule="auto"/>
        <w:ind w:firstLineChars="702" w:firstLine="1685"/>
        <w:jc w:val="left"/>
        <w:textAlignment w:val="baseline"/>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上海市供水管理处</w:t>
      </w:r>
    </w:p>
    <w:p w14:paraId="425D8B75" w14:textId="77777777" w:rsidR="00E269CD" w:rsidRDefault="00E13E3E">
      <w:pPr>
        <w:adjustRightInd w:val="0"/>
        <w:spacing w:line="360" w:lineRule="auto"/>
        <w:ind w:firstLineChars="702" w:firstLine="1685"/>
        <w:jc w:val="left"/>
        <w:textAlignment w:val="baseline"/>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苏州市自来水有限公司</w:t>
      </w:r>
    </w:p>
    <w:p w14:paraId="19BBDFB2" w14:textId="77777777" w:rsidR="00E269CD" w:rsidRDefault="00E13E3E">
      <w:pPr>
        <w:adjustRightInd w:val="0"/>
        <w:spacing w:line="360" w:lineRule="auto"/>
        <w:ind w:firstLineChars="702" w:firstLine="1685"/>
        <w:jc w:val="left"/>
        <w:textAlignment w:val="baseline"/>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广西绿城水务股份有限公司</w:t>
      </w:r>
      <w:r>
        <w:rPr>
          <w:rFonts w:ascii="Times New Roman" w:eastAsia="宋体" w:hAnsi="Times New Roman" w:cs="Times New Roman"/>
          <w:color w:val="000000" w:themeColor="text1"/>
          <w:kern w:val="0"/>
          <w:sz w:val="24"/>
          <w:szCs w:val="24"/>
        </w:rPr>
        <w:t xml:space="preserve"> </w:t>
      </w:r>
    </w:p>
    <w:p w14:paraId="5781817C" w14:textId="77777777" w:rsidR="00E269CD" w:rsidRDefault="00E269CD">
      <w:pPr>
        <w:adjustRightInd w:val="0"/>
        <w:spacing w:line="360" w:lineRule="auto"/>
        <w:ind w:firstLineChars="202" w:firstLine="487"/>
        <w:jc w:val="left"/>
        <w:textAlignment w:val="baseline"/>
        <w:rPr>
          <w:rFonts w:ascii="Times New Roman" w:eastAsia="宋体" w:hAnsi="Times New Roman" w:cs="Times New Roman"/>
          <w:b/>
          <w:color w:val="000000" w:themeColor="text1"/>
          <w:kern w:val="0"/>
          <w:sz w:val="24"/>
          <w:szCs w:val="24"/>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559"/>
        <w:gridCol w:w="1417"/>
        <w:gridCol w:w="1533"/>
        <w:gridCol w:w="1660"/>
      </w:tblGrid>
      <w:tr w:rsidR="00E269CD" w14:paraId="31DE7DDC" w14:textId="77777777">
        <w:tc>
          <w:tcPr>
            <w:tcW w:w="8296" w:type="dxa"/>
            <w:gridSpan w:val="5"/>
          </w:tcPr>
          <w:p w14:paraId="1E515960" w14:textId="731216BC" w:rsidR="00E269CD" w:rsidRDefault="00E13E3E">
            <w:pPr>
              <w:adjustRightInd w:val="0"/>
              <w:spacing w:line="360" w:lineRule="auto"/>
              <w:jc w:val="left"/>
              <w:textAlignment w:val="baseline"/>
              <w:rPr>
                <w:rFonts w:ascii="Times New Roman" w:eastAsia="宋体" w:hAnsi="Times New Roman" w:cs="Times New Roman"/>
                <w:b/>
                <w:color w:val="000000" w:themeColor="text1"/>
                <w:kern w:val="0"/>
                <w:sz w:val="24"/>
                <w:szCs w:val="24"/>
              </w:rPr>
            </w:pPr>
            <w:r>
              <w:rPr>
                <w:rFonts w:ascii="Times New Roman" w:eastAsia="宋体" w:hAnsi="Times New Roman" w:cs="Times New Roman"/>
                <w:b/>
                <w:color w:val="000000" w:themeColor="text1"/>
                <w:kern w:val="0"/>
                <w:sz w:val="24"/>
                <w:szCs w:val="24"/>
              </w:rPr>
              <w:t>主要起草人员</w:t>
            </w:r>
            <w:r>
              <w:rPr>
                <w:rFonts w:ascii="Times New Roman" w:eastAsia="宋体" w:hAnsi="Times New Roman" w:cs="Times New Roman"/>
                <w:b/>
                <w:color w:val="000000" w:themeColor="text1"/>
                <w:kern w:val="0"/>
                <w:sz w:val="24"/>
                <w:szCs w:val="24"/>
              </w:rPr>
              <w:t>：</w:t>
            </w:r>
          </w:p>
        </w:tc>
      </w:tr>
      <w:tr w:rsidR="00E269CD" w14:paraId="40C2F99F" w14:textId="77777777">
        <w:tc>
          <w:tcPr>
            <w:tcW w:w="2127" w:type="dxa"/>
          </w:tcPr>
          <w:p w14:paraId="6C105D23" w14:textId="77777777" w:rsidR="00E269CD" w:rsidRDefault="00E269CD">
            <w:pPr>
              <w:adjustRightInd w:val="0"/>
              <w:spacing w:line="360" w:lineRule="auto"/>
              <w:jc w:val="left"/>
              <w:textAlignment w:val="baseline"/>
              <w:rPr>
                <w:rFonts w:ascii="Times New Roman" w:eastAsia="宋体" w:hAnsi="Times New Roman" w:cs="Times New Roman"/>
                <w:b/>
                <w:color w:val="000000" w:themeColor="text1"/>
                <w:kern w:val="0"/>
                <w:sz w:val="24"/>
                <w:szCs w:val="24"/>
              </w:rPr>
            </w:pPr>
          </w:p>
        </w:tc>
        <w:tc>
          <w:tcPr>
            <w:tcW w:w="1559" w:type="dxa"/>
          </w:tcPr>
          <w:p w14:paraId="4AD2024C" w14:textId="17FF12F9"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p>
        </w:tc>
        <w:tc>
          <w:tcPr>
            <w:tcW w:w="1417" w:type="dxa"/>
          </w:tcPr>
          <w:p w14:paraId="75AEFDBD" w14:textId="77777777"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p>
        </w:tc>
        <w:tc>
          <w:tcPr>
            <w:tcW w:w="1533" w:type="dxa"/>
          </w:tcPr>
          <w:p w14:paraId="55493D96" w14:textId="02B26995"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p>
        </w:tc>
        <w:tc>
          <w:tcPr>
            <w:tcW w:w="1660" w:type="dxa"/>
          </w:tcPr>
          <w:p w14:paraId="75CC7C21" w14:textId="77777777"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p>
        </w:tc>
      </w:tr>
      <w:tr w:rsidR="00E269CD" w14:paraId="33FBD150" w14:textId="77777777">
        <w:tc>
          <w:tcPr>
            <w:tcW w:w="2127" w:type="dxa"/>
          </w:tcPr>
          <w:p w14:paraId="12EF1784" w14:textId="77777777" w:rsidR="00E269CD" w:rsidRDefault="00E13E3E">
            <w:pPr>
              <w:adjustRightInd w:val="0"/>
              <w:spacing w:line="360" w:lineRule="auto"/>
              <w:jc w:val="left"/>
              <w:textAlignment w:val="baseline"/>
              <w:rPr>
                <w:rFonts w:ascii="Times New Roman" w:eastAsia="宋体" w:hAnsi="Times New Roman" w:cs="Times New Roman"/>
                <w:b/>
                <w:color w:val="000000" w:themeColor="text1"/>
                <w:kern w:val="0"/>
                <w:sz w:val="24"/>
                <w:szCs w:val="24"/>
              </w:rPr>
            </w:pPr>
            <w:r>
              <w:rPr>
                <w:rFonts w:ascii="Times New Roman" w:eastAsia="宋体" w:hAnsi="Times New Roman" w:cs="Times New Roman"/>
                <w:b/>
                <w:color w:val="000000" w:themeColor="text1"/>
                <w:kern w:val="0"/>
                <w:sz w:val="24"/>
                <w:szCs w:val="24"/>
              </w:rPr>
              <w:t>主要审查人员：</w:t>
            </w:r>
          </w:p>
        </w:tc>
        <w:tc>
          <w:tcPr>
            <w:tcW w:w="1559" w:type="dxa"/>
          </w:tcPr>
          <w:p w14:paraId="7965D2C1" w14:textId="11891A53"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p>
        </w:tc>
        <w:tc>
          <w:tcPr>
            <w:tcW w:w="1417" w:type="dxa"/>
          </w:tcPr>
          <w:p w14:paraId="525331F8" w14:textId="77777777"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p>
        </w:tc>
        <w:tc>
          <w:tcPr>
            <w:tcW w:w="1533" w:type="dxa"/>
          </w:tcPr>
          <w:p w14:paraId="5CB0DAAC" w14:textId="77777777"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bookmarkStart w:id="0" w:name="_GoBack"/>
            <w:bookmarkEnd w:id="0"/>
          </w:p>
        </w:tc>
        <w:tc>
          <w:tcPr>
            <w:tcW w:w="1660" w:type="dxa"/>
          </w:tcPr>
          <w:p w14:paraId="07C1E1B0" w14:textId="77777777"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p>
        </w:tc>
      </w:tr>
      <w:tr w:rsidR="00E269CD" w14:paraId="5CCE6452" w14:textId="77777777">
        <w:tc>
          <w:tcPr>
            <w:tcW w:w="2127" w:type="dxa"/>
          </w:tcPr>
          <w:p w14:paraId="5E99C2A0" w14:textId="77777777" w:rsidR="00E269CD" w:rsidRDefault="00E269CD">
            <w:pPr>
              <w:adjustRightInd w:val="0"/>
              <w:spacing w:line="360" w:lineRule="auto"/>
              <w:jc w:val="left"/>
              <w:textAlignment w:val="baseline"/>
              <w:rPr>
                <w:rFonts w:ascii="Times New Roman" w:eastAsia="宋体" w:hAnsi="Times New Roman" w:cs="Times New Roman"/>
                <w:b/>
                <w:color w:val="000000" w:themeColor="text1"/>
                <w:kern w:val="0"/>
                <w:sz w:val="24"/>
                <w:szCs w:val="24"/>
              </w:rPr>
            </w:pPr>
          </w:p>
        </w:tc>
        <w:tc>
          <w:tcPr>
            <w:tcW w:w="1559" w:type="dxa"/>
          </w:tcPr>
          <w:p w14:paraId="4BCC68CA" w14:textId="77777777"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p>
        </w:tc>
        <w:tc>
          <w:tcPr>
            <w:tcW w:w="1417" w:type="dxa"/>
          </w:tcPr>
          <w:p w14:paraId="7BDCE01A" w14:textId="77777777"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p>
        </w:tc>
        <w:tc>
          <w:tcPr>
            <w:tcW w:w="1533" w:type="dxa"/>
          </w:tcPr>
          <w:p w14:paraId="638E33AA" w14:textId="77777777"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p>
        </w:tc>
        <w:tc>
          <w:tcPr>
            <w:tcW w:w="1660" w:type="dxa"/>
          </w:tcPr>
          <w:p w14:paraId="6160E217" w14:textId="77777777" w:rsidR="00E269CD" w:rsidRDefault="00E269CD">
            <w:pPr>
              <w:adjustRightInd w:val="0"/>
              <w:spacing w:line="360" w:lineRule="auto"/>
              <w:jc w:val="left"/>
              <w:textAlignment w:val="baseline"/>
              <w:rPr>
                <w:rFonts w:ascii="Times New Roman" w:eastAsia="宋体" w:hAnsi="Times New Roman" w:cs="Times New Roman"/>
                <w:color w:val="000000" w:themeColor="text1"/>
                <w:kern w:val="0"/>
                <w:sz w:val="24"/>
                <w:szCs w:val="24"/>
              </w:rPr>
            </w:pPr>
          </w:p>
        </w:tc>
      </w:tr>
    </w:tbl>
    <w:p w14:paraId="74EB8111" w14:textId="77777777" w:rsidR="00E269CD" w:rsidRDefault="00E13E3E">
      <w:pPr>
        <w:adjustRightInd w:val="0"/>
        <w:spacing w:line="360" w:lineRule="auto"/>
        <w:jc w:val="left"/>
        <w:textAlignment w:val="baseline"/>
        <w:rPr>
          <w:rFonts w:ascii="Times New Roman" w:eastAsia="宋体" w:hAnsi="Times New Roman" w:cs="Times New Roman"/>
          <w:color w:val="000000" w:themeColor="text1"/>
          <w:kern w:val="0"/>
          <w:sz w:val="28"/>
          <w:szCs w:val="20"/>
        </w:rPr>
      </w:pPr>
      <w:r>
        <w:rPr>
          <w:rFonts w:ascii="Times New Roman" w:eastAsia="宋体" w:hAnsi="Times New Roman" w:cs="Times New Roman"/>
          <w:color w:val="000000" w:themeColor="text1"/>
          <w:kern w:val="0"/>
          <w:sz w:val="24"/>
          <w:szCs w:val="24"/>
        </w:rPr>
        <w:br w:type="page"/>
      </w:r>
    </w:p>
    <w:sdt>
      <w:sdtPr>
        <w:rPr>
          <w:rFonts w:ascii="Times New Roman" w:eastAsia="黑体" w:hAnsi="Times New Roman" w:cs="Times New Roman"/>
          <w:b w:val="0"/>
          <w:bCs w:val="0"/>
          <w:color w:val="000000" w:themeColor="text1"/>
          <w:kern w:val="2"/>
          <w:sz w:val="36"/>
          <w:szCs w:val="36"/>
          <w:lang w:val="zh-CN"/>
        </w:rPr>
        <w:id w:val="1283610983"/>
        <w:docPartObj>
          <w:docPartGallery w:val="Table of Contents"/>
          <w:docPartUnique/>
        </w:docPartObj>
      </w:sdtPr>
      <w:sdtEndPr>
        <w:rPr>
          <w:rFonts w:eastAsiaTheme="minorEastAsia"/>
          <w:kern w:val="44"/>
          <w:sz w:val="24"/>
          <w:szCs w:val="24"/>
        </w:rPr>
      </w:sdtEndPr>
      <w:sdtContent>
        <w:p w14:paraId="09C35CDE" w14:textId="77777777" w:rsidR="00E269CD" w:rsidRDefault="00E13E3E">
          <w:pPr>
            <w:pStyle w:val="TOC1"/>
            <w:spacing w:before="0" w:line="360" w:lineRule="auto"/>
            <w:jc w:val="center"/>
            <w:rPr>
              <w:rFonts w:ascii="Times New Roman" w:eastAsia="黑体" w:hAnsi="Times New Roman" w:cs="Times New Roman"/>
              <w:color w:val="000000" w:themeColor="text1"/>
              <w:sz w:val="36"/>
              <w:szCs w:val="36"/>
            </w:rPr>
          </w:pPr>
          <w:r>
            <w:rPr>
              <w:rFonts w:ascii="Times New Roman" w:eastAsia="黑体" w:hAnsi="Times New Roman" w:cs="Times New Roman"/>
              <w:color w:val="000000" w:themeColor="text1"/>
              <w:sz w:val="36"/>
              <w:szCs w:val="36"/>
              <w:lang w:val="zh-CN"/>
            </w:rPr>
            <w:t>目</w:t>
          </w:r>
          <w:r>
            <w:rPr>
              <w:rFonts w:ascii="Times New Roman" w:eastAsia="黑体" w:hAnsi="Times New Roman" w:cs="Times New Roman"/>
              <w:color w:val="000000" w:themeColor="text1"/>
              <w:sz w:val="36"/>
              <w:szCs w:val="36"/>
              <w:lang w:val="zh-CN"/>
            </w:rPr>
            <w:t xml:space="preserve">  </w:t>
          </w:r>
          <w:r>
            <w:rPr>
              <w:rFonts w:ascii="Times New Roman" w:eastAsia="黑体" w:hAnsi="Times New Roman" w:cs="Times New Roman"/>
              <w:color w:val="000000" w:themeColor="text1"/>
              <w:sz w:val="36"/>
              <w:szCs w:val="36"/>
              <w:lang w:val="zh-CN"/>
            </w:rPr>
            <w:t>次</w:t>
          </w:r>
        </w:p>
        <w:p w14:paraId="26CE7582" w14:textId="77777777" w:rsidR="00E269CD" w:rsidRDefault="00E13E3E">
          <w:pPr>
            <w:pStyle w:val="11"/>
            <w:rPr>
              <w:color w:val="000000" w:themeColor="text1"/>
            </w:rPr>
          </w:pPr>
          <w:r>
            <w:rPr>
              <w:color w:val="000000" w:themeColor="text1"/>
            </w:rPr>
            <w:fldChar w:fldCharType="begin"/>
          </w:r>
          <w:r>
            <w:rPr>
              <w:color w:val="000000" w:themeColor="text1"/>
            </w:rPr>
            <w:instrText xml:space="preserve"> TOC \o "1-3" \h \z \u </w:instrText>
          </w:r>
          <w:r>
            <w:rPr>
              <w:color w:val="000000" w:themeColor="text1"/>
            </w:rPr>
            <w:fldChar w:fldCharType="separate"/>
          </w:r>
          <w:hyperlink w:anchor="_Toc127171736" w:history="1">
            <w:r>
              <w:rPr>
                <w:rStyle w:val="af7"/>
                <w:b/>
                <w:bCs/>
                <w:color w:val="000000" w:themeColor="text1"/>
              </w:rPr>
              <w:t xml:space="preserve">1  </w:t>
            </w:r>
            <w:r>
              <w:rPr>
                <w:rStyle w:val="af7"/>
                <w:b/>
                <w:bCs/>
                <w:color w:val="000000" w:themeColor="text1"/>
              </w:rPr>
              <w:t>总</w:t>
            </w:r>
            <w:r>
              <w:rPr>
                <w:rStyle w:val="af7"/>
                <w:b/>
                <w:bCs/>
                <w:color w:val="000000" w:themeColor="text1"/>
              </w:rPr>
              <w:t xml:space="preserve">  </w:t>
            </w:r>
            <w:r>
              <w:rPr>
                <w:rStyle w:val="af7"/>
                <w:b/>
                <w:bCs/>
                <w:color w:val="000000" w:themeColor="text1"/>
              </w:rPr>
              <w:t>则</w:t>
            </w:r>
            <w:r>
              <w:rPr>
                <w:color w:val="000000" w:themeColor="text1"/>
              </w:rPr>
              <w:tab/>
            </w:r>
            <w:r>
              <w:rPr>
                <w:color w:val="000000" w:themeColor="text1"/>
              </w:rPr>
              <w:fldChar w:fldCharType="begin"/>
            </w:r>
            <w:r>
              <w:rPr>
                <w:color w:val="000000" w:themeColor="text1"/>
              </w:rPr>
              <w:instrText xml:space="preserve"> PAGEREF _Toc127171736 \h </w:instrText>
            </w:r>
            <w:r>
              <w:rPr>
                <w:color w:val="000000" w:themeColor="text1"/>
              </w:rPr>
            </w:r>
            <w:r>
              <w:rPr>
                <w:color w:val="000000" w:themeColor="text1"/>
              </w:rPr>
              <w:fldChar w:fldCharType="separate"/>
            </w:r>
            <w:r>
              <w:rPr>
                <w:color w:val="000000" w:themeColor="text1"/>
              </w:rPr>
              <w:t>1</w:t>
            </w:r>
            <w:r>
              <w:rPr>
                <w:color w:val="000000" w:themeColor="text1"/>
              </w:rPr>
              <w:fldChar w:fldCharType="end"/>
            </w:r>
          </w:hyperlink>
        </w:p>
        <w:p w14:paraId="597ED34B" w14:textId="77777777" w:rsidR="00E269CD" w:rsidRDefault="00E13E3E">
          <w:pPr>
            <w:pStyle w:val="11"/>
            <w:rPr>
              <w:color w:val="000000" w:themeColor="text1"/>
            </w:rPr>
          </w:pPr>
          <w:hyperlink w:anchor="_Toc127171737" w:history="1">
            <w:r>
              <w:rPr>
                <w:rStyle w:val="af7"/>
                <w:b/>
                <w:bCs/>
                <w:color w:val="000000" w:themeColor="text1"/>
              </w:rPr>
              <w:t xml:space="preserve">2  </w:t>
            </w:r>
            <w:r>
              <w:rPr>
                <w:rStyle w:val="af7"/>
                <w:b/>
                <w:bCs/>
                <w:color w:val="000000" w:themeColor="text1"/>
              </w:rPr>
              <w:t>术</w:t>
            </w:r>
            <w:r>
              <w:rPr>
                <w:rStyle w:val="af7"/>
                <w:b/>
                <w:bCs/>
                <w:color w:val="000000" w:themeColor="text1"/>
              </w:rPr>
              <w:t xml:space="preserve">  </w:t>
            </w:r>
            <w:r>
              <w:rPr>
                <w:rStyle w:val="af7"/>
                <w:b/>
                <w:bCs/>
                <w:color w:val="000000" w:themeColor="text1"/>
              </w:rPr>
              <w:t>语</w:t>
            </w:r>
            <w:r>
              <w:rPr>
                <w:color w:val="000000" w:themeColor="text1"/>
              </w:rPr>
              <w:tab/>
            </w:r>
            <w:r>
              <w:rPr>
                <w:color w:val="000000" w:themeColor="text1"/>
              </w:rPr>
              <w:fldChar w:fldCharType="begin"/>
            </w:r>
            <w:r>
              <w:rPr>
                <w:color w:val="000000" w:themeColor="text1"/>
              </w:rPr>
              <w:instrText xml:space="preserve"> PAGEREF _Toc127171737 \h </w:instrText>
            </w:r>
            <w:r>
              <w:rPr>
                <w:color w:val="000000" w:themeColor="text1"/>
              </w:rPr>
            </w:r>
            <w:r>
              <w:rPr>
                <w:color w:val="000000" w:themeColor="text1"/>
              </w:rPr>
              <w:fldChar w:fldCharType="separate"/>
            </w:r>
            <w:r>
              <w:rPr>
                <w:color w:val="000000" w:themeColor="text1"/>
              </w:rPr>
              <w:t>2</w:t>
            </w:r>
            <w:r>
              <w:rPr>
                <w:color w:val="000000" w:themeColor="text1"/>
              </w:rPr>
              <w:fldChar w:fldCharType="end"/>
            </w:r>
          </w:hyperlink>
        </w:p>
        <w:p w14:paraId="717CC0A1" w14:textId="77777777" w:rsidR="00E269CD" w:rsidRDefault="00E13E3E">
          <w:pPr>
            <w:pStyle w:val="11"/>
            <w:rPr>
              <w:color w:val="000000" w:themeColor="text1"/>
            </w:rPr>
          </w:pPr>
          <w:hyperlink w:anchor="_Toc127171738" w:history="1">
            <w:r>
              <w:rPr>
                <w:rStyle w:val="af7"/>
                <w:b/>
                <w:bCs/>
                <w:color w:val="000000" w:themeColor="text1"/>
              </w:rPr>
              <w:t xml:space="preserve">3  </w:t>
            </w:r>
            <w:r>
              <w:rPr>
                <w:rStyle w:val="af7"/>
                <w:b/>
                <w:bCs/>
                <w:color w:val="000000" w:themeColor="text1"/>
              </w:rPr>
              <w:t>基本规定</w:t>
            </w:r>
            <w:r>
              <w:rPr>
                <w:color w:val="000000" w:themeColor="text1"/>
              </w:rPr>
              <w:tab/>
            </w:r>
            <w:r>
              <w:rPr>
                <w:color w:val="000000" w:themeColor="text1"/>
              </w:rPr>
              <w:fldChar w:fldCharType="begin"/>
            </w:r>
            <w:r>
              <w:rPr>
                <w:color w:val="000000" w:themeColor="text1"/>
              </w:rPr>
              <w:instrText xml:space="preserve"> PAGEREF _Toc1</w:instrText>
            </w:r>
            <w:r>
              <w:rPr>
                <w:color w:val="000000" w:themeColor="text1"/>
              </w:rPr>
              <w:instrText xml:space="preserve">27171738 \h </w:instrText>
            </w:r>
            <w:r>
              <w:rPr>
                <w:color w:val="000000" w:themeColor="text1"/>
              </w:rPr>
            </w:r>
            <w:r>
              <w:rPr>
                <w:color w:val="000000" w:themeColor="text1"/>
              </w:rPr>
              <w:fldChar w:fldCharType="separate"/>
            </w:r>
            <w:r>
              <w:rPr>
                <w:color w:val="000000" w:themeColor="text1"/>
              </w:rPr>
              <w:t>3</w:t>
            </w:r>
            <w:r>
              <w:rPr>
                <w:color w:val="000000" w:themeColor="text1"/>
              </w:rPr>
              <w:fldChar w:fldCharType="end"/>
            </w:r>
          </w:hyperlink>
        </w:p>
        <w:p w14:paraId="59F6DF44" w14:textId="77777777" w:rsidR="00E269CD" w:rsidRDefault="00E13E3E">
          <w:pPr>
            <w:pStyle w:val="11"/>
            <w:rPr>
              <w:color w:val="000000" w:themeColor="text1"/>
            </w:rPr>
          </w:pPr>
          <w:hyperlink w:anchor="_Toc127171739" w:history="1">
            <w:r>
              <w:rPr>
                <w:rStyle w:val="af7"/>
                <w:bCs/>
                <w:color w:val="000000" w:themeColor="text1"/>
              </w:rPr>
              <w:t xml:space="preserve">3.1  </w:t>
            </w:r>
            <w:r>
              <w:rPr>
                <w:rStyle w:val="af7"/>
                <w:bCs/>
                <w:color w:val="000000" w:themeColor="text1"/>
              </w:rPr>
              <w:t>一般规定</w:t>
            </w:r>
            <w:r>
              <w:rPr>
                <w:color w:val="000000" w:themeColor="text1"/>
              </w:rPr>
              <w:tab/>
            </w:r>
            <w:r>
              <w:rPr>
                <w:color w:val="000000" w:themeColor="text1"/>
              </w:rPr>
              <w:fldChar w:fldCharType="begin"/>
            </w:r>
            <w:r>
              <w:rPr>
                <w:color w:val="000000" w:themeColor="text1"/>
              </w:rPr>
              <w:instrText xml:space="preserve"> PAGEREF _Toc127171739 \h </w:instrText>
            </w:r>
            <w:r>
              <w:rPr>
                <w:color w:val="000000" w:themeColor="text1"/>
              </w:rPr>
            </w:r>
            <w:r>
              <w:rPr>
                <w:color w:val="000000" w:themeColor="text1"/>
              </w:rPr>
              <w:fldChar w:fldCharType="separate"/>
            </w:r>
            <w:r>
              <w:rPr>
                <w:color w:val="000000" w:themeColor="text1"/>
              </w:rPr>
              <w:t>3</w:t>
            </w:r>
            <w:r>
              <w:rPr>
                <w:color w:val="000000" w:themeColor="text1"/>
              </w:rPr>
              <w:fldChar w:fldCharType="end"/>
            </w:r>
          </w:hyperlink>
        </w:p>
        <w:p w14:paraId="6EE01A6D" w14:textId="77777777" w:rsidR="00E269CD" w:rsidRDefault="00E13E3E">
          <w:pPr>
            <w:pStyle w:val="11"/>
            <w:rPr>
              <w:color w:val="000000" w:themeColor="text1"/>
            </w:rPr>
          </w:pPr>
          <w:hyperlink w:anchor="_Toc127171740" w:history="1">
            <w:r>
              <w:rPr>
                <w:rStyle w:val="af7"/>
                <w:bCs/>
                <w:color w:val="000000" w:themeColor="text1"/>
              </w:rPr>
              <w:t xml:space="preserve">3.2  </w:t>
            </w:r>
            <w:r>
              <w:rPr>
                <w:rStyle w:val="af7"/>
                <w:bCs/>
                <w:color w:val="000000" w:themeColor="text1"/>
              </w:rPr>
              <w:t>工艺选择</w:t>
            </w:r>
            <w:r>
              <w:rPr>
                <w:color w:val="000000" w:themeColor="text1"/>
              </w:rPr>
              <w:tab/>
            </w:r>
            <w:r>
              <w:rPr>
                <w:color w:val="000000" w:themeColor="text1"/>
              </w:rPr>
              <w:fldChar w:fldCharType="begin"/>
            </w:r>
            <w:r>
              <w:rPr>
                <w:color w:val="000000" w:themeColor="text1"/>
              </w:rPr>
              <w:instrText xml:space="preserve"> PAGEREF _Toc127171740 \h </w:instrText>
            </w:r>
            <w:r>
              <w:rPr>
                <w:color w:val="000000" w:themeColor="text1"/>
              </w:rPr>
            </w:r>
            <w:r>
              <w:rPr>
                <w:color w:val="000000" w:themeColor="text1"/>
              </w:rPr>
              <w:fldChar w:fldCharType="separate"/>
            </w:r>
            <w:r>
              <w:rPr>
                <w:color w:val="000000" w:themeColor="text1"/>
              </w:rPr>
              <w:t>3</w:t>
            </w:r>
            <w:r>
              <w:rPr>
                <w:color w:val="000000" w:themeColor="text1"/>
              </w:rPr>
              <w:fldChar w:fldCharType="end"/>
            </w:r>
          </w:hyperlink>
        </w:p>
        <w:p w14:paraId="2662C8ED" w14:textId="77777777" w:rsidR="00E269CD" w:rsidRDefault="00E13E3E">
          <w:pPr>
            <w:pStyle w:val="11"/>
            <w:rPr>
              <w:color w:val="000000" w:themeColor="text1"/>
            </w:rPr>
          </w:pPr>
          <w:hyperlink w:anchor="_Toc127171741" w:history="1">
            <w:r>
              <w:rPr>
                <w:rStyle w:val="af7"/>
                <w:b/>
                <w:bCs/>
                <w:color w:val="000000" w:themeColor="text1"/>
              </w:rPr>
              <w:t xml:space="preserve">4  </w:t>
            </w:r>
            <w:r>
              <w:rPr>
                <w:rStyle w:val="af7"/>
                <w:b/>
                <w:bCs/>
                <w:color w:val="000000" w:themeColor="text1"/>
              </w:rPr>
              <w:t>商品次氯酸钠消毒系统</w:t>
            </w:r>
            <w:r>
              <w:rPr>
                <w:color w:val="000000" w:themeColor="text1"/>
              </w:rPr>
              <w:tab/>
            </w:r>
            <w:r>
              <w:rPr>
                <w:color w:val="000000" w:themeColor="text1"/>
              </w:rPr>
              <w:fldChar w:fldCharType="begin"/>
            </w:r>
            <w:r>
              <w:rPr>
                <w:color w:val="000000" w:themeColor="text1"/>
              </w:rPr>
              <w:instrText xml:space="preserve"> PAGER</w:instrText>
            </w:r>
            <w:r>
              <w:rPr>
                <w:color w:val="000000" w:themeColor="text1"/>
              </w:rPr>
              <w:instrText xml:space="preserve">EF _Toc127171741 \h </w:instrText>
            </w:r>
            <w:r>
              <w:rPr>
                <w:color w:val="000000" w:themeColor="text1"/>
              </w:rPr>
            </w:r>
            <w:r>
              <w:rPr>
                <w:color w:val="000000" w:themeColor="text1"/>
              </w:rPr>
              <w:fldChar w:fldCharType="separate"/>
            </w:r>
            <w:r>
              <w:rPr>
                <w:color w:val="000000" w:themeColor="text1"/>
              </w:rPr>
              <w:t>4</w:t>
            </w:r>
            <w:r>
              <w:rPr>
                <w:color w:val="000000" w:themeColor="text1"/>
              </w:rPr>
              <w:fldChar w:fldCharType="end"/>
            </w:r>
          </w:hyperlink>
        </w:p>
        <w:p w14:paraId="36C2F35B" w14:textId="77777777" w:rsidR="00E269CD" w:rsidRDefault="00E13E3E">
          <w:pPr>
            <w:pStyle w:val="11"/>
            <w:rPr>
              <w:color w:val="000000" w:themeColor="text1"/>
            </w:rPr>
          </w:pPr>
          <w:hyperlink w:anchor="_Toc127171742" w:history="1">
            <w:r>
              <w:rPr>
                <w:rStyle w:val="af7"/>
                <w:bCs/>
                <w:color w:val="000000" w:themeColor="text1"/>
              </w:rPr>
              <w:t xml:space="preserve">4.1  </w:t>
            </w:r>
            <w:r>
              <w:rPr>
                <w:rStyle w:val="af7"/>
                <w:bCs/>
                <w:color w:val="000000" w:themeColor="text1"/>
              </w:rPr>
              <w:t>基本组成与形式</w:t>
            </w:r>
            <w:r>
              <w:rPr>
                <w:color w:val="000000" w:themeColor="text1"/>
              </w:rPr>
              <w:tab/>
            </w:r>
            <w:r>
              <w:rPr>
                <w:color w:val="000000" w:themeColor="text1"/>
              </w:rPr>
              <w:fldChar w:fldCharType="begin"/>
            </w:r>
            <w:r>
              <w:rPr>
                <w:color w:val="000000" w:themeColor="text1"/>
              </w:rPr>
              <w:instrText xml:space="preserve"> PAGEREF _Toc127171742 \h </w:instrText>
            </w:r>
            <w:r>
              <w:rPr>
                <w:color w:val="000000" w:themeColor="text1"/>
              </w:rPr>
            </w:r>
            <w:r>
              <w:rPr>
                <w:color w:val="000000" w:themeColor="text1"/>
              </w:rPr>
              <w:fldChar w:fldCharType="separate"/>
            </w:r>
            <w:r>
              <w:rPr>
                <w:color w:val="000000" w:themeColor="text1"/>
              </w:rPr>
              <w:t>4</w:t>
            </w:r>
            <w:r>
              <w:rPr>
                <w:color w:val="000000" w:themeColor="text1"/>
              </w:rPr>
              <w:fldChar w:fldCharType="end"/>
            </w:r>
          </w:hyperlink>
        </w:p>
        <w:p w14:paraId="6FFEB9EE" w14:textId="77777777" w:rsidR="00E269CD" w:rsidRDefault="00E13E3E">
          <w:pPr>
            <w:pStyle w:val="11"/>
            <w:rPr>
              <w:color w:val="000000" w:themeColor="text1"/>
            </w:rPr>
          </w:pPr>
          <w:hyperlink w:anchor="_Toc127171743" w:history="1">
            <w:r>
              <w:rPr>
                <w:rStyle w:val="af7"/>
                <w:bCs/>
                <w:color w:val="000000" w:themeColor="text1"/>
              </w:rPr>
              <w:t xml:space="preserve">4.2  </w:t>
            </w:r>
            <w:r>
              <w:rPr>
                <w:rStyle w:val="af7"/>
                <w:bCs/>
                <w:color w:val="000000" w:themeColor="text1"/>
              </w:rPr>
              <w:t>进料</w:t>
            </w:r>
            <w:r>
              <w:rPr>
                <w:color w:val="000000" w:themeColor="text1"/>
              </w:rPr>
              <w:tab/>
            </w:r>
            <w:r>
              <w:rPr>
                <w:color w:val="000000" w:themeColor="text1"/>
              </w:rPr>
              <w:fldChar w:fldCharType="begin"/>
            </w:r>
            <w:r>
              <w:rPr>
                <w:color w:val="000000" w:themeColor="text1"/>
              </w:rPr>
              <w:instrText xml:space="preserve"> PAGEREF _Toc127171743 \h </w:instrText>
            </w:r>
            <w:r>
              <w:rPr>
                <w:color w:val="000000" w:themeColor="text1"/>
              </w:rPr>
            </w:r>
            <w:r>
              <w:rPr>
                <w:color w:val="000000" w:themeColor="text1"/>
              </w:rPr>
              <w:fldChar w:fldCharType="separate"/>
            </w:r>
            <w:r>
              <w:rPr>
                <w:color w:val="000000" w:themeColor="text1"/>
              </w:rPr>
              <w:t>4</w:t>
            </w:r>
            <w:r>
              <w:rPr>
                <w:color w:val="000000" w:themeColor="text1"/>
              </w:rPr>
              <w:fldChar w:fldCharType="end"/>
            </w:r>
          </w:hyperlink>
        </w:p>
        <w:p w14:paraId="1A2FD16E" w14:textId="77777777" w:rsidR="00E269CD" w:rsidRDefault="00E13E3E">
          <w:pPr>
            <w:pStyle w:val="11"/>
            <w:rPr>
              <w:color w:val="000000" w:themeColor="text1"/>
            </w:rPr>
          </w:pPr>
          <w:hyperlink w:anchor="_Toc127171744" w:history="1">
            <w:r>
              <w:rPr>
                <w:rStyle w:val="af7"/>
                <w:bCs/>
                <w:color w:val="000000" w:themeColor="text1"/>
              </w:rPr>
              <w:t xml:space="preserve">4.3  </w:t>
            </w:r>
            <w:r>
              <w:rPr>
                <w:rStyle w:val="af7"/>
                <w:bCs/>
                <w:color w:val="000000" w:themeColor="text1"/>
              </w:rPr>
              <w:t>待检、储存</w:t>
            </w:r>
            <w:r>
              <w:rPr>
                <w:color w:val="000000" w:themeColor="text1"/>
              </w:rPr>
              <w:tab/>
            </w:r>
            <w:r>
              <w:rPr>
                <w:color w:val="000000" w:themeColor="text1"/>
              </w:rPr>
              <w:fldChar w:fldCharType="begin"/>
            </w:r>
            <w:r>
              <w:rPr>
                <w:color w:val="000000" w:themeColor="text1"/>
              </w:rPr>
              <w:instrText xml:space="preserve"> PAGEREF _Toc127171744 \h </w:instrText>
            </w:r>
            <w:r>
              <w:rPr>
                <w:color w:val="000000" w:themeColor="text1"/>
              </w:rPr>
            </w:r>
            <w:r>
              <w:rPr>
                <w:color w:val="000000" w:themeColor="text1"/>
              </w:rPr>
              <w:fldChar w:fldCharType="separate"/>
            </w:r>
            <w:r>
              <w:rPr>
                <w:color w:val="000000" w:themeColor="text1"/>
              </w:rPr>
              <w:t>4</w:t>
            </w:r>
            <w:r>
              <w:rPr>
                <w:color w:val="000000" w:themeColor="text1"/>
              </w:rPr>
              <w:fldChar w:fldCharType="end"/>
            </w:r>
          </w:hyperlink>
        </w:p>
        <w:p w14:paraId="37822714" w14:textId="77777777" w:rsidR="00E269CD" w:rsidRDefault="00E13E3E">
          <w:pPr>
            <w:pStyle w:val="11"/>
            <w:rPr>
              <w:color w:val="000000" w:themeColor="text1"/>
            </w:rPr>
          </w:pPr>
          <w:hyperlink w:anchor="_Toc127171745" w:history="1">
            <w:r>
              <w:rPr>
                <w:rStyle w:val="af7"/>
                <w:bCs/>
                <w:color w:val="000000" w:themeColor="text1"/>
              </w:rPr>
              <w:t xml:space="preserve">4.4  </w:t>
            </w:r>
            <w:r>
              <w:rPr>
                <w:rStyle w:val="af7"/>
                <w:bCs/>
                <w:color w:val="000000" w:themeColor="text1"/>
              </w:rPr>
              <w:t>加注</w:t>
            </w:r>
            <w:r>
              <w:rPr>
                <w:color w:val="000000" w:themeColor="text1"/>
              </w:rPr>
              <w:tab/>
            </w:r>
            <w:r>
              <w:rPr>
                <w:color w:val="000000" w:themeColor="text1"/>
              </w:rPr>
              <w:fldChar w:fldCharType="begin"/>
            </w:r>
            <w:r>
              <w:rPr>
                <w:color w:val="000000" w:themeColor="text1"/>
              </w:rPr>
              <w:instrText xml:space="preserve"> PAGEREF _Toc127171745 \h </w:instrText>
            </w:r>
            <w:r>
              <w:rPr>
                <w:color w:val="000000" w:themeColor="text1"/>
              </w:rPr>
            </w:r>
            <w:r>
              <w:rPr>
                <w:color w:val="000000" w:themeColor="text1"/>
              </w:rPr>
              <w:fldChar w:fldCharType="separate"/>
            </w:r>
            <w:r>
              <w:rPr>
                <w:color w:val="000000" w:themeColor="text1"/>
              </w:rPr>
              <w:t>5</w:t>
            </w:r>
            <w:r>
              <w:rPr>
                <w:color w:val="000000" w:themeColor="text1"/>
              </w:rPr>
              <w:fldChar w:fldCharType="end"/>
            </w:r>
          </w:hyperlink>
        </w:p>
        <w:p w14:paraId="1721F3FF" w14:textId="77777777" w:rsidR="00E269CD" w:rsidRDefault="00E13E3E">
          <w:pPr>
            <w:pStyle w:val="11"/>
            <w:rPr>
              <w:color w:val="000000" w:themeColor="text1"/>
            </w:rPr>
          </w:pPr>
          <w:hyperlink w:anchor="_Toc127171746" w:history="1">
            <w:r>
              <w:rPr>
                <w:rStyle w:val="af7"/>
                <w:bCs/>
                <w:color w:val="000000" w:themeColor="text1"/>
              </w:rPr>
              <w:t xml:space="preserve">4.5  </w:t>
            </w:r>
            <w:r>
              <w:rPr>
                <w:rStyle w:val="af7"/>
                <w:bCs/>
                <w:color w:val="000000" w:themeColor="text1"/>
              </w:rPr>
              <w:t>监测和控制</w:t>
            </w:r>
            <w:r>
              <w:rPr>
                <w:color w:val="000000" w:themeColor="text1"/>
              </w:rPr>
              <w:tab/>
            </w:r>
            <w:r>
              <w:rPr>
                <w:color w:val="000000" w:themeColor="text1"/>
              </w:rPr>
              <w:fldChar w:fldCharType="begin"/>
            </w:r>
            <w:r>
              <w:rPr>
                <w:color w:val="000000" w:themeColor="text1"/>
              </w:rPr>
              <w:instrText xml:space="preserve"> PAGEREF _Toc127171746 \h </w:instrText>
            </w:r>
            <w:r>
              <w:rPr>
                <w:color w:val="000000" w:themeColor="text1"/>
              </w:rPr>
            </w:r>
            <w:r>
              <w:rPr>
                <w:color w:val="000000" w:themeColor="text1"/>
              </w:rPr>
              <w:fldChar w:fldCharType="separate"/>
            </w:r>
            <w:r>
              <w:rPr>
                <w:color w:val="000000" w:themeColor="text1"/>
              </w:rPr>
              <w:t>5</w:t>
            </w:r>
            <w:r>
              <w:rPr>
                <w:color w:val="000000" w:themeColor="text1"/>
              </w:rPr>
              <w:fldChar w:fldCharType="end"/>
            </w:r>
          </w:hyperlink>
        </w:p>
        <w:p w14:paraId="0C9A4D4A" w14:textId="77777777" w:rsidR="00E269CD" w:rsidRDefault="00E13E3E">
          <w:pPr>
            <w:pStyle w:val="11"/>
            <w:rPr>
              <w:color w:val="000000" w:themeColor="text1"/>
            </w:rPr>
          </w:pPr>
          <w:hyperlink w:anchor="_Toc127171747" w:history="1">
            <w:r>
              <w:rPr>
                <w:rStyle w:val="af7"/>
                <w:b/>
                <w:bCs/>
                <w:color w:val="000000" w:themeColor="text1"/>
              </w:rPr>
              <w:t xml:space="preserve">5  </w:t>
            </w:r>
            <w:r>
              <w:rPr>
                <w:rStyle w:val="af7"/>
                <w:b/>
                <w:bCs/>
                <w:color w:val="000000" w:themeColor="text1"/>
              </w:rPr>
              <w:t>次氯酸钠现场制备消毒系统</w:t>
            </w:r>
            <w:r>
              <w:rPr>
                <w:color w:val="000000" w:themeColor="text1"/>
              </w:rPr>
              <w:tab/>
            </w:r>
            <w:r>
              <w:rPr>
                <w:color w:val="000000" w:themeColor="text1"/>
              </w:rPr>
              <w:fldChar w:fldCharType="begin"/>
            </w:r>
            <w:r>
              <w:rPr>
                <w:color w:val="000000" w:themeColor="text1"/>
              </w:rPr>
              <w:instrText xml:space="preserve"> PAGEREF _Toc127171747 \h </w:instrText>
            </w:r>
            <w:r>
              <w:rPr>
                <w:color w:val="000000" w:themeColor="text1"/>
              </w:rPr>
            </w:r>
            <w:r>
              <w:rPr>
                <w:color w:val="000000" w:themeColor="text1"/>
              </w:rPr>
              <w:fldChar w:fldCharType="separate"/>
            </w:r>
            <w:r>
              <w:rPr>
                <w:color w:val="000000" w:themeColor="text1"/>
              </w:rPr>
              <w:t>6</w:t>
            </w:r>
            <w:r>
              <w:rPr>
                <w:color w:val="000000" w:themeColor="text1"/>
              </w:rPr>
              <w:fldChar w:fldCharType="end"/>
            </w:r>
          </w:hyperlink>
        </w:p>
        <w:p w14:paraId="1693C695" w14:textId="77777777" w:rsidR="00E269CD" w:rsidRDefault="00E13E3E">
          <w:pPr>
            <w:pStyle w:val="11"/>
            <w:rPr>
              <w:color w:val="000000" w:themeColor="text1"/>
            </w:rPr>
          </w:pPr>
          <w:hyperlink w:anchor="_Toc127171748" w:history="1">
            <w:r>
              <w:rPr>
                <w:rStyle w:val="af7"/>
                <w:bCs/>
                <w:color w:val="000000" w:themeColor="text1"/>
              </w:rPr>
              <w:t xml:space="preserve">5.1  </w:t>
            </w:r>
            <w:r>
              <w:rPr>
                <w:rStyle w:val="af7"/>
                <w:bCs/>
                <w:color w:val="000000" w:themeColor="text1"/>
              </w:rPr>
              <w:t>基本组成与形式</w:t>
            </w:r>
            <w:r>
              <w:rPr>
                <w:color w:val="000000" w:themeColor="text1"/>
              </w:rPr>
              <w:tab/>
            </w:r>
            <w:r>
              <w:rPr>
                <w:color w:val="000000" w:themeColor="text1"/>
              </w:rPr>
              <w:fldChar w:fldCharType="begin"/>
            </w:r>
            <w:r>
              <w:rPr>
                <w:color w:val="000000" w:themeColor="text1"/>
              </w:rPr>
              <w:instrText xml:space="preserve"> </w:instrText>
            </w:r>
            <w:r>
              <w:rPr>
                <w:color w:val="000000" w:themeColor="text1"/>
              </w:rPr>
              <w:instrText xml:space="preserve">PAGEREF _Toc127171748 \h </w:instrText>
            </w:r>
            <w:r>
              <w:rPr>
                <w:color w:val="000000" w:themeColor="text1"/>
              </w:rPr>
            </w:r>
            <w:r>
              <w:rPr>
                <w:color w:val="000000" w:themeColor="text1"/>
              </w:rPr>
              <w:fldChar w:fldCharType="separate"/>
            </w:r>
            <w:r>
              <w:rPr>
                <w:color w:val="000000" w:themeColor="text1"/>
              </w:rPr>
              <w:t>6</w:t>
            </w:r>
            <w:r>
              <w:rPr>
                <w:color w:val="000000" w:themeColor="text1"/>
              </w:rPr>
              <w:fldChar w:fldCharType="end"/>
            </w:r>
          </w:hyperlink>
        </w:p>
        <w:p w14:paraId="3E360C88" w14:textId="77777777" w:rsidR="00E269CD" w:rsidRDefault="00E13E3E">
          <w:pPr>
            <w:pStyle w:val="11"/>
            <w:rPr>
              <w:color w:val="000000" w:themeColor="text1"/>
            </w:rPr>
          </w:pPr>
          <w:hyperlink w:anchor="_Toc127171749" w:history="1">
            <w:r>
              <w:rPr>
                <w:rStyle w:val="af7"/>
                <w:bCs/>
                <w:color w:val="000000" w:themeColor="text1"/>
              </w:rPr>
              <w:t xml:space="preserve">5.2  </w:t>
            </w:r>
            <w:r>
              <w:rPr>
                <w:rStyle w:val="af7"/>
                <w:bCs/>
                <w:color w:val="000000" w:themeColor="text1"/>
              </w:rPr>
              <w:t>储盐</w:t>
            </w:r>
            <w:r>
              <w:rPr>
                <w:color w:val="000000" w:themeColor="text1"/>
              </w:rPr>
              <w:tab/>
            </w:r>
            <w:r>
              <w:rPr>
                <w:color w:val="000000" w:themeColor="text1"/>
              </w:rPr>
              <w:fldChar w:fldCharType="begin"/>
            </w:r>
            <w:r>
              <w:rPr>
                <w:color w:val="000000" w:themeColor="text1"/>
              </w:rPr>
              <w:instrText xml:space="preserve"> PAGEREF _Toc127171749 \h </w:instrText>
            </w:r>
            <w:r>
              <w:rPr>
                <w:color w:val="000000" w:themeColor="text1"/>
              </w:rPr>
            </w:r>
            <w:r>
              <w:rPr>
                <w:color w:val="000000" w:themeColor="text1"/>
              </w:rPr>
              <w:fldChar w:fldCharType="separate"/>
            </w:r>
            <w:r>
              <w:rPr>
                <w:color w:val="000000" w:themeColor="text1"/>
              </w:rPr>
              <w:t>6</w:t>
            </w:r>
            <w:r>
              <w:rPr>
                <w:color w:val="000000" w:themeColor="text1"/>
              </w:rPr>
              <w:fldChar w:fldCharType="end"/>
            </w:r>
          </w:hyperlink>
        </w:p>
        <w:p w14:paraId="3A8BA568" w14:textId="77777777" w:rsidR="00E269CD" w:rsidRDefault="00E13E3E">
          <w:pPr>
            <w:pStyle w:val="11"/>
            <w:rPr>
              <w:color w:val="000000" w:themeColor="text1"/>
            </w:rPr>
          </w:pPr>
          <w:hyperlink w:anchor="_Toc127171750" w:history="1">
            <w:r>
              <w:rPr>
                <w:rStyle w:val="af7"/>
                <w:bCs/>
                <w:color w:val="000000" w:themeColor="text1"/>
              </w:rPr>
              <w:t xml:space="preserve">5.3  </w:t>
            </w:r>
            <w:r>
              <w:rPr>
                <w:rStyle w:val="af7"/>
                <w:bCs/>
                <w:color w:val="000000" w:themeColor="text1"/>
              </w:rPr>
              <w:t>溶盐</w:t>
            </w:r>
            <w:r>
              <w:rPr>
                <w:color w:val="000000" w:themeColor="text1"/>
              </w:rPr>
              <w:tab/>
            </w:r>
            <w:r>
              <w:rPr>
                <w:color w:val="000000" w:themeColor="text1"/>
              </w:rPr>
              <w:fldChar w:fldCharType="begin"/>
            </w:r>
            <w:r>
              <w:rPr>
                <w:color w:val="000000" w:themeColor="text1"/>
              </w:rPr>
              <w:instrText xml:space="preserve"> PAGEREF _Toc127171750 \h </w:instrText>
            </w:r>
            <w:r>
              <w:rPr>
                <w:color w:val="000000" w:themeColor="text1"/>
              </w:rPr>
            </w:r>
            <w:r>
              <w:rPr>
                <w:color w:val="000000" w:themeColor="text1"/>
              </w:rPr>
              <w:fldChar w:fldCharType="separate"/>
            </w:r>
            <w:r>
              <w:rPr>
                <w:color w:val="000000" w:themeColor="text1"/>
              </w:rPr>
              <w:t>6</w:t>
            </w:r>
            <w:r>
              <w:rPr>
                <w:color w:val="000000" w:themeColor="text1"/>
              </w:rPr>
              <w:fldChar w:fldCharType="end"/>
            </w:r>
          </w:hyperlink>
        </w:p>
        <w:p w14:paraId="1A55651E" w14:textId="77777777" w:rsidR="00E269CD" w:rsidRDefault="00E13E3E">
          <w:pPr>
            <w:pStyle w:val="11"/>
            <w:rPr>
              <w:color w:val="000000" w:themeColor="text1"/>
            </w:rPr>
          </w:pPr>
          <w:hyperlink w:anchor="_Toc127171751" w:history="1">
            <w:r>
              <w:rPr>
                <w:rStyle w:val="af7"/>
                <w:bCs/>
                <w:color w:val="000000" w:themeColor="text1"/>
              </w:rPr>
              <w:t xml:space="preserve">5.4  </w:t>
            </w:r>
            <w:r>
              <w:rPr>
                <w:rStyle w:val="af7"/>
                <w:bCs/>
                <w:color w:val="000000" w:themeColor="text1"/>
              </w:rPr>
              <w:t>制备</w:t>
            </w:r>
            <w:r>
              <w:rPr>
                <w:color w:val="000000" w:themeColor="text1"/>
              </w:rPr>
              <w:tab/>
            </w:r>
            <w:r>
              <w:rPr>
                <w:color w:val="000000" w:themeColor="text1"/>
              </w:rPr>
              <w:fldChar w:fldCharType="begin"/>
            </w:r>
            <w:r>
              <w:rPr>
                <w:color w:val="000000" w:themeColor="text1"/>
              </w:rPr>
              <w:instrText xml:space="preserve"> PAGEREF _Toc127171751 \h </w:instrText>
            </w:r>
            <w:r>
              <w:rPr>
                <w:color w:val="000000" w:themeColor="text1"/>
              </w:rPr>
            </w:r>
            <w:r>
              <w:rPr>
                <w:color w:val="000000" w:themeColor="text1"/>
              </w:rPr>
              <w:fldChar w:fldCharType="separate"/>
            </w:r>
            <w:r>
              <w:rPr>
                <w:color w:val="000000" w:themeColor="text1"/>
              </w:rPr>
              <w:t>7</w:t>
            </w:r>
            <w:r>
              <w:rPr>
                <w:color w:val="000000" w:themeColor="text1"/>
              </w:rPr>
              <w:fldChar w:fldCharType="end"/>
            </w:r>
          </w:hyperlink>
        </w:p>
        <w:p w14:paraId="5914FDAC" w14:textId="77777777" w:rsidR="00E269CD" w:rsidRDefault="00E13E3E">
          <w:pPr>
            <w:pStyle w:val="11"/>
            <w:rPr>
              <w:color w:val="000000" w:themeColor="text1"/>
            </w:rPr>
          </w:pPr>
          <w:hyperlink w:anchor="_Toc127171752" w:history="1">
            <w:r>
              <w:rPr>
                <w:rStyle w:val="af7"/>
                <w:bCs/>
                <w:color w:val="000000" w:themeColor="text1"/>
              </w:rPr>
              <w:t xml:space="preserve">5.5  </w:t>
            </w:r>
            <w:r>
              <w:rPr>
                <w:rStyle w:val="af7"/>
                <w:bCs/>
                <w:color w:val="000000" w:themeColor="text1"/>
              </w:rPr>
              <w:t>溶液储存</w:t>
            </w:r>
            <w:r>
              <w:rPr>
                <w:color w:val="000000" w:themeColor="text1"/>
              </w:rPr>
              <w:tab/>
            </w:r>
            <w:r>
              <w:rPr>
                <w:color w:val="000000" w:themeColor="text1"/>
              </w:rPr>
              <w:fldChar w:fldCharType="begin"/>
            </w:r>
            <w:r>
              <w:rPr>
                <w:color w:val="000000" w:themeColor="text1"/>
              </w:rPr>
              <w:instrText xml:space="preserve"> PAGEREF _Toc127171752 \h </w:instrText>
            </w:r>
            <w:r>
              <w:rPr>
                <w:color w:val="000000" w:themeColor="text1"/>
              </w:rPr>
            </w:r>
            <w:r>
              <w:rPr>
                <w:color w:val="000000" w:themeColor="text1"/>
              </w:rPr>
              <w:fldChar w:fldCharType="separate"/>
            </w:r>
            <w:r>
              <w:rPr>
                <w:color w:val="000000" w:themeColor="text1"/>
              </w:rPr>
              <w:t>7</w:t>
            </w:r>
            <w:r>
              <w:rPr>
                <w:color w:val="000000" w:themeColor="text1"/>
              </w:rPr>
              <w:fldChar w:fldCharType="end"/>
            </w:r>
          </w:hyperlink>
        </w:p>
        <w:p w14:paraId="15549E28" w14:textId="77777777" w:rsidR="00E269CD" w:rsidRDefault="00E13E3E">
          <w:pPr>
            <w:pStyle w:val="11"/>
            <w:rPr>
              <w:color w:val="000000" w:themeColor="text1"/>
            </w:rPr>
          </w:pPr>
          <w:hyperlink w:anchor="_Toc127171753" w:history="1">
            <w:r>
              <w:rPr>
                <w:rStyle w:val="af7"/>
                <w:bCs/>
                <w:color w:val="000000" w:themeColor="text1"/>
              </w:rPr>
              <w:t xml:space="preserve">5.6  </w:t>
            </w:r>
            <w:r>
              <w:rPr>
                <w:rStyle w:val="af7"/>
                <w:bCs/>
                <w:color w:val="000000" w:themeColor="text1"/>
              </w:rPr>
              <w:t>投加</w:t>
            </w:r>
            <w:r>
              <w:rPr>
                <w:color w:val="000000" w:themeColor="text1"/>
              </w:rPr>
              <w:tab/>
            </w:r>
            <w:r>
              <w:rPr>
                <w:color w:val="000000" w:themeColor="text1"/>
              </w:rPr>
              <w:fldChar w:fldCharType="begin"/>
            </w:r>
            <w:r>
              <w:rPr>
                <w:color w:val="000000" w:themeColor="text1"/>
              </w:rPr>
              <w:instrText xml:space="preserve"> PAGEREF _Toc127171753 \h </w:instrText>
            </w:r>
            <w:r>
              <w:rPr>
                <w:color w:val="000000" w:themeColor="text1"/>
              </w:rPr>
            </w:r>
            <w:r>
              <w:rPr>
                <w:color w:val="000000" w:themeColor="text1"/>
              </w:rPr>
              <w:fldChar w:fldCharType="separate"/>
            </w:r>
            <w:r>
              <w:rPr>
                <w:color w:val="000000" w:themeColor="text1"/>
              </w:rPr>
              <w:t>8</w:t>
            </w:r>
            <w:r>
              <w:rPr>
                <w:color w:val="000000" w:themeColor="text1"/>
              </w:rPr>
              <w:fldChar w:fldCharType="end"/>
            </w:r>
          </w:hyperlink>
        </w:p>
        <w:p w14:paraId="6A4422DF" w14:textId="77777777" w:rsidR="00E269CD" w:rsidRDefault="00E13E3E">
          <w:pPr>
            <w:pStyle w:val="11"/>
            <w:rPr>
              <w:color w:val="000000" w:themeColor="text1"/>
            </w:rPr>
          </w:pPr>
          <w:hyperlink w:anchor="_Toc127171754" w:history="1">
            <w:r>
              <w:rPr>
                <w:rStyle w:val="af7"/>
                <w:bCs/>
                <w:color w:val="000000" w:themeColor="text1"/>
              </w:rPr>
              <w:t xml:space="preserve">5.7  </w:t>
            </w:r>
            <w:r>
              <w:rPr>
                <w:rStyle w:val="af7"/>
                <w:bCs/>
                <w:color w:val="000000" w:themeColor="text1"/>
              </w:rPr>
              <w:t>检测和控制</w:t>
            </w:r>
            <w:r>
              <w:rPr>
                <w:color w:val="000000" w:themeColor="text1"/>
              </w:rPr>
              <w:tab/>
            </w:r>
            <w:r>
              <w:rPr>
                <w:color w:val="000000" w:themeColor="text1"/>
              </w:rPr>
              <w:fldChar w:fldCharType="begin"/>
            </w:r>
            <w:r>
              <w:rPr>
                <w:color w:val="000000" w:themeColor="text1"/>
              </w:rPr>
              <w:instrText xml:space="preserve"> PAGEREF _Toc127171754 \h </w:instrText>
            </w:r>
            <w:r>
              <w:rPr>
                <w:color w:val="000000" w:themeColor="text1"/>
              </w:rPr>
            </w:r>
            <w:r>
              <w:rPr>
                <w:color w:val="000000" w:themeColor="text1"/>
              </w:rPr>
              <w:fldChar w:fldCharType="separate"/>
            </w:r>
            <w:r>
              <w:rPr>
                <w:color w:val="000000" w:themeColor="text1"/>
              </w:rPr>
              <w:t>8</w:t>
            </w:r>
            <w:r>
              <w:rPr>
                <w:color w:val="000000" w:themeColor="text1"/>
              </w:rPr>
              <w:fldChar w:fldCharType="end"/>
            </w:r>
          </w:hyperlink>
        </w:p>
        <w:p w14:paraId="52FAA3A5" w14:textId="77777777" w:rsidR="00E269CD" w:rsidRDefault="00E13E3E">
          <w:pPr>
            <w:pStyle w:val="11"/>
            <w:rPr>
              <w:color w:val="000000" w:themeColor="text1"/>
            </w:rPr>
          </w:pPr>
          <w:hyperlink w:anchor="_Toc127171755" w:history="1">
            <w:r>
              <w:rPr>
                <w:rStyle w:val="af7"/>
                <w:b/>
                <w:bCs/>
                <w:color w:val="000000" w:themeColor="text1"/>
              </w:rPr>
              <w:t xml:space="preserve">6  </w:t>
            </w:r>
            <w:r>
              <w:rPr>
                <w:rStyle w:val="af7"/>
                <w:b/>
                <w:bCs/>
                <w:color w:val="000000" w:themeColor="text1"/>
              </w:rPr>
              <w:t>排放</w:t>
            </w:r>
            <w:r>
              <w:rPr>
                <w:color w:val="000000" w:themeColor="text1"/>
              </w:rPr>
              <w:tab/>
            </w:r>
            <w:r>
              <w:rPr>
                <w:color w:val="000000" w:themeColor="text1"/>
              </w:rPr>
              <w:fldChar w:fldCharType="begin"/>
            </w:r>
            <w:r>
              <w:rPr>
                <w:color w:val="000000" w:themeColor="text1"/>
              </w:rPr>
              <w:instrText xml:space="preserve"> PAGEREF _Toc127171755 \h </w:instrText>
            </w:r>
            <w:r>
              <w:rPr>
                <w:color w:val="000000" w:themeColor="text1"/>
              </w:rPr>
            </w:r>
            <w:r>
              <w:rPr>
                <w:color w:val="000000" w:themeColor="text1"/>
              </w:rPr>
              <w:fldChar w:fldCharType="separate"/>
            </w:r>
            <w:r>
              <w:rPr>
                <w:color w:val="000000" w:themeColor="text1"/>
              </w:rPr>
              <w:t>9</w:t>
            </w:r>
            <w:r>
              <w:rPr>
                <w:color w:val="000000" w:themeColor="text1"/>
              </w:rPr>
              <w:fldChar w:fldCharType="end"/>
            </w:r>
          </w:hyperlink>
        </w:p>
        <w:p w14:paraId="7464DA96" w14:textId="77777777" w:rsidR="00E269CD" w:rsidRDefault="00E13E3E">
          <w:pPr>
            <w:pStyle w:val="11"/>
            <w:rPr>
              <w:color w:val="000000" w:themeColor="text1"/>
            </w:rPr>
          </w:pPr>
          <w:hyperlink w:anchor="_Toc127171756" w:history="1">
            <w:r>
              <w:rPr>
                <w:rStyle w:val="af7"/>
                <w:bCs/>
                <w:color w:val="000000" w:themeColor="text1"/>
              </w:rPr>
              <w:t xml:space="preserve">7  </w:t>
            </w:r>
            <w:r>
              <w:rPr>
                <w:rStyle w:val="af7"/>
                <w:bCs/>
                <w:color w:val="000000" w:themeColor="text1"/>
              </w:rPr>
              <w:t>施工和验收</w:t>
            </w:r>
            <w:r>
              <w:rPr>
                <w:color w:val="000000" w:themeColor="text1"/>
              </w:rPr>
              <w:tab/>
            </w:r>
            <w:r>
              <w:rPr>
                <w:color w:val="000000" w:themeColor="text1"/>
              </w:rPr>
              <w:fldChar w:fldCharType="begin"/>
            </w:r>
            <w:r>
              <w:rPr>
                <w:color w:val="000000" w:themeColor="text1"/>
              </w:rPr>
              <w:instrText xml:space="preserve"> PAGEREF _Toc127171756 \h </w:instrText>
            </w:r>
            <w:r>
              <w:rPr>
                <w:color w:val="000000" w:themeColor="text1"/>
              </w:rPr>
            </w:r>
            <w:r>
              <w:rPr>
                <w:color w:val="000000" w:themeColor="text1"/>
              </w:rPr>
              <w:fldChar w:fldCharType="separate"/>
            </w:r>
            <w:r>
              <w:rPr>
                <w:color w:val="000000" w:themeColor="text1"/>
              </w:rPr>
              <w:t>10</w:t>
            </w:r>
            <w:r>
              <w:rPr>
                <w:color w:val="000000" w:themeColor="text1"/>
              </w:rPr>
              <w:fldChar w:fldCharType="end"/>
            </w:r>
          </w:hyperlink>
        </w:p>
        <w:p w14:paraId="5C22B10A" w14:textId="77777777" w:rsidR="00E269CD" w:rsidRDefault="00E13E3E">
          <w:pPr>
            <w:pStyle w:val="11"/>
            <w:rPr>
              <w:rStyle w:val="af7"/>
              <w:bCs/>
              <w:color w:val="000000" w:themeColor="text1"/>
            </w:rPr>
          </w:pPr>
          <w:hyperlink w:anchor="_Toc127171757" w:history="1">
            <w:r>
              <w:rPr>
                <w:rStyle w:val="af7"/>
                <w:bCs/>
                <w:color w:val="000000" w:themeColor="text1"/>
              </w:rPr>
              <w:t xml:space="preserve">7.1  </w:t>
            </w:r>
            <w:r>
              <w:rPr>
                <w:rStyle w:val="af7"/>
                <w:bCs/>
                <w:color w:val="000000" w:themeColor="text1"/>
              </w:rPr>
              <w:t>一般规定</w:t>
            </w:r>
            <w:r>
              <w:rPr>
                <w:rStyle w:val="af7"/>
                <w:bCs/>
                <w:color w:val="000000" w:themeColor="text1"/>
              </w:rPr>
              <w:tab/>
            </w:r>
            <w:r>
              <w:rPr>
                <w:rStyle w:val="af7"/>
                <w:bCs/>
                <w:color w:val="000000" w:themeColor="text1"/>
              </w:rPr>
              <w:fldChar w:fldCharType="begin"/>
            </w:r>
            <w:r>
              <w:rPr>
                <w:rStyle w:val="af7"/>
                <w:bCs/>
                <w:color w:val="000000" w:themeColor="text1"/>
              </w:rPr>
              <w:instrText xml:space="preserve"> PAGEREF _Toc127171757 \h </w:instrText>
            </w:r>
            <w:r>
              <w:rPr>
                <w:rStyle w:val="af7"/>
                <w:bCs/>
                <w:color w:val="000000" w:themeColor="text1"/>
              </w:rPr>
            </w:r>
            <w:r>
              <w:rPr>
                <w:rStyle w:val="af7"/>
                <w:bCs/>
                <w:color w:val="000000" w:themeColor="text1"/>
              </w:rPr>
              <w:fldChar w:fldCharType="separate"/>
            </w:r>
            <w:r>
              <w:rPr>
                <w:rStyle w:val="af7"/>
                <w:bCs/>
                <w:color w:val="000000" w:themeColor="text1"/>
              </w:rPr>
              <w:t>10</w:t>
            </w:r>
            <w:r>
              <w:rPr>
                <w:rStyle w:val="af7"/>
                <w:bCs/>
                <w:color w:val="000000" w:themeColor="text1"/>
              </w:rPr>
              <w:fldChar w:fldCharType="end"/>
            </w:r>
          </w:hyperlink>
        </w:p>
        <w:p w14:paraId="39EEB2E9" w14:textId="77777777" w:rsidR="00E269CD" w:rsidRDefault="00E13E3E">
          <w:pPr>
            <w:pStyle w:val="11"/>
            <w:rPr>
              <w:rStyle w:val="af7"/>
              <w:bCs/>
              <w:color w:val="000000" w:themeColor="text1"/>
            </w:rPr>
          </w:pPr>
          <w:hyperlink w:anchor="_Toc127171758" w:history="1">
            <w:r>
              <w:rPr>
                <w:rStyle w:val="af7"/>
                <w:bCs/>
                <w:color w:val="000000" w:themeColor="text1"/>
              </w:rPr>
              <w:t xml:space="preserve">7.2  </w:t>
            </w:r>
            <w:r>
              <w:rPr>
                <w:rStyle w:val="af7"/>
                <w:bCs/>
                <w:color w:val="000000" w:themeColor="text1"/>
              </w:rPr>
              <w:t>次氯酸钠现场制备系统</w:t>
            </w:r>
            <w:r>
              <w:rPr>
                <w:rStyle w:val="af7"/>
                <w:bCs/>
                <w:color w:val="000000" w:themeColor="text1"/>
              </w:rPr>
              <w:tab/>
            </w:r>
            <w:r>
              <w:rPr>
                <w:rStyle w:val="af7"/>
                <w:bCs/>
                <w:color w:val="000000" w:themeColor="text1"/>
              </w:rPr>
              <w:fldChar w:fldCharType="begin"/>
            </w:r>
            <w:r>
              <w:rPr>
                <w:rStyle w:val="af7"/>
                <w:bCs/>
                <w:color w:val="000000" w:themeColor="text1"/>
              </w:rPr>
              <w:instrText xml:space="preserve"> PAGEREF _Toc127171758 \h </w:instrText>
            </w:r>
            <w:r>
              <w:rPr>
                <w:rStyle w:val="af7"/>
                <w:bCs/>
                <w:color w:val="000000" w:themeColor="text1"/>
              </w:rPr>
            </w:r>
            <w:r>
              <w:rPr>
                <w:rStyle w:val="af7"/>
                <w:bCs/>
                <w:color w:val="000000" w:themeColor="text1"/>
              </w:rPr>
              <w:fldChar w:fldCharType="separate"/>
            </w:r>
            <w:r>
              <w:rPr>
                <w:rStyle w:val="af7"/>
                <w:bCs/>
                <w:color w:val="000000" w:themeColor="text1"/>
              </w:rPr>
              <w:t>10</w:t>
            </w:r>
            <w:r>
              <w:rPr>
                <w:rStyle w:val="af7"/>
                <w:bCs/>
                <w:color w:val="000000" w:themeColor="text1"/>
              </w:rPr>
              <w:fldChar w:fldCharType="end"/>
            </w:r>
          </w:hyperlink>
        </w:p>
        <w:p w14:paraId="15526C2A" w14:textId="77777777" w:rsidR="00E269CD" w:rsidRDefault="00E13E3E">
          <w:pPr>
            <w:pStyle w:val="11"/>
            <w:rPr>
              <w:color w:val="000000" w:themeColor="text1"/>
            </w:rPr>
          </w:pPr>
          <w:hyperlink w:anchor="_Toc127171759" w:history="1">
            <w:r>
              <w:rPr>
                <w:rStyle w:val="af7"/>
                <w:b/>
                <w:bCs/>
                <w:color w:val="000000" w:themeColor="text1"/>
              </w:rPr>
              <w:t xml:space="preserve">8  </w:t>
            </w:r>
            <w:r>
              <w:rPr>
                <w:rStyle w:val="af7"/>
                <w:b/>
                <w:bCs/>
                <w:color w:val="000000" w:themeColor="text1"/>
              </w:rPr>
              <w:t>运行管理</w:t>
            </w:r>
            <w:r>
              <w:rPr>
                <w:color w:val="000000" w:themeColor="text1"/>
              </w:rPr>
              <w:tab/>
            </w:r>
            <w:r>
              <w:rPr>
                <w:color w:val="000000" w:themeColor="text1"/>
              </w:rPr>
              <w:fldChar w:fldCharType="begin"/>
            </w:r>
            <w:r>
              <w:rPr>
                <w:color w:val="000000" w:themeColor="text1"/>
              </w:rPr>
              <w:instrText xml:space="preserve"> PAGEREF _Toc127171759 \h </w:instrText>
            </w:r>
            <w:r>
              <w:rPr>
                <w:color w:val="000000" w:themeColor="text1"/>
              </w:rPr>
            </w:r>
            <w:r>
              <w:rPr>
                <w:color w:val="000000" w:themeColor="text1"/>
              </w:rPr>
              <w:fldChar w:fldCharType="separate"/>
            </w:r>
            <w:r>
              <w:rPr>
                <w:color w:val="000000" w:themeColor="text1"/>
              </w:rPr>
              <w:t>11</w:t>
            </w:r>
            <w:r>
              <w:rPr>
                <w:color w:val="000000" w:themeColor="text1"/>
              </w:rPr>
              <w:fldChar w:fldCharType="end"/>
            </w:r>
          </w:hyperlink>
        </w:p>
        <w:p w14:paraId="160C40BB" w14:textId="77777777" w:rsidR="00E269CD" w:rsidRDefault="00E13E3E">
          <w:pPr>
            <w:pStyle w:val="11"/>
            <w:rPr>
              <w:color w:val="000000" w:themeColor="text1"/>
            </w:rPr>
          </w:pPr>
          <w:hyperlink w:anchor="_Toc127171760" w:history="1">
            <w:r>
              <w:rPr>
                <w:rStyle w:val="af7"/>
                <w:bCs/>
                <w:color w:val="000000" w:themeColor="text1"/>
              </w:rPr>
              <w:t xml:space="preserve">8.1  </w:t>
            </w:r>
            <w:r>
              <w:rPr>
                <w:rStyle w:val="af7"/>
                <w:bCs/>
                <w:color w:val="000000" w:themeColor="text1"/>
              </w:rPr>
              <w:t>运输</w:t>
            </w:r>
            <w:r>
              <w:rPr>
                <w:color w:val="000000" w:themeColor="text1"/>
              </w:rPr>
              <w:tab/>
            </w:r>
            <w:r>
              <w:rPr>
                <w:color w:val="000000" w:themeColor="text1"/>
              </w:rPr>
              <w:fldChar w:fldCharType="begin"/>
            </w:r>
            <w:r>
              <w:rPr>
                <w:color w:val="000000" w:themeColor="text1"/>
              </w:rPr>
              <w:instrText xml:space="preserve"> PAGEREF _To</w:instrText>
            </w:r>
            <w:r>
              <w:rPr>
                <w:color w:val="000000" w:themeColor="text1"/>
              </w:rPr>
              <w:instrText xml:space="preserve">c127171760 \h </w:instrText>
            </w:r>
            <w:r>
              <w:rPr>
                <w:color w:val="000000" w:themeColor="text1"/>
              </w:rPr>
            </w:r>
            <w:r>
              <w:rPr>
                <w:color w:val="000000" w:themeColor="text1"/>
              </w:rPr>
              <w:fldChar w:fldCharType="separate"/>
            </w:r>
            <w:r>
              <w:rPr>
                <w:color w:val="000000" w:themeColor="text1"/>
              </w:rPr>
              <w:t>11</w:t>
            </w:r>
            <w:r>
              <w:rPr>
                <w:color w:val="000000" w:themeColor="text1"/>
              </w:rPr>
              <w:fldChar w:fldCharType="end"/>
            </w:r>
          </w:hyperlink>
        </w:p>
        <w:p w14:paraId="6F1C059F" w14:textId="77777777" w:rsidR="00E269CD" w:rsidRDefault="00E13E3E">
          <w:pPr>
            <w:pStyle w:val="11"/>
            <w:rPr>
              <w:color w:val="000000" w:themeColor="text1"/>
            </w:rPr>
          </w:pPr>
          <w:hyperlink w:anchor="_Toc127171761" w:history="1">
            <w:r>
              <w:rPr>
                <w:rStyle w:val="af7"/>
                <w:bCs/>
                <w:color w:val="000000" w:themeColor="text1"/>
              </w:rPr>
              <w:t xml:space="preserve">8.2  </w:t>
            </w:r>
            <w:r>
              <w:rPr>
                <w:rStyle w:val="af7"/>
                <w:bCs/>
                <w:color w:val="000000" w:themeColor="text1"/>
              </w:rPr>
              <w:t>进货检验</w:t>
            </w:r>
            <w:r>
              <w:rPr>
                <w:color w:val="000000" w:themeColor="text1"/>
              </w:rPr>
              <w:tab/>
            </w:r>
            <w:r>
              <w:rPr>
                <w:color w:val="000000" w:themeColor="text1"/>
              </w:rPr>
              <w:fldChar w:fldCharType="begin"/>
            </w:r>
            <w:r>
              <w:rPr>
                <w:color w:val="000000" w:themeColor="text1"/>
              </w:rPr>
              <w:instrText xml:space="preserve"> PAGEREF _Toc127171761 \h </w:instrText>
            </w:r>
            <w:r>
              <w:rPr>
                <w:color w:val="000000" w:themeColor="text1"/>
              </w:rPr>
            </w:r>
            <w:r>
              <w:rPr>
                <w:color w:val="000000" w:themeColor="text1"/>
              </w:rPr>
              <w:fldChar w:fldCharType="separate"/>
            </w:r>
            <w:r>
              <w:rPr>
                <w:color w:val="000000" w:themeColor="text1"/>
              </w:rPr>
              <w:t>11</w:t>
            </w:r>
            <w:r>
              <w:rPr>
                <w:color w:val="000000" w:themeColor="text1"/>
              </w:rPr>
              <w:fldChar w:fldCharType="end"/>
            </w:r>
          </w:hyperlink>
        </w:p>
        <w:p w14:paraId="21108DBD" w14:textId="77777777" w:rsidR="00E269CD" w:rsidRDefault="00E13E3E">
          <w:pPr>
            <w:pStyle w:val="11"/>
            <w:rPr>
              <w:color w:val="000000" w:themeColor="text1"/>
            </w:rPr>
          </w:pPr>
          <w:hyperlink w:anchor="_Toc127171762" w:history="1">
            <w:r>
              <w:rPr>
                <w:rStyle w:val="af7"/>
                <w:bCs/>
                <w:color w:val="000000" w:themeColor="text1"/>
              </w:rPr>
              <w:t xml:space="preserve">8.3  </w:t>
            </w:r>
            <w:r>
              <w:rPr>
                <w:rStyle w:val="af7"/>
                <w:bCs/>
                <w:color w:val="000000" w:themeColor="text1"/>
              </w:rPr>
              <w:t>储存</w:t>
            </w:r>
            <w:r>
              <w:rPr>
                <w:color w:val="000000" w:themeColor="text1"/>
              </w:rPr>
              <w:tab/>
            </w:r>
            <w:r>
              <w:rPr>
                <w:color w:val="000000" w:themeColor="text1"/>
              </w:rPr>
              <w:fldChar w:fldCharType="begin"/>
            </w:r>
            <w:r>
              <w:rPr>
                <w:color w:val="000000" w:themeColor="text1"/>
              </w:rPr>
              <w:instrText xml:space="preserve"> PAGEREF _Toc127171762 \h </w:instrText>
            </w:r>
            <w:r>
              <w:rPr>
                <w:color w:val="000000" w:themeColor="text1"/>
              </w:rPr>
            </w:r>
            <w:r>
              <w:rPr>
                <w:color w:val="000000" w:themeColor="text1"/>
              </w:rPr>
              <w:fldChar w:fldCharType="separate"/>
            </w:r>
            <w:r>
              <w:rPr>
                <w:color w:val="000000" w:themeColor="text1"/>
              </w:rPr>
              <w:t>11</w:t>
            </w:r>
            <w:r>
              <w:rPr>
                <w:color w:val="000000" w:themeColor="text1"/>
              </w:rPr>
              <w:fldChar w:fldCharType="end"/>
            </w:r>
          </w:hyperlink>
        </w:p>
        <w:p w14:paraId="131A5192" w14:textId="77777777" w:rsidR="00E269CD" w:rsidRDefault="00E13E3E">
          <w:pPr>
            <w:pStyle w:val="11"/>
            <w:rPr>
              <w:color w:val="000000" w:themeColor="text1"/>
            </w:rPr>
          </w:pPr>
          <w:hyperlink w:anchor="_Toc127171763" w:history="1">
            <w:r>
              <w:rPr>
                <w:rStyle w:val="af7"/>
                <w:bCs/>
                <w:color w:val="000000" w:themeColor="text1"/>
              </w:rPr>
              <w:t xml:space="preserve">8.4  </w:t>
            </w:r>
            <w:r>
              <w:rPr>
                <w:rStyle w:val="af7"/>
                <w:bCs/>
                <w:color w:val="000000" w:themeColor="text1"/>
              </w:rPr>
              <w:t>稀释</w:t>
            </w:r>
            <w:r>
              <w:rPr>
                <w:color w:val="000000" w:themeColor="text1"/>
              </w:rPr>
              <w:tab/>
            </w:r>
            <w:r>
              <w:rPr>
                <w:color w:val="000000" w:themeColor="text1"/>
              </w:rPr>
              <w:fldChar w:fldCharType="begin"/>
            </w:r>
            <w:r>
              <w:rPr>
                <w:color w:val="000000" w:themeColor="text1"/>
              </w:rPr>
              <w:instrText xml:space="preserve"> PAGEREF _Toc127171763 \h </w:instrText>
            </w:r>
            <w:r>
              <w:rPr>
                <w:color w:val="000000" w:themeColor="text1"/>
              </w:rPr>
            </w:r>
            <w:r>
              <w:rPr>
                <w:color w:val="000000" w:themeColor="text1"/>
              </w:rPr>
              <w:fldChar w:fldCharType="separate"/>
            </w:r>
            <w:r>
              <w:rPr>
                <w:color w:val="000000" w:themeColor="text1"/>
              </w:rPr>
              <w:t>11</w:t>
            </w:r>
            <w:r>
              <w:rPr>
                <w:color w:val="000000" w:themeColor="text1"/>
              </w:rPr>
              <w:fldChar w:fldCharType="end"/>
            </w:r>
          </w:hyperlink>
        </w:p>
        <w:p w14:paraId="73B81392" w14:textId="77777777" w:rsidR="00E269CD" w:rsidRDefault="00E13E3E">
          <w:pPr>
            <w:pStyle w:val="11"/>
            <w:rPr>
              <w:color w:val="000000" w:themeColor="text1"/>
            </w:rPr>
          </w:pPr>
          <w:hyperlink w:anchor="_Toc127171764" w:history="1">
            <w:r>
              <w:rPr>
                <w:rStyle w:val="af7"/>
                <w:bCs/>
                <w:color w:val="000000" w:themeColor="text1"/>
              </w:rPr>
              <w:t xml:space="preserve">8.5  </w:t>
            </w:r>
            <w:r>
              <w:rPr>
                <w:rStyle w:val="af7"/>
                <w:bCs/>
                <w:color w:val="000000" w:themeColor="text1"/>
              </w:rPr>
              <w:t>投加</w:t>
            </w:r>
            <w:r>
              <w:rPr>
                <w:color w:val="000000" w:themeColor="text1"/>
              </w:rPr>
              <w:tab/>
            </w:r>
            <w:r>
              <w:rPr>
                <w:color w:val="000000" w:themeColor="text1"/>
              </w:rPr>
              <w:fldChar w:fldCharType="begin"/>
            </w:r>
            <w:r>
              <w:rPr>
                <w:color w:val="000000" w:themeColor="text1"/>
              </w:rPr>
              <w:instrText xml:space="preserve"> PAGEREF _Toc127171764 \h </w:instrText>
            </w:r>
            <w:r>
              <w:rPr>
                <w:color w:val="000000" w:themeColor="text1"/>
              </w:rPr>
            </w:r>
            <w:r>
              <w:rPr>
                <w:color w:val="000000" w:themeColor="text1"/>
              </w:rPr>
              <w:fldChar w:fldCharType="separate"/>
            </w:r>
            <w:r>
              <w:rPr>
                <w:color w:val="000000" w:themeColor="text1"/>
              </w:rPr>
              <w:t>11</w:t>
            </w:r>
            <w:r>
              <w:rPr>
                <w:color w:val="000000" w:themeColor="text1"/>
              </w:rPr>
              <w:fldChar w:fldCharType="end"/>
            </w:r>
          </w:hyperlink>
        </w:p>
        <w:p w14:paraId="77D3B774" w14:textId="77777777" w:rsidR="00E269CD" w:rsidRDefault="00E13E3E">
          <w:pPr>
            <w:pStyle w:val="11"/>
            <w:rPr>
              <w:color w:val="000000" w:themeColor="text1"/>
            </w:rPr>
          </w:pPr>
          <w:hyperlink w:anchor="_Toc127171765" w:history="1">
            <w:r>
              <w:rPr>
                <w:rStyle w:val="af7"/>
                <w:bCs/>
                <w:color w:val="000000" w:themeColor="text1"/>
              </w:rPr>
              <w:t xml:space="preserve">8.6  </w:t>
            </w:r>
            <w:r>
              <w:rPr>
                <w:rStyle w:val="af7"/>
                <w:bCs/>
                <w:color w:val="000000" w:themeColor="text1"/>
              </w:rPr>
              <w:t>日常管理</w:t>
            </w:r>
            <w:r>
              <w:rPr>
                <w:color w:val="000000" w:themeColor="text1"/>
              </w:rPr>
              <w:tab/>
            </w:r>
            <w:r>
              <w:rPr>
                <w:color w:val="000000" w:themeColor="text1"/>
              </w:rPr>
              <w:fldChar w:fldCharType="begin"/>
            </w:r>
            <w:r>
              <w:rPr>
                <w:color w:val="000000" w:themeColor="text1"/>
              </w:rPr>
              <w:instrText xml:space="preserve"> PAGEREF _</w:instrText>
            </w:r>
            <w:r>
              <w:rPr>
                <w:color w:val="000000" w:themeColor="text1"/>
              </w:rPr>
              <w:instrText xml:space="preserve">Toc127171765 \h </w:instrText>
            </w:r>
            <w:r>
              <w:rPr>
                <w:color w:val="000000" w:themeColor="text1"/>
              </w:rPr>
            </w:r>
            <w:r>
              <w:rPr>
                <w:color w:val="000000" w:themeColor="text1"/>
              </w:rPr>
              <w:fldChar w:fldCharType="separate"/>
            </w:r>
            <w:r>
              <w:rPr>
                <w:color w:val="000000" w:themeColor="text1"/>
              </w:rPr>
              <w:t>12</w:t>
            </w:r>
            <w:r>
              <w:rPr>
                <w:color w:val="000000" w:themeColor="text1"/>
              </w:rPr>
              <w:fldChar w:fldCharType="end"/>
            </w:r>
          </w:hyperlink>
        </w:p>
        <w:p w14:paraId="1031E13E" w14:textId="77777777" w:rsidR="00E269CD" w:rsidRDefault="00E13E3E">
          <w:pPr>
            <w:pStyle w:val="11"/>
            <w:rPr>
              <w:color w:val="000000" w:themeColor="text1"/>
            </w:rPr>
          </w:pPr>
          <w:hyperlink w:anchor="_Toc127171766" w:history="1">
            <w:r>
              <w:rPr>
                <w:rStyle w:val="af7"/>
                <w:b/>
                <w:bCs/>
                <w:color w:val="000000" w:themeColor="text1"/>
              </w:rPr>
              <w:t xml:space="preserve">9  </w:t>
            </w:r>
            <w:r>
              <w:rPr>
                <w:rStyle w:val="af7"/>
                <w:b/>
                <w:bCs/>
                <w:color w:val="000000" w:themeColor="text1"/>
              </w:rPr>
              <w:t>维护管理</w:t>
            </w:r>
            <w:r>
              <w:rPr>
                <w:color w:val="000000" w:themeColor="text1"/>
              </w:rPr>
              <w:tab/>
            </w:r>
            <w:r>
              <w:rPr>
                <w:color w:val="000000" w:themeColor="text1"/>
              </w:rPr>
              <w:fldChar w:fldCharType="begin"/>
            </w:r>
            <w:r>
              <w:rPr>
                <w:color w:val="000000" w:themeColor="text1"/>
              </w:rPr>
              <w:instrText xml:space="preserve"> PAGEREF _Toc127171766 \h </w:instrText>
            </w:r>
            <w:r>
              <w:rPr>
                <w:color w:val="000000" w:themeColor="text1"/>
              </w:rPr>
            </w:r>
            <w:r>
              <w:rPr>
                <w:color w:val="000000" w:themeColor="text1"/>
              </w:rPr>
              <w:fldChar w:fldCharType="separate"/>
            </w:r>
            <w:r>
              <w:rPr>
                <w:color w:val="000000" w:themeColor="text1"/>
              </w:rPr>
              <w:t>13</w:t>
            </w:r>
            <w:r>
              <w:rPr>
                <w:color w:val="000000" w:themeColor="text1"/>
              </w:rPr>
              <w:fldChar w:fldCharType="end"/>
            </w:r>
          </w:hyperlink>
        </w:p>
        <w:p w14:paraId="649AC3FD" w14:textId="77777777" w:rsidR="00E269CD" w:rsidRDefault="00E13E3E">
          <w:pPr>
            <w:pStyle w:val="11"/>
            <w:rPr>
              <w:rStyle w:val="af7"/>
              <w:bCs/>
              <w:color w:val="000000" w:themeColor="text1"/>
            </w:rPr>
          </w:pPr>
          <w:hyperlink w:anchor="_Toc127171767" w:history="1">
            <w:r>
              <w:rPr>
                <w:rStyle w:val="af7"/>
                <w:bCs/>
                <w:color w:val="000000" w:themeColor="text1"/>
              </w:rPr>
              <w:t xml:space="preserve">9.1  </w:t>
            </w:r>
            <w:r>
              <w:rPr>
                <w:rStyle w:val="af7"/>
                <w:bCs/>
                <w:color w:val="000000" w:themeColor="text1"/>
              </w:rPr>
              <w:t>维护</w:t>
            </w:r>
            <w:r>
              <w:rPr>
                <w:rStyle w:val="af7"/>
                <w:bCs/>
                <w:color w:val="000000" w:themeColor="text1"/>
              </w:rPr>
              <w:tab/>
            </w:r>
            <w:r>
              <w:rPr>
                <w:rStyle w:val="af7"/>
                <w:bCs/>
                <w:color w:val="000000" w:themeColor="text1"/>
              </w:rPr>
              <w:fldChar w:fldCharType="begin"/>
            </w:r>
            <w:r>
              <w:rPr>
                <w:rStyle w:val="af7"/>
                <w:bCs/>
                <w:color w:val="000000" w:themeColor="text1"/>
              </w:rPr>
              <w:instrText xml:space="preserve"> PAGEREF _Toc127171767 \h </w:instrText>
            </w:r>
            <w:r>
              <w:rPr>
                <w:rStyle w:val="af7"/>
                <w:bCs/>
                <w:color w:val="000000" w:themeColor="text1"/>
              </w:rPr>
            </w:r>
            <w:r>
              <w:rPr>
                <w:rStyle w:val="af7"/>
                <w:bCs/>
                <w:color w:val="000000" w:themeColor="text1"/>
              </w:rPr>
              <w:fldChar w:fldCharType="separate"/>
            </w:r>
            <w:r>
              <w:rPr>
                <w:rStyle w:val="af7"/>
                <w:bCs/>
                <w:color w:val="000000" w:themeColor="text1"/>
              </w:rPr>
              <w:t>13</w:t>
            </w:r>
            <w:r>
              <w:rPr>
                <w:rStyle w:val="af7"/>
                <w:bCs/>
                <w:color w:val="000000" w:themeColor="text1"/>
              </w:rPr>
              <w:fldChar w:fldCharType="end"/>
            </w:r>
          </w:hyperlink>
        </w:p>
        <w:p w14:paraId="205DB128" w14:textId="77777777" w:rsidR="00E269CD" w:rsidRDefault="00E13E3E">
          <w:pPr>
            <w:pStyle w:val="11"/>
            <w:rPr>
              <w:rStyle w:val="af7"/>
              <w:bCs/>
              <w:color w:val="000000" w:themeColor="text1"/>
            </w:rPr>
          </w:pPr>
          <w:hyperlink w:anchor="_Toc127171768" w:history="1">
            <w:r>
              <w:rPr>
                <w:rStyle w:val="af7"/>
                <w:bCs/>
                <w:color w:val="000000" w:themeColor="text1"/>
              </w:rPr>
              <w:t xml:space="preserve">9.2  </w:t>
            </w:r>
            <w:r>
              <w:rPr>
                <w:rStyle w:val="af7"/>
                <w:bCs/>
                <w:color w:val="000000" w:themeColor="text1"/>
              </w:rPr>
              <w:t>管理</w:t>
            </w:r>
            <w:r>
              <w:rPr>
                <w:rStyle w:val="af7"/>
                <w:bCs/>
                <w:color w:val="000000" w:themeColor="text1"/>
              </w:rPr>
              <w:tab/>
            </w:r>
            <w:r>
              <w:rPr>
                <w:rStyle w:val="af7"/>
                <w:bCs/>
                <w:color w:val="000000" w:themeColor="text1"/>
              </w:rPr>
              <w:fldChar w:fldCharType="begin"/>
            </w:r>
            <w:r>
              <w:rPr>
                <w:rStyle w:val="af7"/>
                <w:bCs/>
                <w:color w:val="000000" w:themeColor="text1"/>
              </w:rPr>
              <w:instrText xml:space="preserve"> PAGEREF _Toc127171768 \h </w:instrText>
            </w:r>
            <w:r>
              <w:rPr>
                <w:rStyle w:val="af7"/>
                <w:bCs/>
                <w:color w:val="000000" w:themeColor="text1"/>
              </w:rPr>
            </w:r>
            <w:r>
              <w:rPr>
                <w:rStyle w:val="af7"/>
                <w:bCs/>
                <w:color w:val="000000" w:themeColor="text1"/>
              </w:rPr>
              <w:fldChar w:fldCharType="separate"/>
            </w:r>
            <w:r>
              <w:rPr>
                <w:rStyle w:val="af7"/>
                <w:bCs/>
                <w:color w:val="000000" w:themeColor="text1"/>
              </w:rPr>
              <w:t>13</w:t>
            </w:r>
            <w:r>
              <w:rPr>
                <w:rStyle w:val="af7"/>
                <w:bCs/>
                <w:color w:val="000000" w:themeColor="text1"/>
              </w:rPr>
              <w:fldChar w:fldCharType="end"/>
            </w:r>
          </w:hyperlink>
        </w:p>
        <w:p w14:paraId="456202C1" w14:textId="77777777" w:rsidR="00E269CD" w:rsidRDefault="00E13E3E">
          <w:pPr>
            <w:pStyle w:val="11"/>
            <w:rPr>
              <w:color w:val="000000" w:themeColor="text1"/>
            </w:rPr>
          </w:pPr>
          <w:hyperlink w:anchor="_Toc127171769" w:history="1">
            <w:r>
              <w:rPr>
                <w:rStyle w:val="af7"/>
                <w:b/>
                <w:bCs/>
                <w:color w:val="000000" w:themeColor="text1"/>
              </w:rPr>
              <w:t xml:space="preserve">10  </w:t>
            </w:r>
            <w:r>
              <w:rPr>
                <w:rStyle w:val="af7"/>
                <w:b/>
                <w:bCs/>
                <w:color w:val="000000" w:themeColor="text1"/>
              </w:rPr>
              <w:t>安全管理</w:t>
            </w:r>
            <w:r>
              <w:rPr>
                <w:color w:val="000000" w:themeColor="text1"/>
              </w:rPr>
              <w:tab/>
            </w:r>
            <w:r>
              <w:rPr>
                <w:color w:val="000000" w:themeColor="text1"/>
              </w:rPr>
              <w:fldChar w:fldCharType="begin"/>
            </w:r>
            <w:r>
              <w:rPr>
                <w:color w:val="000000" w:themeColor="text1"/>
              </w:rPr>
              <w:instrText xml:space="preserve"> PAGEREF _Toc127171769 \h </w:instrText>
            </w:r>
            <w:r>
              <w:rPr>
                <w:color w:val="000000" w:themeColor="text1"/>
              </w:rPr>
            </w:r>
            <w:r>
              <w:rPr>
                <w:color w:val="000000" w:themeColor="text1"/>
              </w:rPr>
              <w:fldChar w:fldCharType="separate"/>
            </w:r>
            <w:r>
              <w:rPr>
                <w:color w:val="000000" w:themeColor="text1"/>
              </w:rPr>
              <w:t>14</w:t>
            </w:r>
            <w:r>
              <w:rPr>
                <w:color w:val="000000" w:themeColor="text1"/>
              </w:rPr>
              <w:fldChar w:fldCharType="end"/>
            </w:r>
          </w:hyperlink>
        </w:p>
        <w:p w14:paraId="5C107AEE" w14:textId="77777777" w:rsidR="00E269CD" w:rsidRDefault="00E13E3E">
          <w:pPr>
            <w:pStyle w:val="11"/>
            <w:rPr>
              <w:rStyle w:val="af7"/>
              <w:bCs/>
              <w:color w:val="000000" w:themeColor="text1"/>
            </w:rPr>
          </w:pPr>
          <w:hyperlink w:anchor="_Toc127171770" w:history="1">
            <w:r>
              <w:rPr>
                <w:rStyle w:val="af7"/>
                <w:bCs/>
                <w:color w:val="000000" w:themeColor="text1"/>
              </w:rPr>
              <w:t xml:space="preserve">10.1  </w:t>
            </w:r>
            <w:r>
              <w:rPr>
                <w:rStyle w:val="af7"/>
                <w:bCs/>
                <w:color w:val="000000" w:themeColor="text1"/>
              </w:rPr>
              <w:t>安全管理</w:t>
            </w:r>
            <w:r>
              <w:rPr>
                <w:rStyle w:val="af7"/>
                <w:bCs/>
                <w:color w:val="000000" w:themeColor="text1"/>
              </w:rPr>
              <w:tab/>
            </w:r>
            <w:r>
              <w:rPr>
                <w:rStyle w:val="af7"/>
                <w:bCs/>
                <w:color w:val="000000" w:themeColor="text1"/>
              </w:rPr>
              <w:fldChar w:fldCharType="begin"/>
            </w:r>
            <w:r>
              <w:rPr>
                <w:rStyle w:val="af7"/>
                <w:bCs/>
                <w:color w:val="000000" w:themeColor="text1"/>
              </w:rPr>
              <w:instrText xml:space="preserve"> PAGEREF </w:instrText>
            </w:r>
            <w:r>
              <w:rPr>
                <w:rStyle w:val="af7"/>
                <w:bCs/>
                <w:color w:val="000000" w:themeColor="text1"/>
              </w:rPr>
              <w:instrText xml:space="preserve">_Toc127171770 \h </w:instrText>
            </w:r>
            <w:r>
              <w:rPr>
                <w:rStyle w:val="af7"/>
                <w:bCs/>
                <w:color w:val="000000" w:themeColor="text1"/>
              </w:rPr>
            </w:r>
            <w:r>
              <w:rPr>
                <w:rStyle w:val="af7"/>
                <w:bCs/>
                <w:color w:val="000000" w:themeColor="text1"/>
              </w:rPr>
              <w:fldChar w:fldCharType="separate"/>
            </w:r>
            <w:r>
              <w:rPr>
                <w:rStyle w:val="af7"/>
                <w:bCs/>
                <w:color w:val="000000" w:themeColor="text1"/>
              </w:rPr>
              <w:t>14</w:t>
            </w:r>
            <w:r>
              <w:rPr>
                <w:rStyle w:val="af7"/>
                <w:bCs/>
                <w:color w:val="000000" w:themeColor="text1"/>
              </w:rPr>
              <w:fldChar w:fldCharType="end"/>
            </w:r>
          </w:hyperlink>
        </w:p>
        <w:p w14:paraId="7F48EDF9" w14:textId="77777777" w:rsidR="00E269CD" w:rsidRDefault="00E13E3E">
          <w:pPr>
            <w:pStyle w:val="11"/>
            <w:rPr>
              <w:rStyle w:val="af7"/>
              <w:bCs/>
              <w:color w:val="000000" w:themeColor="text1"/>
            </w:rPr>
          </w:pPr>
          <w:hyperlink w:anchor="_Toc127171771" w:history="1">
            <w:r>
              <w:rPr>
                <w:rStyle w:val="af7"/>
                <w:bCs/>
                <w:color w:val="000000" w:themeColor="text1"/>
              </w:rPr>
              <w:t xml:space="preserve">10.2  </w:t>
            </w:r>
            <w:r>
              <w:rPr>
                <w:rStyle w:val="af7"/>
                <w:bCs/>
                <w:color w:val="000000" w:themeColor="text1"/>
              </w:rPr>
              <w:t>安全防护</w:t>
            </w:r>
            <w:r>
              <w:rPr>
                <w:rStyle w:val="af7"/>
                <w:bCs/>
                <w:color w:val="000000" w:themeColor="text1"/>
              </w:rPr>
              <w:tab/>
            </w:r>
            <w:r>
              <w:rPr>
                <w:rStyle w:val="af7"/>
                <w:bCs/>
                <w:color w:val="000000" w:themeColor="text1"/>
              </w:rPr>
              <w:fldChar w:fldCharType="begin"/>
            </w:r>
            <w:r>
              <w:rPr>
                <w:rStyle w:val="af7"/>
                <w:bCs/>
                <w:color w:val="000000" w:themeColor="text1"/>
              </w:rPr>
              <w:instrText xml:space="preserve"> PAGEREF _Toc127171771 \h </w:instrText>
            </w:r>
            <w:r>
              <w:rPr>
                <w:rStyle w:val="af7"/>
                <w:bCs/>
                <w:color w:val="000000" w:themeColor="text1"/>
              </w:rPr>
            </w:r>
            <w:r>
              <w:rPr>
                <w:rStyle w:val="af7"/>
                <w:bCs/>
                <w:color w:val="000000" w:themeColor="text1"/>
              </w:rPr>
              <w:fldChar w:fldCharType="separate"/>
            </w:r>
            <w:r>
              <w:rPr>
                <w:rStyle w:val="af7"/>
                <w:bCs/>
                <w:color w:val="000000" w:themeColor="text1"/>
              </w:rPr>
              <w:t>14</w:t>
            </w:r>
            <w:r>
              <w:rPr>
                <w:rStyle w:val="af7"/>
                <w:bCs/>
                <w:color w:val="000000" w:themeColor="text1"/>
              </w:rPr>
              <w:fldChar w:fldCharType="end"/>
            </w:r>
          </w:hyperlink>
        </w:p>
        <w:p w14:paraId="2BDE70C7" w14:textId="77777777" w:rsidR="00E269CD" w:rsidRDefault="00E13E3E">
          <w:pPr>
            <w:pStyle w:val="11"/>
            <w:rPr>
              <w:b/>
              <w:color w:val="000000" w:themeColor="text1"/>
            </w:rPr>
          </w:pPr>
          <w:hyperlink w:anchor="_Toc127171772" w:history="1">
            <w:r>
              <w:rPr>
                <w:rStyle w:val="af7"/>
                <w:b/>
                <w:bCs/>
                <w:color w:val="000000" w:themeColor="text1"/>
              </w:rPr>
              <w:t>用词说明</w:t>
            </w:r>
            <w:r>
              <w:rPr>
                <w:b/>
                <w:color w:val="000000" w:themeColor="text1"/>
              </w:rPr>
              <w:tab/>
            </w:r>
            <w:r>
              <w:rPr>
                <w:b/>
                <w:color w:val="000000" w:themeColor="text1"/>
              </w:rPr>
              <w:fldChar w:fldCharType="begin"/>
            </w:r>
            <w:r>
              <w:rPr>
                <w:b/>
                <w:color w:val="000000" w:themeColor="text1"/>
              </w:rPr>
              <w:instrText xml:space="preserve"> PAGEREF _Toc127171772 \h </w:instrText>
            </w:r>
            <w:r>
              <w:rPr>
                <w:b/>
                <w:color w:val="000000" w:themeColor="text1"/>
              </w:rPr>
            </w:r>
            <w:r>
              <w:rPr>
                <w:b/>
                <w:color w:val="000000" w:themeColor="text1"/>
              </w:rPr>
              <w:fldChar w:fldCharType="separate"/>
            </w:r>
            <w:r>
              <w:rPr>
                <w:b/>
                <w:color w:val="000000" w:themeColor="text1"/>
              </w:rPr>
              <w:t>15</w:t>
            </w:r>
            <w:r>
              <w:rPr>
                <w:b/>
                <w:color w:val="000000" w:themeColor="text1"/>
              </w:rPr>
              <w:fldChar w:fldCharType="end"/>
            </w:r>
          </w:hyperlink>
        </w:p>
        <w:p w14:paraId="0F995DEF" w14:textId="77777777" w:rsidR="00E269CD" w:rsidRDefault="00E13E3E">
          <w:pPr>
            <w:pStyle w:val="11"/>
            <w:rPr>
              <w:b/>
              <w:color w:val="000000" w:themeColor="text1"/>
            </w:rPr>
          </w:pPr>
          <w:hyperlink w:anchor="_Toc127171773" w:history="1">
            <w:r>
              <w:rPr>
                <w:rStyle w:val="af7"/>
                <w:b/>
                <w:bCs/>
                <w:color w:val="000000" w:themeColor="text1"/>
              </w:rPr>
              <w:t>引用标准名录</w:t>
            </w:r>
            <w:r>
              <w:rPr>
                <w:b/>
                <w:color w:val="000000" w:themeColor="text1"/>
              </w:rPr>
              <w:tab/>
            </w:r>
            <w:r>
              <w:rPr>
                <w:b/>
                <w:color w:val="000000" w:themeColor="text1"/>
              </w:rPr>
              <w:fldChar w:fldCharType="begin"/>
            </w:r>
            <w:r>
              <w:rPr>
                <w:b/>
                <w:color w:val="000000" w:themeColor="text1"/>
              </w:rPr>
              <w:instrText xml:space="preserve"> PAGEREF _Toc127171773 \h </w:instrText>
            </w:r>
            <w:r>
              <w:rPr>
                <w:b/>
                <w:color w:val="000000" w:themeColor="text1"/>
              </w:rPr>
            </w:r>
            <w:r>
              <w:rPr>
                <w:b/>
                <w:color w:val="000000" w:themeColor="text1"/>
              </w:rPr>
              <w:fldChar w:fldCharType="separate"/>
            </w:r>
            <w:r>
              <w:rPr>
                <w:b/>
                <w:color w:val="000000" w:themeColor="text1"/>
              </w:rPr>
              <w:t>16</w:t>
            </w:r>
            <w:r>
              <w:rPr>
                <w:b/>
                <w:color w:val="000000" w:themeColor="text1"/>
              </w:rPr>
              <w:fldChar w:fldCharType="end"/>
            </w:r>
          </w:hyperlink>
        </w:p>
        <w:p w14:paraId="09B552EC" w14:textId="77777777" w:rsidR="00E269CD" w:rsidRDefault="00E13E3E">
          <w:pPr>
            <w:pStyle w:val="11"/>
            <w:rPr>
              <w:b/>
              <w:color w:val="000000" w:themeColor="text1"/>
            </w:rPr>
          </w:pPr>
          <w:hyperlink w:anchor="_Toc127171774" w:history="1">
            <w:r>
              <w:rPr>
                <w:rStyle w:val="af7"/>
                <w:b/>
                <w:bCs/>
                <w:color w:val="000000" w:themeColor="text1"/>
              </w:rPr>
              <w:t>目</w:t>
            </w:r>
            <w:r>
              <w:rPr>
                <w:rStyle w:val="af7"/>
                <w:b/>
                <w:bCs/>
                <w:color w:val="000000" w:themeColor="text1"/>
              </w:rPr>
              <w:t xml:space="preserve">    </w:t>
            </w:r>
            <w:r>
              <w:rPr>
                <w:rStyle w:val="af7"/>
                <w:b/>
                <w:bCs/>
                <w:color w:val="000000" w:themeColor="text1"/>
              </w:rPr>
              <w:t>次</w:t>
            </w:r>
            <w:r>
              <w:rPr>
                <w:b/>
                <w:color w:val="000000" w:themeColor="text1"/>
              </w:rPr>
              <w:tab/>
            </w:r>
            <w:r>
              <w:rPr>
                <w:b/>
                <w:color w:val="000000" w:themeColor="text1"/>
              </w:rPr>
              <w:fldChar w:fldCharType="begin"/>
            </w:r>
            <w:r>
              <w:rPr>
                <w:b/>
                <w:color w:val="000000" w:themeColor="text1"/>
              </w:rPr>
              <w:instrText xml:space="preserve"> PAGEREF _Toc127171774 \h </w:instrText>
            </w:r>
            <w:r>
              <w:rPr>
                <w:b/>
                <w:color w:val="000000" w:themeColor="text1"/>
              </w:rPr>
            </w:r>
            <w:r>
              <w:rPr>
                <w:b/>
                <w:color w:val="000000" w:themeColor="text1"/>
              </w:rPr>
              <w:fldChar w:fldCharType="separate"/>
            </w:r>
            <w:r>
              <w:rPr>
                <w:b/>
                <w:color w:val="000000" w:themeColor="text1"/>
              </w:rPr>
              <w:t>18</w:t>
            </w:r>
            <w:r>
              <w:rPr>
                <w:b/>
                <w:color w:val="000000" w:themeColor="text1"/>
              </w:rPr>
              <w:fldChar w:fldCharType="end"/>
            </w:r>
          </w:hyperlink>
        </w:p>
        <w:p w14:paraId="0C3AEAF3" w14:textId="77777777" w:rsidR="00E269CD" w:rsidRDefault="00E13E3E">
          <w:pPr>
            <w:pStyle w:val="11"/>
            <w:rPr>
              <w:b/>
              <w:color w:val="000000" w:themeColor="text1"/>
            </w:rPr>
          </w:pPr>
          <w:hyperlink w:anchor="_Toc127171775" w:history="1">
            <w:r>
              <w:rPr>
                <w:rStyle w:val="af7"/>
                <w:b/>
                <w:bCs/>
                <w:color w:val="000000" w:themeColor="text1"/>
              </w:rPr>
              <w:t>制定说明</w:t>
            </w:r>
            <w:r>
              <w:rPr>
                <w:b/>
                <w:color w:val="000000" w:themeColor="text1"/>
              </w:rPr>
              <w:tab/>
            </w:r>
            <w:r>
              <w:rPr>
                <w:b/>
                <w:color w:val="000000" w:themeColor="text1"/>
              </w:rPr>
              <w:fldChar w:fldCharType="begin"/>
            </w:r>
            <w:r>
              <w:rPr>
                <w:b/>
                <w:color w:val="000000" w:themeColor="text1"/>
              </w:rPr>
              <w:instrText xml:space="preserve"> PAGEREF _Toc1271</w:instrText>
            </w:r>
            <w:r>
              <w:rPr>
                <w:b/>
                <w:color w:val="000000" w:themeColor="text1"/>
              </w:rPr>
              <w:instrText xml:space="preserve">71775 \h </w:instrText>
            </w:r>
            <w:r>
              <w:rPr>
                <w:b/>
                <w:color w:val="000000" w:themeColor="text1"/>
              </w:rPr>
            </w:r>
            <w:r>
              <w:rPr>
                <w:b/>
                <w:color w:val="000000" w:themeColor="text1"/>
              </w:rPr>
              <w:fldChar w:fldCharType="separate"/>
            </w:r>
            <w:r>
              <w:rPr>
                <w:b/>
                <w:color w:val="000000" w:themeColor="text1"/>
              </w:rPr>
              <w:t>19</w:t>
            </w:r>
            <w:r>
              <w:rPr>
                <w:b/>
                <w:color w:val="000000" w:themeColor="text1"/>
              </w:rPr>
              <w:fldChar w:fldCharType="end"/>
            </w:r>
          </w:hyperlink>
        </w:p>
        <w:p w14:paraId="4B541D21" w14:textId="77777777" w:rsidR="00E269CD" w:rsidRDefault="00E13E3E">
          <w:pPr>
            <w:pStyle w:val="11"/>
            <w:rPr>
              <w:color w:val="000000" w:themeColor="text1"/>
            </w:rPr>
          </w:pPr>
          <w:r>
            <w:rPr>
              <w:color w:val="000000" w:themeColor="text1"/>
              <w:lang w:val="zh-CN"/>
            </w:rPr>
            <w:fldChar w:fldCharType="end"/>
          </w:r>
        </w:p>
      </w:sdtContent>
    </w:sdt>
    <w:p w14:paraId="74EE654F" w14:textId="77777777" w:rsidR="00E269CD" w:rsidRDefault="00E269CD">
      <w:pPr>
        <w:pStyle w:val="11"/>
        <w:rPr>
          <w:color w:val="000000" w:themeColor="text1"/>
        </w:rPr>
        <w:sectPr w:rsidR="00E269CD">
          <w:pgSz w:w="11906" w:h="16838"/>
          <w:pgMar w:top="1440" w:right="1800" w:bottom="1440" w:left="1800" w:header="851" w:footer="992" w:gutter="0"/>
          <w:cols w:space="425"/>
          <w:docGrid w:type="lines" w:linePitch="312"/>
        </w:sectPr>
      </w:pPr>
    </w:p>
    <w:p w14:paraId="78B17E3C" w14:textId="77777777" w:rsidR="00E269CD" w:rsidRDefault="00E13E3E">
      <w:pPr>
        <w:pStyle w:val="11"/>
        <w:rPr>
          <w:color w:val="000000" w:themeColor="text1"/>
        </w:rPr>
      </w:pPr>
      <w:r>
        <w:rPr>
          <w:color w:val="000000" w:themeColor="text1"/>
        </w:rPr>
        <w:lastRenderedPageBreak/>
        <w:t>Contents</w:t>
      </w:r>
    </w:p>
    <w:p w14:paraId="4C44AB6C" w14:textId="77777777" w:rsidR="00E269CD" w:rsidRDefault="00E269CD">
      <w:pPr>
        <w:pStyle w:val="11"/>
        <w:rPr>
          <w:color w:val="000000" w:themeColor="text1"/>
        </w:rPr>
      </w:pPr>
    </w:p>
    <w:p w14:paraId="0171302B" w14:textId="77777777" w:rsidR="00E269CD" w:rsidRDefault="00E13E3E">
      <w:pPr>
        <w:tabs>
          <w:tab w:val="left" w:pos="0"/>
        </w:tabs>
        <w:spacing w:line="360" w:lineRule="auto"/>
        <w:jc w:val="distribute"/>
        <w:rPr>
          <w:rFonts w:ascii="Times New Roman" w:eastAsia="宋体" w:hAnsi="Times New Roman" w:cs="Times New Roman"/>
          <w:b/>
          <w:color w:val="000000" w:themeColor="text1"/>
        </w:rPr>
      </w:pPr>
      <w:r>
        <w:rPr>
          <w:rFonts w:ascii="Times New Roman" w:eastAsia="宋体" w:hAnsi="Times New Roman" w:cs="Times New Roman"/>
          <w:b/>
          <w:color w:val="000000" w:themeColor="text1"/>
          <w:sz w:val="24"/>
          <w:szCs w:val="24"/>
        </w:rPr>
        <w:t>1 General provisions…………………………………………………………….….1</w:t>
      </w:r>
    </w:p>
    <w:p w14:paraId="6E51A49B"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2 Terms………………………………………………………………………….…...2</w:t>
      </w:r>
    </w:p>
    <w:p w14:paraId="4D24B6FC"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3 Basic requirements…………………………………………………………..…...3</w:t>
      </w:r>
    </w:p>
    <w:p w14:paraId="148CBD7D"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 xml:space="preserve">3.1 </w:t>
      </w:r>
      <w:r>
        <w:rPr>
          <w:rFonts w:ascii="Times New Roman" w:eastAsia="宋体" w:hAnsi="Times New Roman" w:cs="Times New Roman"/>
          <w:color w:val="000000" w:themeColor="text1"/>
          <w:szCs w:val="24"/>
        </w:rPr>
        <w:t>General requirements..........................................................................................................3</w:t>
      </w:r>
    </w:p>
    <w:p w14:paraId="764E1303"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3.2 Process selection...........................................................................................................</w:t>
      </w:r>
      <w:r>
        <w:rPr>
          <w:rFonts w:ascii="Times New Roman" w:eastAsia="宋体" w:hAnsi="Times New Roman" w:cs="Times New Roman"/>
          <w:color w:val="000000" w:themeColor="text1"/>
          <w:szCs w:val="24"/>
        </w:rPr>
        <w:t>......3</w:t>
      </w:r>
    </w:p>
    <w:p w14:paraId="2C3C598B"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4 Commercial sodium hypochlorite disinfection system...........................................4</w:t>
      </w:r>
    </w:p>
    <w:p w14:paraId="2244024A"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4.1 Basic components...............................................................................................................4</w:t>
      </w:r>
    </w:p>
    <w:p w14:paraId="26188DBA"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4.2 Feedstock.....</w:t>
      </w:r>
      <w:r>
        <w:rPr>
          <w:rFonts w:ascii="Times New Roman" w:eastAsia="宋体" w:hAnsi="Times New Roman" w:cs="Times New Roman"/>
          <w:color w:val="000000" w:themeColor="text1"/>
          <w:szCs w:val="24"/>
        </w:rPr>
        <w:t>.......................................................................................................................4</w:t>
      </w:r>
    </w:p>
    <w:p w14:paraId="1701DEEE"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4.3 Inspected and Storage.........................................................................................................4</w:t>
      </w:r>
    </w:p>
    <w:p w14:paraId="3DD21971"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4.4</w:t>
      </w:r>
      <w:r>
        <w:rPr>
          <w:rFonts w:ascii="Times New Roman" w:eastAsia="宋体" w:hAnsi="Times New Roman" w:cs="Times New Roman"/>
          <w:color w:val="000000" w:themeColor="text1"/>
          <w:szCs w:val="24"/>
        </w:rPr>
        <w:t xml:space="preserve"> Dosing.................................................................................................................................5</w:t>
      </w:r>
    </w:p>
    <w:p w14:paraId="4026DABE"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4.5 Monitoring and control............................................................................................</w:t>
      </w:r>
      <w:r>
        <w:rPr>
          <w:rFonts w:ascii="Times New Roman" w:eastAsia="宋体" w:hAnsi="Times New Roman" w:cs="Times New Roman"/>
          <w:color w:val="000000" w:themeColor="text1"/>
          <w:szCs w:val="24"/>
        </w:rPr>
        <w:t>...........5</w:t>
      </w:r>
    </w:p>
    <w:p w14:paraId="2DA28AEF"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5 In situ preparation sodium hypochlorite disinfection system……………….….6</w:t>
      </w:r>
    </w:p>
    <w:p w14:paraId="4FB8B97B"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5.1 Basic components...............................................................................................................6</w:t>
      </w:r>
    </w:p>
    <w:p w14:paraId="7CB08889"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5.2 Salt Storage......................</w:t>
      </w:r>
      <w:r>
        <w:rPr>
          <w:rFonts w:ascii="Times New Roman" w:eastAsia="宋体" w:hAnsi="Times New Roman" w:cs="Times New Roman"/>
          <w:color w:val="000000" w:themeColor="text1"/>
          <w:szCs w:val="24"/>
        </w:rPr>
        <w:t>....................................................................................................6</w:t>
      </w:r>
    </w:p>
    <w:p w14:paraId="1B72DC58"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5.3 Salt Dissolution....................................................................................................................6</w:t>
      </w:r>
    </w:p>
    <w:p w14:paraId="207BD717"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 xml:space="preserve">5.4 </w:t>
      </w:r>
      <w:r>
        <w:rPr>
          <w:rFonts w:ascii="Times New Roman" w:eastAsia="宋体" w:hAnsi="Times New Roman" w:cs="Times New Roman"/>
          <w:color w:val="000000" w:themeColor="text1"/>
          <w:szCs w:val="24"/>
        </w:rPr>
        <w:t>Preparation..........................................................................................................................7</w:t>
      </w:r>
    </w:p>
    <w:p w14:paraId="49F74CE5"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5.5 Storage of sodium hypochlorite.......................................................................................</w:t>
      </w:r>
      <w:r>
        <w:rPr>
          <w:rFonts w:ascii="Times New Roman" w:eastAsia="宋体" w:hAnsi="Times New Roman" w:cs="Times New Roman"/>
          <w:color w:val="000000" w:themeColor="text1"/>
          <w:szCs w:val="24"/>
        </w:rPr>
        <w:t>....7</w:t>
      </w:r>
    </w:p>
    <w:p w14:paraId="2F4DC83B"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5.6 Dosage.................................................................................................................................8</w:t>
      </w:r>
    </w:p>
    <w:p w14:paraId="56074D82"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5.7 Monitoring and control...................................................................................</w:t>
      </w:r>
      <w:r>
        <w:rPr>
          <w:rFonts w:ascii="Times New Roman" w:eastAsia="宋体" w:hAnsi="Times New Roman" w:cs="Times New Roman"/>
          <w:color w:val="000000" w:themeColor="text1"/>
          <w:szCs w:val="24"/>
        </w:rPr>
        <w:t>.....................8</w:t>
      </w:r>
    </w:p>
    <w:p w14:paraId="71355867"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6 Discharge…………………………………………………………………….……...9</w:t>
      </w:r>
    </w:p>
    <w:p w14:paraId="268D6201"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7 Construction and acceptance…………………………………...…………..……10</w:t>
      </w:r>
    </w:p>
    <w:p w14:paraId="18F57A23"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7.1 General requirements.........................................................................................................10</w:t>
      </w:r>
    </w:p>
    <w:p w14:paraId="1C5B45EB"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7.2 In situ preparation sodium hypochlorite system................................................................10</w:t>
      </w:r>
    </w:p>
    <w:p w14:paraId="7495FA7F"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8 Operation……………………………….……………………………….…..…..…11</w:t>
      </w:r>
    </w:p>
    <w:p w14:paraId="38B7C7D5"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rPr>
      </w:pPr>
      <w:hyperlink w:anchor="_Toc127171760" w:history="1">
        <w:r>
          <w:rPr>
            <w:rFonts w:ascii="Times New Roman" w:eastAsia="宋体" w:hAnsi="Times New Roman" w:cs="Times New Roman"/>
            <w:color w:val="000000" w:themeColor="text1"/>
          </w:rPr>
          <w:t xml:space="preserve">8.1 </w:t>
        </w:r>
        <w:r>
          <w:rPr>
            <w:rFonts w:ascii="Times New Roman" w:eastAsia="宋体" w:hAnsi="Times New Roman" w:cs="Times New Roman"/>
            <w:color w:val="000000" w:themeColor="text1"/>
            <w:szCs w:val="24"/>
          </w:rPr>
          <w:t>Transportation........................,,,</w:t>
        </w:r>
        <w:r>
          <w:rPr>
            <w:rFonts w:ascii="Times New Roman" w:eastAsia="宋体" w:hAnsi="Times New Roman" w:cs="Times New Roman"/>
            <w:color w:val="000000" w:themeColor="text1"/>
            <w:szCs w:val="24"/>
          </w:rPr>
          <w:t>.........................................................................................</w:t>
        </w:r>
        <w:r>
          <w:rPr>
            <w:rFonts w:ascii="Times New Roman" w:eastAsia="宋体" w:hAnsi="Times New Roman" w:cs="Times New Roman"/>
            <w:color w:val="000000" w:themeColor="text1"/>
            <w:szCs w:val="24"/>
          </w:rPr>
          <w:fldChar w:fldCharType="begin"/>
        </w:r>
        <w:r>
          <w:rPr>
            <w:rFonts w:ascii="Times New Roman" w:eastAsia="宋体" w:hAnsi="Times New Roman" w:cs="Times New Roman"/>
            <w:color w:val="000000" w:themeColor="text1"/>
            <w:szCs w:val="24"/>
          </w:rPr>
          <w:instrText xml:space="preserve"> PAGEREF _Toc127171760 \h </w:instrText>
        </w:r>
        <w:r>
          <w:rPr>
            <w:rFonts w:ascii="Times New Roman" w:eastAsia="宋体" w:hAnsi="Times New Roman" w:cs="Times New Roman"/>
            <w:color w:val="000000" w:themeColor="text1"/>
            <w:szCs w:val="24"/>
          </w:rPr>
        </w:r>
        <w:r>
          <w:rPr>
            <w:rFonts w:ascii="Times New Roman" w:eastAsia="宋体" w:hAnsi="Times New Roman" w:cs="Times New Roman"/>
            <w:color w:val="000000" w:themeColor="text1"/>
            <w:szCs w:val="24"/>
          </w:rPr>
          <w:fldChar w:fldCharType="separate"/>
        </w:r>
        <w:r>
          <w:rPr>
            <w:rFonts w:ascii="Times New Roman" w:eastAsia="宋体" w:hAnsi="Times New Roman" w:cs="Times New Roman"/>
            <w:color w:val="000000" w:themeColor="text1"/>
            <w:szCs w:val="24"/>
          </w:rPr>
          <w:t>11</w:t>
        </w:r>
        <w:r>
          <w:rPr>
            <w:rFonts w:ascii="Times New Roman" w:eastAsia="宋体" w:hAnsi="Times New Roman" w:cs="Times New Roman"/>
            <w:color w:val="000000" w:themeColor="text1"/>
            <w:szCs w:val="24"/>
          </w:rPr>
          <w:fldChar w:fldCharType="end"/>
        </w:r>
      </w:hyperlink>
    </w:p>
    <w:p w14:paraId="7D7A0D38"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rPr>
      </w:pPr>
      <w:hyperlink w:anchor="_Toc127171761" w:history="1">
        <w:r>
          <w:rPr>
            <w:rFonts w:ascii="Times New Roman" w:eastAsia="宋体" w:hAnsi="Times New Roman" w:cs="Times New Roman"/>
            <w:color w:val="000000" w:themeColor="text1"/>
          </w:rPr>
          <w:t xml:space="preserve">8.2 </w:t>
        </w:r>
        <w:r>
          <w:rPr>
            <w:rFonts w:ascii="Times New Roman" w:eastAsia="宋体" w:hAnsi="Times New Roman" w:cs="Times New Roman"/>
            <w:color w:val="000000" w:themeColor="text1"/>
            <w:szCs w:val="24"/>
          </w:rPr>
          <w:t>Incoming inspection...............</w:t>
        </w:r>
        <w:r>
          <w:rPr>
            <w:rFonts w:ascii="Times New Roman" w:eastAsia="宋体" w:hAnsi="Times New Roman" w:cs="Times New Roman"/>
            <w:color w:val="000000" w:themeColor="text1"/>
            <w:szCs w:val="24"/>
          </w:rPr>
          <w:t>...........................................................................................</w:t>
        </w:r>
        <w:r>
          <w:rPr>
            <w:rFonts w:ascii="Times New Roman" w:eastAsia="宋体" w:hAnsi="Times New Roman" w:cs="Times New Roman"/>
            <w:color w:val="000000" w:themeColor="text1"/>
            <w:szCs w:val="24"/>
          </w:rPr>
          <w:fldChar w:fldCharType="begin"/>
        </w:r>
        <w:r>
          <w:rPr>
            <w:rFonts w:ascii="Times New Roman" w:eastAsia="宋体" w:hAnsi="Times New Roman" w:cs="Times New Roman"/>
            <w:color w:val="000000" w:themeColor="text1"/>
            <w:szCs w:val="24"/>
          </w:rPr>
          <w:instrText xml:space="preserve"> PAGEREF _Toc127171761 \h </w:instrText>
        </w:r>
        <w:r>
          <w:rPr>
            <w:rFonts w:ascii="Times New Roman" w:eastAsia="宋体" w:hAnsi="Times New Roman" w:cs="Times New Roman"/>
            <w:color w:val="000000" w:themeColor="text1"/>
            <w:szCs w:val="24"/>
          </w:rPr>
        </w:r>
        <w:r>
          <w:rPr>
            <w:rFonts w:ascii="Times New Roman" w:eastAsia="宋体" w:hAnsi="Times New Roman" w:cs="Times New Roman"/>
            <w:color w:val="000000" w:themeColor="text1"/>
            <w:szCs w:val="24"/>
          </w:rPr>
          <w:fldChar w:fldCharType="separate"/>
        </w:r>
        <w:r>
          <w:rPr>
            <w:rFonts w:ascii="Times New Roman" w:eastAsia="宋体" w:hAnsi="Times New Roman" w:cs="Times New Roman"/>
            <w:color w:val="000000" w:themeColor="text1"/>
            <w:szCs w:val="24"/>
          </w:rPr>
          <w:t>11</w:t>
        </w:r>
        <w:r>
          <w:rPr>
            <w:rFonts w:ascii="Times New Roman" w:eastAsia="宋体" w:hAnsi="Times New Roman" w:cs="Times New Roman"/>
            <w:color w:val="000000" w:themeColor="text1"/>
            <w:szCs w:val="24"/>
          </w:rPr>
          <w:fldChar w:fldCharType="end"/>
        </w:r>
      </w:hyperlink>
    </w:p>
    <w:p w14:paraId="4E5A0B30"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rPr>
      </w:pPr>
      <w:hyperlink w:anchor="_Toc127171762" w:history="1">
        <w:r>
          <w:rPr>
            <w:rFonts w:ascii="Times New Roman" w:eastAsia="宋体" w:hAnsi="Times New Roman" w:cs="Times New Roman"/>
            <w:color w:val="000000" w:themeColor="text1"/>
          </w:rPr>
          <w:t>8.3</w:t>
        </w:r>
        <w:r>
          <w:rPr>
            <w:rFonts w:ascii="Times New Roman" w:eastAsia="宋体" w:hAnsi="Times New Roman" w:cs="Times New Roman"/>
            <w:color w:val="000000" w:themeColor="text1"/>
            <w:szCs w:val="24"/>
          </w:rPr>
          <w:t xml:space="preserve"> Storage.........................</w:t>
        </w:r>
        <w:r>
          <w:rPr>
            <w:rFonts w:ascii="Times New Roman" w:eastAsia="宋体" w:hAnsi="Times New Roman" w:cs="Times New Roman"/>
            <w:color w:val="000000" w:themeColor="text1"/>
            <w:szCs w:val="24"/>
          </w:rPr>
          <w:t>......................................................................................................</w:t>
        </w:r>
        <w:r>
          <w:rPr>
            <w:rFonts w:ascii="Times New Roman" w:eastAsia="宋体" w:hAnsi="Times New Roman" w:cs="Times New Roman"/>
            <w:color w:val="000000" w:themeColor="text1"/>
            <w:szCs w:val="24"/>
          </w:rPr>
          <w:fldChar w:fldCharType="begin"/>
        </w:r>
        <w:r>
          <w:rPr>
            <w:rFonts w:ascii="Times New Roman" w:eastAsia="宋体" w:hAnsi="Times New Roman" w:cs="Times New Roman"/>
            <w:color w:val="000000" w:themeColor="text1"/>
            <w:szCs w:val="24"/>
          </w:rPr>
          <w:instrText xml:space="preserve"> PAGEREF _Toc127171762 \h </w:instrText>
        </w:r>
        <w:r>
          <w:rPr>
            <w:rFonts w:ascii="Times New Roman" w:eastAsia="宋体" w:hAnsi="Times New Roman" w:cs="Times New Roman"/>
            <w:color w:val="000000" w:themeColor="text1"/>
            <w:szCs w:val="24"/>
          </w:rPr>
        </w:r>
        <w:r>
          <w:rPr>
            <w:rFonts w:ascii="Times New Roman" w:eastAsia="宋体" w:hAnsi="Times New Roman" w:cs="Times New Roman"/>
            <w:color w:val="000000" w:themeColor="text1"/>
            <w:szCs w:val="24"/>
          </w:rPr>
          <w:fldChar w:fldCharType="separate"/>
        </w:r>
        <w:r>
          <w:rPr>
            <w:rFonts w:ascii="Times New Roman" w:eastAsia="宋体" w:hAnsi="Times New Roman" w:cs="Times New Roman"/>
            <w:color w:val="000000" w:themeColor="text1"/>
            <w:szCs w:val="24"/>
          </w:rPr>
          <w:t>11</w:t>
        </w:r>
        <w:r>
          <w:rPr>
            <w:rFonts w:ascii="Times New Roman" w:eastAsia="宋体" w:hAnsi="Times New Roman" w:cs="Times New Roman"/>
            <w:color w:val="000000" w:themeColor="text1"/>
            <w:szCs w:val="24"/>
          </w:rPr>
          <w:fldChar w:fldCharType="end"/>
        </w:r>
      </w:hyperlink>
    </w:p>
    <w:p w14:paraId="6F6C155D"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rPr>
      </w:pPr>
      <w:hyperlink w:anchor="_Toc127171763" w:history="1">
        <w:r>
          <w:rPr>
            <w:rFonts w:ascii="Times New Roman" w:eastAsia="宋体" w:hAnsi="Times New Roman" w:cs="Times New Roman"/>
            <w:color w:val="000000" w:themeColor="text1"/>
          </w:rPr>
          <w:t xml:space="preserve">8.4 </w:t>
        </w:r>
        <w:r>
          <w:rPr>
            <w:rFonts w:ascii="Times New Roman" w:eastAsia="宋体" w:hAnsi="Times New Roman" w:cs="Times New Roman"/>
            <w:color w:val="000000" w:themeColor="text1"/>
            <w:szCs w:val="24"/>
          </w:rPr>
          <w:t>Dilution............</w:t>
        </w:r>
        <w:r>
          <w:rPr>
            <w:rFonts w:ascii="Times New Roman" w:eastAsia="宋体" w:hAnsi="Times New Roman" w:cs="Times New Roman"/>
            <w:color w:val="000000" w:themeColor="text1"/>
            <w:szCs w:val="24"/>
          </w:rPr>
          <w:t>.................................................................................................................</w:t>
        </w:r>
        <w:r>
          <w:rPr>
            <w:rFonts w:ascii="Times New Roman" w:eastAsia="宋体" w:hAnsi="Times New Roman" w:cs="Times New Roman"/>
            <w:color w:val="000000" w:themeColor="text1"/>
            <w:szCs w:val="24"/>
          </w:rPr>
          <w:fldChar w:fldCharType="begin"/>
        </w:r>
        <w:r>
          <w:rPr>
            <w:rFonts w:ascii="Times New Roman" w:eastAsia="宋体" w:hAnsi="Times New Roman" w:cs="Times New Roman"/>
            <w:color w:val="000000" w:themeColor="text1"/>
            <w:szCs w:val="24"/>
          </w:rPr>
          <w:instrText xml:space="preserve"> PAGEREF _Toc127171763 \h </w:instrText>
        </w:r>
        <w:r>
          <w:rPr>
            <w:rFonts w:ascii="Times New Roman" w:eastAsia="宋体" w:hAnsi="Times New Roman" w:cs="Times New Roman"/>
            <w:color w:val="000000" w:themeColor="text1"/>
            <w:szCs w:val="24"/>
          </w:rPr>
        </w:r>
        <w:r>
          <w:rPr>
            <w:rFonts w:ascii="Times New Roman" w:eastAsia="宋体" w:hAnsi="Times New Roman" w:cs="Times New Roman"/>
            <w:color w:val="000000" w:themeColor="text1"/>
            <w:szCs w:val="24"/>
          </w:rPr>
          <w:fldChar w:fldCharType="separate"/>
        </w:r>
        <w:r>
          <w:rPr>
            <w:rFonts w:ascii="Times New Roman" w:eastAsia="宋体" w:hAnsi="Times New Roman" w:cs="Times New Roman"/>
            <w:color w:val="000000" w:themeColor="text1"/>
            <w:szCs w:val="24"/>
          </w:rPr>
          <w:t>11</w:t>
        </w:r>
        <w:r>
          <w:rPr>
            <w:rFonts w:ascii="Times New Roman" w:eastAsia="宋体" w:hAnsi="Times New Roman" w:cs="Times New Roman"/>
            <w:color w:val="000000" w:themeColor="text1"/>
            <w:szCs w:val="24"/>
          </w:rPr>
          <w:fldChar w:fldCharType="end"/>
        </w:r>
      </w:hyperlink>
    </w:p>
    <w:p w14:paraId="207C8454"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rPr>
      </w:pPr>
      <w:hyperlink w:anchor="_Toc127171764" w:history="1">
        <w:r>
          <w:rPr>
            <w:rFonts w:ascii="Times New Roman" w:eastAsia="宋体" w:hAnsi="Times New Roman" w:cs="Times New Roman"/>
            <w:color w:val="000000" w:themeColor="text1"/>
          </w:rPr>
          <w:t>8.5</w:t>
        </w:r>
        <w:r>
          <w:rPr>
            <w:rFonts w:ascii="Times New Roman" w:eastAsia="宋体" w:hAnsi="Times New Roman" w:cs="Times New Roman"/>
            <w:color w:val="000000" w:themeColor="text1"/>
            <w:szCs w:val="24"/>
          </w:rPr>
          <w:t xml:space="preserve"> Dosage....</w:t>
        </w:r>
        <w:r>
          <w:rPr>
            <w:rFonts w:ascii="Times New Roman" w:eastAsia="宋体" w:hAnsi="Times New Roman" w:cs="Times New Roman"/>
            <w:color w:val="000000" w:themeColor="text1"/>
            <w:szCs w:val="24"/>
          </w:rPr>
          <w:t>............................................................................................................................</w:t>
        </w:r>
        <w:r>
          <w:rPr>
            <w:rFonts w:ascii="Times New Roman" w:eastAsia="宋体" w:hAnsi="Times New Roman" w:cs="Times New Roman"/>
            <w:color w:val="000000" w:themeColor="text1"/>
            <w:szCs w:val="24"/>
          </w:rPr>
          <w:fldChar w:fldCharType="begin"/>
        </w:r>
        <w:r>
          <w:rPr>
            <w:rFonts w:ascii="Times New Roman" w:eastAsia="宋体" w:hAnsi="Times New Roman" w:cs="Times New Roman"/>
            <w:color w:val="000000" w:themeColor="text1"/>
            <w:szCs w:val="24"/>
          </w:rPr>
          <w:instrText xml:space="preserve"> PAGEREF _Toc127171764 \h </w:instrText>
        </w:r>
        <w:r>
          <w:rPr>
            <w:rFonts w:ascii="Times New Roman" w:eastAsia="宋体" w:hAnsi="Times New Roman" w:cs="Times New Roman"/>
            <w:color w:val="000000" w:themeColor="text1"/>
            <w:szCs w:val="24"/>
          </w:rPr>
        </w:r>
        <w:r>
          <w:rPr>
            <w:rFonts w:ascii="Times New Roman" w:eastAsia="宋体" w:hAnsi="Times New Roman" w:cs="Times New Roman"/>
            <w:color w:val="000000" w:themeColor="text1"/>
            <w:szCs w:val="24"/>
          </w:rPr>
          <w:fldChar w:fldCharType="separate"/>
        </w:r>
        <w:r>
          <w:rPr>
            <w:rFonts w:ascii="Times New Roman" w:eastAsia="宋体" w:hAnsi="Times New Roman" w:cs="Times New Roman"/>
            <w:color w:val="000000" w:themeColor="text1"/>
            <w:szCs w:val="24"/>
          </w:rPr>
          <w:t>11</w:t>
        </w:r>
        <w:r>
          <w:rPr>
            <w:rFonts w:ascii="Times New Roman" w:eastAsia="宋体" w:hAnsi="Times New Roman" w:cs="Times New Roman"/>
            <w:color w:val="000000" w:themeColor="text1"/>
            <w:szCs w:val="24"/>
          </w:rPr>
          <w:fldChar w:fldCharType="end"/>
        </w:r>
      </w:hyperlink>
    </w:p>
    <w:p w14:paraId="63ED4196"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rPr>
      </w:pPr>
      <w:hyperlink w:anchor="_Toc127171765" w:history="1">
        <w:r>
          <w:rPr>
            <w:rFonts w:ascii="Times New Roman" w:eastAsia="宋体" w:hAnsi="Times New Roman" w:cs="Times New Roman"/>
            <w:color w:val="000000" w:themeColor="text1"/>
          </w:rPr>
          <w:t xml:space="preserve">8.6 </w:t>
        </w:r>
        <w:r>
          <w:rPr>
            <w:rFonts w:ascii="Times New Roman" w:eastAsia="宋体" w:hAnsi="Times New Roman" w:cs="Times New Roman"/>
            <w:color w:val="000000" w:themeColor="text1"/>
            <w:szCs w:val="24"/>
          </w:rPr>
          <w:t>Daily management.............................................................................................................</w:t>
        </w:r>
        <w:r>
          <w:rPr>
            <w:rFonts w:ascii="Times New Roman" w:eastAsia="宋体" w:hAnsi="Times New Roman" w:cs="Times New Roman"/>
            <w:color w:val="000000" w:themeColor="text1"/>
            <w:szCs w:val="24"/>
          </w:rPr>
          <w:fldChar w:fldCharType="begin"/>
        </w:r>
        <w:r>
          <w:rPr>
            <w:rFonts w:ascii="Times New Roman" w:eastAsia="宋体" w:hAnsi="Times New Roman" w:cs="Times New Roman"/>
            <w:color w:val="000000" w:themeColor="text1"/>
            <w:szCs w:val="24"/>
          </w:rPr>
          <w:instrText xml:space="preserve"> PAGEREF _Toc127171765 \h </w:instrText>
        </w:r>
        <w:r>
          <w:rPr>
            <w:rFonts w:ascii="Times New Roman" w:eastAsia="宋体" w:hAnsi="Times New Roman" w:cs="Times New Roman"/>
            <w:color w:val="000000" w:themeColor="text1"/>
            <w:szCs w:val="24"/>
          </w:rPr>
        </w:r>
        <w:r>
          <w:rPr>
            <w:rFonts w:ascii="Times New Roman" w:eastAsia="宋体" w:hAnsi="Times New Roman" w:cs="Times New Roman"/>
            <w:color w:val="000000" w:themeColor="text1"/>
            <w:szCs w:val="24"/>
          </w:rPr>
          <w:fldChar w:fldCharType="separate"/>
        </w:r>
        <w:r>
          <w:rPr>
            <w:rFonts w:ascii="Times New Roman" w:eastAsia="宋体" w:hAnsi="Times New Roman" w:cs="Times New Roman"/>
            <w:color w:val="000000" w:themeColor="text1"/>
            <w:szCs w:val="24"/>
          </w:rPr>
          <w:t>12</w:t>
        </w:r>
        <w:r>
          <w:rPr>
            <w:rFonts w:ascii="Times New Roman" w:eastAsia="宋体" w:hAnsi="Times New Roman" w:cs="Times New Roman"/>
            <w:color w:val="000000" w:themeColor="text1"/>
            <w:szCs w:val="24"/>
          </w:rPr>
          <w:fldChar w:fldCharType="end"/>
        </w:r>
      </w:hyperlink>
    </w:p>
    <w:p w14:paraId="1FFA04BD"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9 Maintainenance…………………….………………</w:t>
      </w:r>
      <w:r>
        <w:rPr>
          <w:rFonts w:ascii="Times New Roman" w:eastAsia="宋体" w:hAnsi="Times New Roman" w:cs="Times New Roman"/>
          <w:b/>
          <w:color w:val="000000" w:themeColor="text1"/>
          <w:sz w:val="24"/>
          <w:szCs w:val="24"/>
        </w:rPr>
        <w:t>……………………….….…12</w:t>
      </w:r>
    </w:p>
    <w:p w14:paraId="55949A0E"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rPr>
      </w:pPr>
      <w:hyperlink w:anchor="_Toc127171767" w:history="1">
        <w:r>
          <w:rPr>
            <w:rFonts w:ascii="Times New Roman" w:eastAsia="宋体" w:hAnsi="Times New Roman" w:cs="Times New Roman"/>
            <w:color w:val="000000" w:themeColor="text1"/>
          </w:rPr>
          <w:t>9.1 Maintainenance...............................................................................................................</w:t>
        </w:r>
        <w:r>
          <w:rPr>
            <w:rFonts w:ascii="Times New Roman" w:eastAsia="宋体" w:hAnsi="Times New Roman" w:cs="Times New Roman"/>
            <w:color w:val="000000" w:themeColor="text1"/>
          </w:rPr>
          <w:fldChar w:fldCharType="begin"/>
        </w:r>
        <w:r>
          <w:rPr>
            <w:rFonts w:ascii="Times New Roman" w:eastAsia="宋体" w:hAnsi="Times New Roman" w:cs="Times New Roman"/>
            <w:color w:val="000000" w:themeColor="text1"/>
          </w:rPr>
          <w:instrText xml:space="preserve"> PAGEREF _Toc127171767 \h </w:instrText>
        </w:r>
        <w:r>
          <w:rPr>
            <w:rFonts w:ascii="Times New Roman" w:eastAsia="宋体" w:hAnsi="Times New Roman" w:cs="Times New Roman"/>
            <w:color w:val="000000" w:themeColor="text1"/>
          </w:rPr>
        </w:r>
        <w:r>
          <w:rPr>
            <w:rFonts w:ascii="Times New Roman" w:eastAsia="宋体" w:hAnsi="Times New Roman" w:cs="Times New Roman"/>
            <w:color w:val="000000" w:themeColor="text1"/>
          </w:rPr>
          <w:fldChar w:fldCharType="separate"/>
        </w:r>
        <w:r>
          <w:rPr>
            <w:rFonts w:ascii="Times New Roman" w:eastAsia="宋体" w:hAnsi="Times New Roman" w:cs="Times New Roman"/>
            <w:color w:val="000000" w:themeColor="text1"/>
          </w:rPr>
          <w:t>13</w:t>
        </w:r>
        <w:r>
          <w:rPr>
            <w:rFonts w:ascii="Times New Roman" w:eastAsia="宋体" w:hAnsi="Times New Roman" w:cs="Times New Roman"/>
            <w:color w:val="000000" w:themeColor="text1"/>
          </w:rPr>
          <w:fldChar w:fldCharType="end"/>
        </w:r>
      </w:hyperlink>
    </w:p>
    <w:p w14:paraId="40E6EB4B"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hyperlink w:anchor="_Toc127171768" w:history="1">
        <w:r>
          <w:rPr>
            <w:rFonts w:ascii="Times New Roman" w:eastAsia="宋体" w:hAnsi="Times New Roman" w:cs="Times New Roman"/>
            <w:color w:val="000000" w:themeColor="text1"/>
          </w:rPr>
          <w:t xml:space="preserve">9.2 </w:t>
        </w:r>
        <w:r>
          <w:rPr>
            <w:rFonts w:ascii="Times New Roman" w:eastAsia="宋体" w:hAnsi="Times New Roman" w:cs="Times New Roman"/>
            <w:color w:val="000000" w:themeColor="text1"/>
            <w:szCs w:val="24"/>
          </w:rPr>
          <w:t>M</w:t>
        </w:r>
        <w:r>
          <w:rPr>
            <w:rFonts w:ascii="Times New Roman" w:eastAsia="宋体" w:hAnsi="Times New Roman" w:cs="Times New Roman"/>
            <w:color w:val="000000" w:themeColor="text1"/>
          </w:rPr>
          <w:t>anagement.................................................................................................</w:t>
        </w:r>
        <w:r>
          <w:rPr>
            <w:rFonts w:ascii="Times New Roman" w:eastAsia="宋体" w:hAnsi="Times New Roman" w:cs="Times New Roman"/>
            <w:color w:val="000000" w:themeColor="text1"/>
            <w:szCs w:val="24"/>
          </w:rPr>
          <w:t>............</w:t>
        </w:r>
        <w:r>
          <w:rPr>
            <w:rFonts w:ascii="Times New Roman" w:eastAsia="宋体" w:hAnsi="Times New Roman" w:cs="Times New Roman"/>
            <w:color w:val="000000" w:themeColor="text1"/>
          </w:rPr>
          <w:t>........</w:t>
        </w:r>
        <w:r>
          <w:rPr>
            <w:rFonts w:ascii="Times New Roman" w:eastAsia="宋体" w:hAnsi="Times New Roman" w:cs="Times New Roman"/>
            <w:color w:val="000000" w:themeColor="text1"/>
          </w:rPr>
          <w:fldChar w:fldCharType="begin"/>
        </w:r>
        <w:r>
          <w:rPr>
            <w:rFonts w:ascii="Times New Roman" w:eastAsia="宋体" w:hAnsi="Times New Roman" w:cs="Times New Roman"/>
            <w:color w:val="000000" w:themeColor="text1"/>
          </w:rPr>
          <w:instrText xml:space="preserve"> PAGEREF _Toc127171768 \h </w:instrText>
        </w:r>
        <w:r>
          <w:rPr>
            <w:rFonts w:ascii="Times New Roman" w:eastAsia="宋体" w:hAnsi="Times New Roman" w:cs="Times New Roman"/>
            <w:color w:val="000000" w:themeColor="text1"/>
          </w:rPr>
        </w:r>
        <w:r>
          <w:rPr>
            <w:rFonts w:ascii="Times New Roman" w:eastAsia="宋体" w:hAnsi="Times New Roman" w:cs="Times New Roman"/>
            <w:color w:val="000000" w:themeColor="text1"/>
          </w:rPr>
          <w:fldChar w:fldCharType="separate"/>
        </w:r>
        <w:r>
          <w:rPr>
            <w:rFonts w:ascii="Times New Roman" w:eastAsia="宋体" w:hAnsi="Times New Roman" w:cs="Times New Roman"/>
            <w:color w:val="000000" w:themeColor="text1"/>
          </w:rPr>
          <w:t>13</w:t>
        </w:r>
        <w:r>
          <w:rPr>
            <w:rFonts w:ascii="Times New Roman" w:eastAsia="宋体" w:hAnsi="Times New Roman" w:cs="Times New Roman"/>
            <w:color w:val="000000" w:themeColor="text1"/>
          </w:rPr>
          <w:fldChar w:fldCharType="end"/>
        </w:r>
      </w:hyperlink>
    </w:p>
    <w:p w14:paraId="75DD7EC6"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10 Safety……………………………………………………….…………………..14</w:t>
      </w:r>
    </w:p>
    <w:p w14:paraId="4D556CA9"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hyperlink w:anchor="_Toc127171770" w:history="1">
        <w:r>
          <w:rPr>
            <w:rFonts w:ascii="Times New Roman" w:eastAsia="宋体" w:hAnsi="Times New Roman" w:cs="Times New Roman"/>
            <w:color w:val="000000" w:themeColor="text1"/>
          </w:rPr>
          <w:t xml:space="preserve">10.1 </w:t>
        </w:r>
        <w:r>
          <w:rPr>
            <w:rFonts w:ascii="Times New Roman" w:eastAsia="宋体" w:hAnsi="Times New Roman" w:cs="Times New Roman"/>
            <w:color w:val="000000" w:themeColor="text1"/>
            <w:szCs w:val="24"/>
          </w:rPr>
          <w:t>Safety management.............................................................................................</w:t>
        </w:r>
        <w:r>
          <w:rPr>
            <w:rFonts w:ascii="Times New Roman" w:eastAsia="宋体" w:hAnsi="Times New Roman" w:cs="Times New Roman"/>
            <w:color w:val="000000" w:themeColor="text1"/>
            <w:szCs w:val="24"/>
          </w:rPr>
          <w:t>.............</w:t>
        </w:r>
        <w:r>
          <w:rPr>
            <w:rFonts w:ascii="Times New Roman" w:eastAsia="宋体" w:hAnsi="Times New Roman" w:cs="Times New Roman"/>
            <w:color w:val="000000" w:themeColor="text1"/>
          </w:rPr>
          <w:fldChar w:fldCharType="begin"/>
        </w:r>
        <w:r>
          <w:rPr>
            <w:rFonts w:ascii="Times New Roman" w:eastAsia="宋体" w:hAnsi="Times New Roman" w:cs="Times New Roman"/>
            <w:color w:val="000000" w:themeColor="text1"/>
          </w:rPr>
          <w:instrText xml:space="preserve"> PAGEREF _Toc127171770 \h </w:instrText>
        </w:r>
        <w:r>
          <w:rPr>
            <w:rFonts w:ascii="Times New Roman" w:eastAsia="宋体" w:hAnsi="Times New Roman" w:cs="Times New Roman"/>
            <w:color w:val="000000" w:themeColor="text1"/>
          </w:rPr>
        </w:r>
        <w:r>
          <w:rPr>
            <w:rFonts w:ascii="Times New Roman" w:eastAsia="宋体" w:hAnsi="Times New Roman" w:cs="Times New Roman"/>
            <w:color w:val="000000" w:themeColor="text1"/>
          </w:rPr>
          <w:fldChar w:fldCharType="separate"/>
        </w:r>
        <w:r>
          <w:rPr>
            <w:rFonts w:ascii="Times New Roman" w:eastAsia="宋体" w:hAnsi="Times New Roman" w:cs="Times New Roman"/>
            <w:color w:val="000000" w:themeColor="text1"/>
          </w:rPr>
          <w:t>14</w:t>
        </w:r>
        <w:r>
          <w:rPr>
            <w:rFonts w:ascii="Times New Roman" w:eastAsia="宋体" w:hAnsi="Times New Roman" w:cs="Times New Roman"/>
            <w:color w:val="000000" w:themeColor="text1"/>
          </w:rPr>
          <w:fldChar w:fldCharType="end"/>
        </w:r>
      </w:hyperlink>
    </w:p>
    <w:p w14:paraId="61367D9D" w14:textId="77777777" w:rsidR="00E269CD" w:rsidRDefault="00E13E3E">
      <w:pPr>
        <w:tabs>
          <w:tab w:val="left" w:pos="0"/>
        </w:tabs>
        <w:spacing w:line="360" w:lineRule="auto"/>
        <w:ind w:firstLineChars="202" w:firstLine="424"/>
        <w:jc w:val="distribute"/>
        <w:rPr>
          <w:rFonts w:ascii="Times New Roman" w:eastAsia="宋体" w:hAnsi="Times New Roman" w:cs="Times New Roman"/>
          <w:color w:val="000000" w:themeColor="text1"/>
          <w:szCs w:val="24"/>
        </w:rPr>
      </w:pPr>
      <w:hyperlink w:anchor="_Toc127171771" w:history="1">
        <w:r>
          <w:rPr>
            <w:rFonts w:ascii="Times New Roman" w:eastAsia="宋体" w:hAnsi="Times New Roman" w:cs="Times New Roman"/>
            <w:color w:val="000000" w:themeColor="text1"/>
          </w:rPr>
          <w:t>10.2</w:t>
        </w:r>
        <w:r>
          <w:rPr>
            <w:rFonts w:ascii="Times New Roman" w:eastAsia="宋体" w:hAnsi="Times New Roman" w:cs="Times New Roman"/>
            <w:color w:val="000000" w:themeColor="text1"/>
            <w:szCs w:val="24"/>
          </w:rPr>
          <w:t xml:space="preserve"> Safety protection............................................................................................</w:t>
        </w:r>
        <w:r>
          <w:rPr>
            <w:rFonts w:ascii="Times New Roman" w:eastAsia="宋体" w:hAnsi="Times New Roman" w:cs="Times New Roman"/>
            <w:color w:val="000000" w:themeColor="text1"/>
            <w:szCs w:val="24"/>
          </w:rPr>
          <w:t>..................</w:t>
        </w:r>
        <w:r>
          <w:rPr>
            <w:rFonts w:ascii="Times New Roman" w:eastAsia="宋体" w:hAnsi="Times New Roman" w:cs="Times New Roman"/>
            <w:color w:val="000000" w:themeColor="text1"/>
          </w:rPr>
          <w:fldChar w:fldCharType="begin"/>
        </w:r>
        <w:r>
          <w:rPr>
            <w:rFonts w:ascii="Times New Roman" w:eastAsia="宋体" w:hAnsi="Times New Roman" w:cs="Times New Roman"/>
            <w:color w:val="000000" w:themeColor="text1"/>
          </w:rPr>
          <w:instrText xml:space="preserve"> PAGEREF _Toc127171771 \h </w:instrText>
        </w:r>
        <w:r>
          <w:rPr>
            <w:rFonts w:ascii="Times New Roman" w:eastAsia="宋体" w:hAnsi="Times New Roman" w:cs="Times New Roman"/>
            <w:color w:val="000000" w:themeColor="text1"/>
          </w:rPr>
        </w:r>
        <w:r>
          <w:rPr>
            <w:rFonts w:ascii="Times New Roman" w:eastAsia="宋体" w:hAnsi="Times New Roman" w:cs="Times New Roman"/>
            <w:color w:val="000000" w:themeColor="text1"/>
          </w:rPr>
          <w:fldChar w:fldCharType="separate"/>
        </w:r>
        <w:r>
          <w:rPr>
            <w:rFonts w:ascii="Times New Roman" w:eastAsia="宋体" w:hAnsi="Times New Roman" w:cs="Times New Roman"/>
            <w:color w:val="000000" w:themeColor="text1"/>
          </w:rPr>
          <w:t>14</w:t>
        </w:r>
        <w:r>
          <w:rPr>
            <w:rFonts w:ascii="Times New Roman" w:eastAsia="宋体" w:hAnsi="Times New Roman" w:cs="Times New Roman"/>
            <w:color w:val="000000" w:themeColor="text1"/>
          </w:rPr>
          <w:fldChar w:fldCharType="end"/>
        </w:r>
      </w:hyperlink>
    </w:p>
    <w:p w14:paraId="027DD14C"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Wording description……………………………………………………………….15</w:t>
      </w:r>
    </w:p>
    <w:p w14:paraId="2FD2FB3F"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List of quoted standards……………………………………………………..……16</w:t>
      </w:r>
    </w:p>
    <w:p w14:paraId="4BFD60ED"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Contents………………………………………………….…………….….….……18</w:t>
      </w:r>
    </w:p>
    <w:p w14:paraId="527C480D" w14:textId="77777777" w:rsidR="00E269CD" w:rsidRDefault="00E13E3E">
      <w:pPr>
        <w:tabs>
          <w:tab w:val="left" w:pos="0"/>
        </w:tabs>
        <w:spacing w:line="360" w:lineRule="auto"/>
        <w:jc w:val="distribute"/>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Addition</w:t>
      </w:r>
      <w:r>
        <w:rPr>
          <w:rFonts w:ascii="Times New Roman" w:eastAsia="宋体" w:hAnsi="Times New Roman" w:cs="Times New Roman"/>
          <w:b/>
          <w:color w:val="000000" w:themeColor="text1"/>
          <w:sz w:val="24"/>
          <w:szCs w:val="24"/>
        </w:rPr>
        <w:t>：</w:t>
      </w:r>
      <w:r>
        <w:rPr>
          <w:rFonts w:ascii="Times New Roman" w:eastAsia="宋体" w:hAnsi="Times New Roman" w:cs="Times New Roman"/>
          <w:b/>
          <w:color w:val="000000" w:themeColor="text1"/>
          <w:sz w:val="24"/>
          <w:szCs w:val="24"/>
        </w:rPr>
        <w:t>Explanation of provisions…………………………………………..….19</w:t>
      </w:r>
    </w:p>
    <w:p w14:paraId="04E50067" w14:textId="77777777" w:rsidR="00E269CD" w:rsidRDefault="00E269CD">
      <w:pPr>
        <w:tabs>
          <w:tab w:val="left" w:pos="0"/>
        </w:tabs>
        <w:spacing w:line="360" w:lineRule="auto"/>
        <w:jc w:val="distribute"/>
        <w:rPr>
          <w:rFonts w:ascii="Times New Roman" w:eastAsia="宋体" w:hAnsi="Times New Roman" w:cs="Times New Roman"/>
          <w:b/>
          <w:color w:val="000000" w:themeColor="text1"/>
          <w:sz w:val="24"/>
          <w:szCs w:val="24"/>
        </w:rPr>
        <w:sectPr w:rsidR="00E269CD">
          <w:pgSz w:w="11906" w:h="16838"/>
          <w:pgMar w:top="1440" w:right="1800" w:bottom="1440" w:left="1800" w:header="851" w:footer="992" w:gutter="0"/>
          <w:cols w:space="425"/>
          <w:docGrid w:type="lines" w:linePitch="312"/>
        </w:sectPr>
      </w:pPr>
    </w:p>
    <w:p w14:paraId="604D358D" w14:textId="77777777" w:rsidR="00E269CD" w:rsidRDefault="00E13E3E">
      <w:pPr>
        <w:keepNext/>
        <w:keepLines/>
        <w:spacing w:line="360" w:lineRule="auto"/>
        <w:jc w:val="center"/>
        <w:outlineLvl w:val="0"/>
        <w:rPr>
          <w:rFonts w:ascii="Times New Roman" w:hAnsi="Times New Roman" w:cs="Times New Roman"/>
          <w:b/>
          <w:bCs/>
          <w:color w:val="000000" w:themeColor="text1"/>
          <w:kern w:val="44"/>
          <w:sz w:val="30"/>
          <w:szCs w:val="44"/>
        </w:rPr>
      </w:pPr>
      <w:bookmarkStart w:id="1" w:name="_Toc127171736"/>
      <w:r>
        <w:rPr>
          <w:rFonts w:ascii="Times New Roman" w:hAnsi="Times New Roman" w:cs="Times New Roman"/>
          <w:b/>
          <w:bCs/>
          <w:color w:val="000000" w:themeColor="text1"/>
          <w:kern w:val="44"/>
          <w:sz w:val="30"/>
          <w:szCs w:val="44"/>
        </w:rPr>
        <w:lastRenderedPageBreak/>
        <w:t xml:space="preserve">1  </w:t>
      </w:r>
      <w:r>
        <w:rPr>
          <w:rFonts w:ascii="Times New Roman" w:hAnsi="Times New Roman" w:cs="Times New Roman"/>
          <w:b/>
          <w:bCs/>
          <w:color w:val="000000" w:themeColor="text1"/>
          <w:kern w:val="44"/>
          <w:sz w:val="30"/>
          <w:szCs w:val="44"/>
        </w:rPr>
        <w:t>总</w:t>
      </w:r>
      <w:r>
        <w:rPr>
          <w:rFonts w:ascii="Times New Roman" w:hAnsi="Times New Roman" w:cs="Times New Roman"/>
          <w:b/>
          <w:bCs/>
          <w:color w:val="000000" w:themeColor="text1"/>
          <w:kern w:val="44"/>
          <w:sz w:val="30"/>
          <w:szCs w:val="44"/>
        </w:rPr>
        <w:t xml:space="preserve">  </w:t>
      </w:r>
      <w:r>
        <w:rPr>
          <w:rFonts w:ascii="Times New Roman" w:hAnsi="Times New Roman" w:cs="Times New Roman"/>
          <w:b/>
          <w:bCs/>
          <w:color w:val="000000" w:themeColor="text1"/>
          <w:kern w:val="44"/>
          <w:sz w:val="30"/>
          <w:szCs w:val="44"/>
        </w:rPr>
        <w:t>则</w:t>
      </w:r>
      <w:bookmarkEnd w:id="1"/>
    </w:p>
    <w:p w14:paraId="0D0C3CA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1.0.1  </w:t>
      </w:r>
      <w:r>
        <w:rPr>
          <w:rFonts w:ascii="Times New Roman" w:eastAsia="宋体" w:hAnsi="Times New Roman" w:cs="Times New Roman"/>
          <w:bCs/>
          <w:color w:val="000000" w:themeColor="text1"/>
          <w:kern w:val="0"/>
          <w:sz w:val="24"/>
          <w:szCs w:val="24"/>
        </w:rPr>
        <w:t>为加强次氯酸钠溶液使用的管理，确保在城镇供水中次氯酸钠溶液使用的安全可靠性、技术先进性、经济合理性，制定本标准。</w:t>
      </w:r>
    </w:p>
    <w:p w14:paraId="29800274" w14:textId="2D2ED62A"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1.0.2  </w:t>
      </w:r>
      <w:r>
        <w:rPr>
          <w:rFonts w:ascii="Times New Roman" w:eastAsia="宋体" w:hAnsi="Times New Roman" w:cs="Times New Roman"/>
          <w:bCs/>
          <w:color w:val="000000" w:themeColor="text1"/>
          <w:kern w:val="0"/>
          <w:sz w:val="24"/>
          <w:szCs w:val="24"/>
        </w:rPr>
        <w:t>本标准适用于新建、扩建或改建的城镇永久性供水工程，使用商品次氯酸钠或现场制备次氯酸钠的设计、施工、验收及运行管理。</w:t>
      </w:r>
      <w:r w:rsidR="003F48A2">
        <w:rPr>
          <w:rFonts w:ascii="Times New Roman" w:eastAsia="宋体" w:hAnsi="Times New Roman" w:cs="Times New Roman"/>
          <w:bCs/>
          <w:color w:val="000000" w:themeColor="text1"/>
          <w:kern w:val="0"/>
          <w:sz w:val="24"/>
          <w:szCs w:val="24"/>
        </w:rPr>
        <w:t>有效氯含量不大于</w:t>
      </w:r>
      <w:r w:rsidR="003F48A2">
        <w:rPr>
          <w:rFonts w:ascii="Times New Roman" w:eastAsia="宋体" w:hAnsi="Times New Roman" w:cs="Times New Roman"/>
          <w:bCs/>
          <w:color w:val="000000" w:themeColor="text1"/>
          <w:kern w:val="0"/>
          <w:sz w:val="24"/>
          <w:szCs w:val="24"/>
        </w:rPr>
        <w:t>5%</w:t>
      </w:r>
      <w:r w:rsidR="003F48A2">
        <w:rPr>
          <w:rFonts w:ascii="Times New Roman" w:eastAsia="宋体" w:hAnsi="Times New Roman" w:cs="Times New Roman"/>
          <w:bCs/>
          <w:color w:val="000000" w:themeColor="text1"/>
          <w:kern w:val="0"/>
          <w:sz w:val="24"/>
          <w:szCs w:val="24"/>
        </w:rPr>
        <w:t>的次氯酸钠溶液的使用、储存亦可适合本规定执行。</w:t>
      </w:r>
    </w:p>
    <w:p w14:paraId="2EEAD490" w14:textId="49764C6A"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1.0.3  </w:t>
      </w:r>
      <w:r>
        <w:rPr>
          <w:rFonts w:ascii="Times New Roman" w:eastAsia="宋体" w:hAnsi="Times New Roman" w:cs="Times New Roman"/>
          <w:bCs/>
          <w:color w:val="000000" w:themeColor="text1"/>
          <w:kern w:val="0"/>
          <w:sz w:val="24"/>
          <w:szCs w:val="24"/>
        </w:rPr>
        <w:t>有效氯含量大于</w:t>
      </w:r>
      <w:r>
        <w:rPr>
          <w:rFonts w:ascii="Times New Roman" w:eastAsia="宋体" w:hAnsi="Times New Roman" w:cs="Times New Roman"/>
          <w:bCs/>
          <w:color w:val="000000" w:themeColor="text1"/>
          <w:kern w:val="0"/>
          <w:sz w:val="24"/>
          <w:szCs w:val="24"/>
        </w:rPr>
        <w:t>5%</w:t>
      </w:r>
      <w:r>
        <w:rPr>
          <w:rFonts w:ascii="Times New Roman" w:eastAsia="宋体" w:hAnsi="Times New Roman" w:cs="Times New Roman"/>
          <w:bCs/>
          <w:color w:val="000000" w:themeColor="text1"/>
          <w:kern w:val="0"/>
          <w:sz w:val="24"/>
          <w:szCs w:val="24"/>
        </w:rPr>
        <w:t>的次氯酸钠溶液属于危险化学品，其储存、使用均应符合《中华人民共和国安全生产法》《危险化学品安全管理条例》《危险化学品建设项目安全监督管理办法》《常用化学危险品贮存通则》等法律法规要求。</w:t>
      </w:r>
    </w:p>
    <w:p w14:paraId="7D927801" w14:textId="7119F19B" w:rsidR="003F48A2"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1.0.4  </w:t>
      </w:r>
      <w:r w:rsidR="003F48A2">
        <w:rPr>
          <w:rFonts w:ascii="Times New Roman" w:eastAsia="宋体" w:hAnsi="Times New Roman" w:cs="Times New Roman"/>
          <w:bCs/>
          <w:color w:val="000000" w:themeColor="text1"/>
          <w:kern w:val="0"/>
          <w:sz w:val="24"/>
          <w:szCs w:val="24"/>
        </w:rPr>
        <w:t>商品次氯酸钠或现场制备次氯酸钠的设计、施工、验收及运行管理</w:t>
      </w:r>
      <w:r w:rsidR="003F48A2">
        <w:rPr>
          <w:rStyle w:val="fontstyle01"/>
          <w:rFonts w:hint="default"/>
        </w:rPr>
        <w:t>应符合本规程规定外，尚应符合国家现行有关标准和现行中国工程建设标准化协会有关标准的规定。</w:t>
      </w:r>
    </w:p>
    <w:p w14:paraId="01E9698A" w14:textId="77777777" w:rsidR="003F48A2" w:rsidRDefault="003F48A2">
      <w:pPr>
        <w:spacing w:line="360" w:lineRule="auto"/>
        <w:rPr>
          <w:rFonts w:ascii="Times New Roman" w:eastAsia="宋体" w:hAnsi="Times New Roman" w:cs="Times New Roman"/>
          <w:bCs/>
          <w:color w:val="000000" w:themeColor="text1"/>
          <w:kern w:val="0"/>
          <w:sz w:val="24"/>
          <w:szCs w:val="24"/>
        </w:rPr>
        <w:sectPr w:rsidR="003F48A2">
          <w:footerReference w:type="default" r:id="rId9"/>
          <w:pgSz w:w="11906" w:h="16838"/>
          <w:pgMar w:top="1440" w:right="1800" w:bottom="1440" w:left="1800" w:header="851" w:footer="992" w:gutter="0"/>
          <w:pgNumType w:start="1"/>
          <w:cols w:space="425"/>
          <w:docGrid w:type="lines" w:linePitch="312"/>
        </w:sectPr>
      </w:pPr>
    </w:p>
    <w:p w14:paraId="728282B6" w14:textId="77777777" w:rsidR="00E269CD" w:rsidRDefault="00E13E3E">
      <w:pPr>
        <w:keepNext/>
        <w:keepLines/>
        <w:spacing w:line="360" w:lineRule="auto"/>
        <w:jc w:val="center"/>
        <w:outlineLvl w:val="0"/>
        <w:rPr>
          <w:rFonts w:ascii="Times New Roman" w:hAnsi="Times New Roman" w:cs="Times New Roman"/>
          <w:b/>
          <w:bCs/>
          <w:color w:val="000000" w:themeColor="text1"/>
          <w:kern w:val="44"/>
          <w:sz w:val="30"/>
          <w:szCs w:val="44"/>
        </w:rPr>
      </w:pPr>
      <w:bookmarkStart w:id="2" w:name="_Toc127171737"/>
      <w:r>
        <w:rPr>
          <w:rFonts w:ascii="Times New Roman" w:hAnsi="Times New Roman" w:cs="Times New Roman"/>
          <w:b/>
          <w:bCs/>
          <w:color w:val="000000" w:themeColor="text1"/>
          <w:kern w:val="44"/>
          <w:sz w:val="30"/>
          <w:szCs w:val="44"/>
        </w:rPr>
        <w:lastRenderedPageBreak/>
        <w:t xml:space="preserve">2  </w:t>
      </w:r>
      <w:r>
        <w:rPr>
          <w:rFonts w:ascii="Times New Roman" w:hAnsi="Times New Roman" w:cs="Times New Roman"/>
          <w:b/>
          <w:bCs/>
          <w:color w:val="000000" w:themeColor="text1"/>
          <w:kern w:val="44"/>
          <w:sz w:val="30"/>
          <w:szCs w:val="44"/>
        </w:rPr>
        <w:t>术</w:t>
      </w:r>
      <w:r>
        <w:rPr>
          <w:rFonts w:ascii="Times New Roman" w:hAnsi="Times New Roman" w:cs="Times New Roman"/>
          <w:b/>
          <w:bCs/>
          <w:color w:val="000000" w:themeColor="text1"/>
          <w:kern w:val="44"/>
          <w:sz w:val="30"/>
          <w:szCs w:val="44"/>
        </w:rPr>
        <w:t xml:space="preserve">  </w:t>
      </w:r>
      <w:r>
        <w:rPr>
          <w:rFonts w:ascii="Times New Roman" w:hAnsi="Times New Roman" w:cs="Times New Roman"/>
          <w:b/>
          <w:bCs/>
          <w:color w:val="000000" w:themeColor="text1"/>
          <w:kern w:val="44"/>
          <w:sz w:val="30"/>
          <w:szCs w:val="44"/>
        </w:rPr>
        <w:t>语</w:t>
      </w:r>
      <w:bookmarkEnd w:id="2"/>
    </w:p>
    <w:p w14:paraId="13DD671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2.0.1  </w:t>
      </w:r>
      <w:r>
        <w:rPr>
          <w:rFonts w:ascii="Times New Roman" w:eastAsia="宋体" w:hAnsi="Times New Roman" w:cs="Times New Roman"/>
          <w:bCs/>
          <w:color w:val="000000" w:themeColor="text1"/>
          <w:kern w:val="0"/>
          <w:sz w:val="24"/>
          <w:szCs w:val="24"/>
        </w:rPr>
        <w:t>商品次氯酸钠溶液</w:t>
      </w:r>
      <w:r>
        <w:rPr>
          <w:rFonts w:ascii="Times New Roman" w:eastAsia="宋体" w:hAnsi="Times New Roman" w:cs="Times New Roman"/>
          <w:bCs/>
          <w:color w:val="000000" w:themeColor="text1"/>
          <w:kern w:val="0"/>
          <w:sz w:val="24"/>
          <w:szCs w:val="24"/>
        </w:rPr>
        <w:t xml:space="preserve">  commercial sodium hypochlorite</w:t>
      </w:r>
    </w:p>
    <w:p w14:paraId="2FC7FE1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次氯酸钠的溶解液，微黄色溶液，有似氯气的气味，不稳定，受热受光快速分解。为水厂外购产品。</w:t>
      </w:r>
    </w:p>
    <w:p w14:paraId="266CCA4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2.0.2  </w:t>
      </w:r>
      <w:r>
        <w:rPr>
          <w:rFonts w:ascii="Times New Roman" w:eastAsia="宋体" w:hAnsi="Times New Roman" w:cs="Times New Roman"/>
          <w:bCs/>
          <w:color w:val="000000" w:themeColor="text1"/>
          <w:kern w:val="0"/>
          <w:sz w:val="24"/>
          <w:szCs w:val="24"/>
        </w:rPr>
        <w:t>现场制备次氯酸钠溶液</w:t>
      </w:r>
      <w:r>
        <w:rPr>
          <w:rFonts w:ascii="Times New Roman" w:eastAsia="宋体" w:hAnsi="Times New Roman" w:cs="Times New Roman"/>
          <w:bCs/>
          <w:color w:val="000000" w:themeColor="text1"/>
          <w:kern w:val="0"/>
          <w:sz w:val="24"/>
          <w:szCs w:val="24"/>
        </w:rPr>
        <w:t xml:space="preserve">  in situ preparation sodium hypochlorite</w:t>
      </w:r>
    </w:p>
    <w:p w14:paraId="36989F3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通过次氯酸钠发生器电解饱和食盐水，生成适用于饮用水消毒的次氯酸钠溶液。</w:t>
      </w:r>
    </w:p>
    <w:p w14:paraId="18200AB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2.0.3  </w:t>
      </w:r>
      <w:r>
        <w:rPr>
          <w:rFonts w:ascii="Times New Roman" w:eastAsia="宋体" w:hAnsi="Times New Roman" w:cs="Times New Roman"/>
          <w:bCs/>
          <w:color w:val="000000" w:themeColor="text1"/>
          <w:kern w:val="0"/>
          <w:sz w:val="24"/>
          <w:szCs w:val="24"/>
        </w:rPr>
        <w:t>次氯酸钠氯消毒系统</w:t>
      </w:r>
      <w:r>
        <w:rPr>
          <w:rFonts w:ascii="Times New Roman" w:eastAsia="宋体" w:hAnsi="Times New Roman" w:cs="Times New Roman"/>
          <w:bCs/>
          <w:color w:val="000000" w:themeColor="text1"/>
          <w:kern w:val="0"/>
          <w:sz w:val="24"/>
          <w:szCs w:val="24"/>
        </w:rPr>
        <w:t xml:space="preserve">  sodium hypochlorite disinfection system</w:t>
      </w:r>
    </w:p>
    <w:p w14:paraId="2049031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由储存、投加、排放等环节组成，辅以待检、转输、配置、稀释、中和等环节。</w:t>
      </w:r>
    </w:p>
    <w:p w14:paraId="2C08BB6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2.0.4  </w:t>
      </w:r>
      <w:r>
        <w:rPr>
          <w:rFonts w:ascii="Times New Roman" w:eastAsia="宋体" w:hAnsi="Times New Roman" w:cs="Times New Roman"/>
          <w:bCs/>
          <w:color w:val="000000" w:themeColor="text1"/>
          <w:kern w:val="0"/>
          <w:sz w:val="24"/>
          <w:szCs w:val="24"/>
        </w:rPr>
        <w:t>计量泵投加</w:t>
      </w:r>
      <w:r>
        <w:rPr>
          <w:rFonts w:ascii="Times New Roman" w:eastAsia="宋体" w:hAnsi="Times New Roman" w:cs="Times New Roman"/>
          <w:bCs/>
          <w:color w:val="000000" w:themeColor="text1"/>
          <w:kern w:val="0"/>
          <w:sz w:val="24"/>
          <w:szCs w:val="24"/>
        </w:rPr>
        <w:t xml:space="preserve">  metering pump dosing</w:t>
      </w:r>
    </w:p>
    <w:p w14:paraId="66098E9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采用计量泵作为增压设备，进行次氯酸钠加注，流量仪计量。</w:t>
      </w:r>
    </w:p>
    <w:p w14:paraId="17B1327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2.0.5  </w:t>
      </w:r>
      <w:r>
        <w:rPr>
          <w:rFonts w:ascii="Times New Roman" w:eastAsia="宋体" w:hAnsi="Times New Roman" w:cs="Times New Roman"/>
          <w:bCs/>
          <w:color w:val="000000" w:themeColor="text1"/>
          <w:kern w:val="0"/>
          <w:sz w:val="24"/>
          <w:szCs w:val="24"/>
        </w:rPr>
        <w:t>调流阀投加</w:t>
      </w:r>
      <w:r>
        <w:rPr>
          <w:rFonts w:ascii="Times New Roman" w:eastAsia="宋体" w:hAnsi="Times New Roman" w:cs="Times New Roman"/>
          <w:bCs/>
          <w:color w:val="000000" w:themeColor="text1"/>
          <w:kern w:val="0"/>
          <w:sz w:val="24"/>
          <w:szCs w:val="24"/>
        </w:rPr>
        <w:t xml:space="preserve">  flow control valve dosing</w:t>
      </w:r>
    </w:p>
    <w:p w14:paraId="03E8FA3D" w14:textId="77777777" w:rsidR="00E269CD" w:rsidRDefault="00E13E3E">
      <w:pPr>
        <w:spacing w:line="360" w:lineRule="auto"/>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r>
        <w:rPr>
          <w:rFonts w:ascii="Times New Roman" w:eastAsia="宋体" w:hAnsi="Times New Roman" w:cs="Times New Roman"/>
          <w:bCs/>
          <w:color w:val="000000" w:themeColor="text1"/>
          <w:kern w:val="0"/>
          <w:sz w:val="24"/>
          <w:szCs w:val="24"/>
        </w:rPr>
        <w:t>采用压力泵作为动力源进行总管增压，用调流阀进行次氯酸钠加注，流量仪计量。</w:t>
      </w:r>
    </w:p>
    <w:p w14:paraId="1BD499D4" w14:textId="77777777" w:rsidR="00E269CD" w:rsidRDefault="00E13E3E">
      <w:pPr>
        <w:keepNext/>
        <w:keepLines/>
        <w:spacing w:line="360" w:lineRule="auto"/>
        <w:jc w:val="center"/>
        <w:outlineLvl w:val="0"/>
        <w:rPr>
          <w:rFonts w:ascii="Times New Roman" w:hAnsi="Times New Roman" w:cs="Times New Roman"/>
          <w:b/>
          <w:bCs/>
          <w:color w:val="000000" w:themeColor="text1"/>
          <w:kern w:val="44"/>
          <w:sz w:val="30"/>
          <w:szCs w:val="44"/>
        </w:rPr>
      </w:pPr>
      <w:bookmarkStart w:id="3" w:name="_Toc127171738"/>
      <w:r>
        <w:rPr>
          <w:rFonts w:ascii="Times New Roman" w:hAnsi="Times New Roman" w:cs="Times New Roman"/>
          <w:b/>
          <w:bCs/>
          <w:color w:val="000000" w:themeColor="text1"/>
          <w:kern w:val="44"/>
          <w:sz w:val="30"/>
          <w:szCs w:val="44"/>
        </w:rPr>
        <w:lastRenderedPageBreak/>
        <w:t xml:space="preserve">3  </w:t>
      </w:r>
      <w:r>
        <w:rPr>
          <w:rFonts w:ascii="Times New Roman" w:hAnsi="Times New Roman" w:cs="Times New Roman"/>
          <w:b/>
          <w:bCs/>
          <w:color w:val="000000" w:themeColor="text1"/>
          <w:kern w:val="44"/>
          <w:sz w:val="30"/>
          <w:szCs w:val="44"/>
        </w:rPr>
        <w:t>基本规定</w:t>
      </w:r>
      <w:bookmarkEnd w:id="3"/>
    </w:p>
    <w:p w14:paraId="461E1F2D"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4" w:name="_Toc127171739"/>
      <w:r>
        <w:rPr>
          <w:rFonts w:ascii="Times New Roman" w:eastAsia="黑体" w:hAnsi="Times New Roman" w:cs="Times New Roman"/>
          <w:b/>
          <w:bCs/>
          <w:color w:val="000000" w:themeColor="text1"/>
          <w:sz w:val="28"/>
          <w:szCs w:val="32"/>
        </w:rPr>
        <w:t xml:space="preserve">3.1  </w:t>
      </w:r>
      <w:r>
        <w:rPr>
          <w:rFonts w:ascii="Times New Roman" w:eastAsia="黑体" w:hAnsi="Times New Roman" w:cs="Times New Roman"/>
          <w:b/>
          <w:bCs/>
          <w:color w:val="000000" w:themeColor="text1"/>
          <w:sz w:val="28"/>
          <w:szCs w:val="32"/>
        </w:rPr>
        <w:t>一般规定</w:t>
      </w:r>
      <w:bookmarkEnd w:id="4"/>
    </w:p>
    <w:p w14:paraId="0C9ECDE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3.1.1</w:t>
      </w:r>
      <w:r>
        <w:rPr>
          <w:rFonts w:ascii="Times New Roman" w:eastAsia="宋体" w:hAnsi="Times New Roman" w:cs="Times New Roman"/>
          <w:bCs/>
          <w:color w:val="000000" w:themeColor="text1"/>
          <w:kern w:val="0"/>
          <w:sz w:val="24"/>
          <w:szCs w:val="24"/>
        </w:rPr>
        <w:t xml:space="preserve">  </w:t>
      </w:r>
      <w:r>
        <w:rPr>
          <w:rFonts w:ascii="Times New Roman" w:eastAsia="宋体" w:hAnsi="Times New Roman" w:cs="Times New Roman"/>
          <w:bCs/>
          <w:color w:val="000000" w:themeColor="text1"/>
          <w:kern w:val="0"/>
          <w:sz w:val="24"/>
          <w:szCs w:val="24"/>
        </w:rPr>
        <w:t>次氯酸钠具有较强氧化性，既可作消毒剂，也可作预氧化剂。</w:t>
      </w:r>
    </w:p>
    <w:p w14:paraId="434EC90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3.1.2  </w:t>
      </w:r>
      <w:r>
        <w:rPr>
          <w:rFonts w:ascii="Times New Roman" w:eastAsia="宋体" w:hAnsi="Times New Roman" w:cs="Times New Roman"/>
          <w:bCs/>
          <w:color w:val="000000" w:themeColor="text1"/>
          <w:kern w:val="0"/>
          <w:sz w:val="24"/>
          <w:szCs w:val="24"/>
        </w:rPr>
        <w:t>使用的商品次氯酸钠溶液和现场制备次氯酸钠发生器应具有省级以上卫生部门颁发涉及饮用水卫生安全产品卫生许可批件。</w:t>
      </w:r>
    </w:p>
    <w:p w14:paraId="4081DEE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3.1.3  </w:t>
      </w:r>
      <w:r>
        <w:rPr>
          <w:rFonts w:ascii="Times New Roman" w:eastAsia="宋体" w:hAnsi="Times New Roman" w:cs="Times New Roman"/>
          <w:bCs/>
          <w:color w:val="000000" w:themeColor="text1"/>
          <w:kern w:val="0"/>
          <w:sz w:val="24"/>
          <w:szCs w:val="24"/>
        </w:rPr>
        <w:t>次氯酸钠发生器应符合《次氯酸钠发生器安全与卫生标准》</w:t>
      </w:r>
      <w:r>
        <w:rPr>
          <w:rFonts w:ascii="Times New Roman" w:eastAsia="宋体" w:hAnsi="Times New Roman" w:cs="Times New Roman"/>
          <w:bCs/>
          <w:color w:val="000000" w:themeColor="text1"/>
          <w:kern w:val="0"/>
          <w:sz w:val="24"/>
          <w:szCs w:val="24"/>
        </w:rPr>
        <w:t>GB 28233</w:t>
      </w:r>
      <w:r>
        <w:rPr>
          <w:rFonts w:ascii="Times New Roman" w:eastAsia="宋体" w:hAnsi="Times New Roman" w:cs="Times New Roman"/>
          <w:bCs/>
          <w:color w:val="000000" w:themeColor="text1"/>
          <w:kern w:val="0"/>
          <w:sz w:val="24"/>
          <w:szCs w:val="24"/>
        </w:rPr>
        <w:t>的有关规定。</w:t>
      </w:r>
    </w:p>
    <w:p w14:paraId="51518FA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3.1.4  </w:t>
      </w:r>
      <w:r>
        <w:rPr>
          <w:rFonts w:ascii="Times New Roman" w:eastAsia="宋体" w:hAnsi="Times New Roman" w:cs="Times New Roman"/>
          <w:bCs/>
          <w:color w:val="000000" w:themeColor="text1"/>
          <w:kern w:val="0"/>
          <w:sz w:val="24"/>
          <w:szCs w:val="24"/>
        </w:rPr>
        <w:t>现场制备次氯酸钠所用的食用盐应符合</w:t>
      </w:r>
      <w:r>
        <w:rPr>
          <w:rFonts w:ascii="Times New Roman" w:eastAsia="宋体" w:hAnsi="Times New Roman" w:cs="Times New Roman"/>
          <w:color w:val="000000" w:themeColor="text1"/>
          <w:kern w:val="0"/>
          <w:sz w:val="24"/>
          <w:szCs w:val="24"/>
        </w:rPr>
        <w:t>现行国家标准</w:t>
      </w:r>
      <w:r>
        <w:rPr>
          <w:rFonts w:ascii="Times New Roman" w:eastAsia="宋体" w:hAnsi="Times New Roman" w:cs="Times New Roman"/>
          <w:bCs/>
          <w:color w:val="000000" w:themeColor="text1"/>
          <w:kern w:val="0"/>
          <w:sz w:val="24"/>
          <w:szCs w:val="24"/>
        </w:rPr>
        <w:t>《食用盐》</w:t>
      </w:r>
      <w:r>
        <w:rPr>
          <w:rFonts w:ascii="Times New Roman" w:eastAsia="宋体" w:hAnsi="Times New Roman" w:cs="Times New Roman"/>
          <w:bCs/>
          <w:color w:val="000000" w:themeColor="text1"/>
          <w:kern w:val="0"/>
          <w:sz w:val="24"/>
          <w:szCs w:val="24"/>
        </w:rPr>
        <w:t>GB5461</w:t>
      </w:r>
      <w:r>
        <w:rPr>
          <w:rFonts w:ascii="Times New Roman" w:eastAsia="宋体" w:hAnsi="Times New Roman" w:cs="Times New Roman"/>
          <w:bCs/>
          <w:color w:val="000000" w:themeColor="text1"/>
          <w:kern w:val="0"/>
          <w:sz w:val="24"/>
          <w:szCs w:val="24"/>
        </w:rPr>
        <w:t>一级或以上标准，且应为无碘盐。严禁使用工业盐。</w:t>
      </w:r>
    </w:p>
    <w:p w14:paraId="4100A89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3.1.5  </w:t>
      </w:r>
      <w:r>
        <w:rPr>
          <w:rFonts w:ascii="Times New Roman" w:eastAsia="宋体" w:hAnsi="Times New Roman" w:cs="Times New Roman"/>
          <w:bCs/>
          <w:color w:val="000000" w:themeColor="text1"/>
          <w:kern w:val="0"/>
          <w:sz w:val="24"/>
          <w:szCs w:val="24"/>
        </w:rPr>
        <w:t>系统中采用的涉水产品应符合</w:t>
      </w:r>
      <w:r>
        <w:rPr>
          <w:rFonts w:ascii="Times New Roman" w:eastAsia="宋体" w:hAnsi="Times New Roman" w:cs="Times New Roman"/>
          <w:color w:val="000000" w:themeColor="text1"/>
          <w:kern w:val="0"/>
          <w:sz w:val="24"/>
          <w:szCs w:val="24"/>
        </w:rPr>
        <w:t>现行国家标准</w:t>
      </w:r>
      <w:r>
        <w:rPr>
          <w:rFonts w:ascii="Times New Roman" w:eastAsia="宋体" w:hAnsi="Times New Roman" w:cs="Times New Roman"/>
          <w:bCs/>
          <w:color w:val="000000" w:themeColor="text1"/>
          <w:kern w:val="0"/>
          <w:sz w:val="24"/>
          <w:szCs w:val="24"/>
        </w:rPr>
        <w:t>《生活饮用水输配水设备及防护材料的安全性评价标准》</w:t>
      </w:r>
      <w:r>
        <w:rPr>
          <w:rFonts w:ascii="Times New Roman" w:eastAsia="宋体" w:hAnsi="Times New Roman" w:cs="Times New Roman"/>
          <w:bCs/>
          <w:color w:val="000000" w:themeColor="text1"/>
          <w:kern w:val="0"/>
          <w:sz w:val="24"/>
          <w:szCs w:val="24"/>
        </w:rPr>
        <w:t>GB/T17219</w:t>
      </w:r>
      <w:r>
        <w:rPr>
          <w:rFonts w:ascii="Times New Roman" w:eastAsia="宋体" w:hAnsi="Times New Roman" w:cs="Times New Roman"/>
          <w:bCs/>
          <w:color w:val="000000" w:themeColor="text1"/>
          <w:kern w:val="0"/>
          <w:sz w:val="24"/>
          <w:szCs w:val="24"/>
        </w:rPr>
        <w:t>的有关规定。</w:t>
      </w:r>
    </w:p>
    <w:p w14:paraId="514FDE0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3.1.6  </w:t>
      </w:r>
      <w:r>
        <w:rPr>
          <w:rFonts w:ascii="Times New Roman" w:eastAsia="宋体" w:hAnsi="Times New Roman" w:cs="Times New Roman"/>
          <w:bCs/>
          <w:color w:val="000000" w:themeColor="text1"/>
          <w:kern w:val="0"/>
          <w:sz w:val="24"/>
          <w:szCs w:val="24"/>
        </w:rPr>
        <w:t>次氯酸钠氯消毒系统应有配套的安全保障措施。</w:t>
      </w:r>
    </w:p>
    <w:p w14:paraId="0004949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3.1.7  </w:t>
      </w:r>
      <w:r>
        <w:rPr>
          <w:rFonts w:ascii="Times New Roman" w:eastAsia="宋体" w:hAnsi="Times New Roman" w:cs="Times New Roman"/>
          <w:bCs/>
          <w:color w:val="000000" w:themeColor="text1"/>
          <w:kern w:val="0"/>
          <w:sz w:val="24"/>
          <w:szCs w:val="24"/>
        </w:rPr>
        <w:t>系统中所有与次氯酸钠溶液接触的设备与器材均应有良好的密封性和耐腐蚀性，所有可能接触到次氯酸钠溶液的建筑结构、构件和墙地面均应作防腐处理。</w:t>
      </w:r>
    </w:p>
    <w:p w14:paraId="4AC568F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3.1.8  </w:t>
      </w:r>
      <w:r>
        <w:rPr>
          <w:rFonts w:ascii="Times New Roman" w:eastAsia="宋体" w:hAnsi="Times New Roman" w:cs="Times New Roman"/>
          <w:bCs/>
          <w:color w:val="000000" w:themeColor="text1"/>
          <w:kern w:val="0"/>
          <w:sz w:val="24"/>
          <w:szCs w:val="24"/>
        </w:rPr>
        <w:t>次氯酸钠溶液不应与还原剂、有机物、易燃物，以及与其他可能发生危险反应的物品共储、共运、共管，不宜共沟。</w:t>
      </w:r>
    </w:p>
    <w:p w14:paraId="12583B67"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5" w:name="_Toc127171740"/>
      <w:r>
        <w:rPr>
          <w:rFonts w:ascii="Times New Roman" w:eastAsia="黑体" w:hAnsi="Times New Roman" w:cs="Times New Roman"/>
          <w:b/>
          <w:bCs/>
          <w:color w:val="000000" w:themeColor="text1"/>
          <w:sz w:val="28"/>
          <w:szCs w:val="32"/>
        </w:rPr>
        <w:t xml:space="preserve">3.2  </w:t>
      </w:r>
      <w:r>
        <w:rPr>
          <w:rFonts w:ascii="Times New Roman" w:eastAsia="黑体" w:hAnsi="Times New Roman" w:cs="Times New Roman"/>
          <w:b/>
          <w:bCs/>
          <w:color w:val="000000" w:themeColor="text1"/>
          <w:sz w:val="28"/>
          <w:szCs w:val="32"/>
        </w:rPr>
        <w:t>工艺选择</w:t>
      </w:r>
      <w:bookmarkEnd w:id="5"/>
    </w:p>
    <w:p w14:paraId="5DEB88D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3.2.1  </w:t>
      </w:r>
      <w:r>
        <w:rPr>
          <w:rFonts w:ascii="Times New Roman" w:eastAsia="宋体" w:hAnsi="Times New Roman" w:cs="Times New Roman"/>
          <w:bCs/>
          <w:color w:val="000000" w:themeColor="text1"/>
          <w:kern w:val="0"/>
          <w:sz w:val="24"/>
          <w:szCs w:val="24"/>
        </w:rPr>
        <w:t>根据不同的原水水质和工艺流程，确定次氯酸钠投加点位置、数量和加注率。</w:t>
      </w:r>
    </w:p>
    <w:p w14:paraId="2FECFF8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3.2.2  </w:t>
      </w:r>
      <w:r>
        <w:rPr>
          <w:rFonts w:ascii="Times New Roman" w:eastAsia="宋体" w:hAnsi="Times New Roman" w:cs="Times New Roman"/>
          <w:bCs/>
          <w:color w:val="000000" w:themeColor="text1"/>
          <w:kern w:val="0"/>
          <w:sz w:val="24"/>
          <w:szCs w:val="24"/>
        </w:rPr>
        <w:t>选用次氯酸钠溶液时，可结合当地运输条件，通过技术经济比较，选用</w:t>
      </w:r>
      <w:r>
        <w:rPr>
          <w:rFonts w:ascii="Times New Roman" w:eastAsia="宋体" w:hAnsi="Times New Roman" w:cs="Times New Roman"/>
          <w:bCs/>
          <w:color w:val="000000" w:themeColor="text1"/>
          <w:kern w:val="0"/>
          <w:sz w:val="24"/>
          <w:szCs w:val="24"/>
        </w:rPr>
        <w:t>A</w:t>
      </w:r>
      <w:r>
        <w:rPr>
          <w:rFonts w:ascii="Times New Roman" w:eastAsia="宋体" w:hAnsi="Times New Roman" w:cs="Times New Roman"/>
          <w:bCs/>
          <w:color w:val="000000" w:themeColor="text1"/>
          <w:kern w:val="0"/>
          <w:sz w:val="24"/>
          <w:szCs w:val="24"/>
        </w:rPr>
        <w:t>型商品次氯酸钠（</w:t>
      </w:r>
      <w:r>
        <w:rPr>
          <w:rFonts w:ascii="Times New Roman" w:eastAsia="宋体" w:hAnsi="Times New Roman" w:cs="Times New Roman"/>
          <w:bCs/>
          <w:color w:val="000000" w:themeColor="text1"/>
          <w:kern w:val="0"/>
          <w:sz w:val="24"/>
          <w:szCs w:val="24"/>
        </w:rPr>
        <w:t>I</w:t>
      </w:r>
      <w:r>
        <w:rPr>
          <w:rFonts w:ascii="Times New Roman" w:eastAsia="宋体" w:hAnsi="Times New Roman" w:cs="Times New Roman"/>
          <w:bCs/>
          <w:color w:val="000000" w:themeColor="text1"/>
          <w:kern w:val="0"/>
          <w:sz w:val="24"/>
          <w:szCs w:val="24"/>
        </w:rPr>
        <w:t>级）或由次氯酸钠发生器电解食盐水现场制取。</w:t>
      </w:r>
    </w:p>
    <w:p w14:paraId="32131DE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3.2.3  </w:t>
      </w:r>
      <w:r>
        <w:rPr>
          <w:rFonts w:ascii="Times New Roman" w:eastAsia="宋体" w:hAnsi="Times New Roman" w:cs="Times New Roman"/>
          <w:bCs/>
          <w:color w:val="000000" w:themeColor="text1"/>
          <w:kern w:val="0"/>
          <w:sz w:val="24"/>
          <w:szCs w:val="24"/>
        </w:rPr>
        <w:t>次氯酸钠投加方式，可根据实际情况，结合水厂规模经济技术比较，选择采用计量泵投加或调流阀投加。</w:t>
      </w:r>
    </w:p>
    <w:p w14:paraId="226F148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3.2.4  </w:t>
      </w:r>
      <w:r>
        <w:rPr>
          <w:rFonts w:ascii="Times New Roman" w:eastAsia="宋体" w:hAnsi="Times New Roman" w:cs="Times New Roman"/>
          <w:bCs/>
          <w:color w:val="000000" w:themeColor="text1"/>
          <w:kern w:val="0"/>
          <w:sz w:val="24"/>
          <w:szCs w:val="24"/>
        </w:rPr>
        <w:t>次氯酸钠消毒系统宜采用全自动控制模式。在设定次氯酸钠投加率后，可按流量比例自动投加，亦可辅以余氯反馈。</w:t>
      </w:r>
    </w:p>
    <w:p w14:paraId="1A73C20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3.2.5  </w:t>
      </w:r>
      <w:r>
        <w:rPr>
          <w:rFonts w:ascii="Times New Roman" w:eastAsia="宋体" w:hAnsi="Times New Roman" w:cs="Times New Roman"/>
          <w:bCs/>
          <w:color w:val="000000" w:themeColor="text1"/>
          <w:kern w:val="0"/>
          <w:sz w:val="24"/>
          <w:szCs w:val="24"/>
        </w:rPr>
        <w:t>次氯酸钠消毒系统中设备能力应能适应水质、水量变化，并能在设计变化范围内精确控制剂量。设备应设置备用量。</w:t>
      </w:r>
    </w:p>
    <w:p w14:paraId="65E69254" w14:textId="77777777" w:rsidR="00E269CD" w:rsidRDefault="00E13E3E">
      <w:pPr>
        <w:keepNext/>
        <w:keepLines/>
        <w:spacing w:line="360" w:lineRule="auto"/>
        <w:jc w:val="center"/>
        <w:outlineLvl w:val="0"/>
        <w:rPr>
          <w:rFonts w:ascii="Times New Roman" w:hAnsi="Times New Roman" w:cs="Times New Roman"/>
          <w:b/>
          <w:bCs/>
          <w:color w:val="000000" w:themeColor="text1"/>
          <w:kern w:val="44"/>
          <w:sz w:val="30"/>
          <w:szCs w:val="44"/>
        </w:rPr>
      </w:pPr>
      <w:bookmarkStart w:id="6" w:name="_Toc127171741"/>
      <w:r>
        <w:rPr>
          <w:rFonts w:ascii="Times New Roman" w:hAnsi="Times New Roman" w:cs="Times New Roman"/>
          <w:b/>
          <w:bCs/>
          <w:color w:val="000000" w:themeColor="text1"/>
          <w:kern w:val="44"/>
          <w:sz w:val="30"/>
          <w:szCs w:val="44"/>
        </w:rPr>
        <w:lastRenderedPageBreak/>
        <w:t xml:space="preserve">4  </w:t>
      </w:r>
      <w:r>
        <w:rPr>
          <w:rFonts w:ascii="Times New Roman" w:hAnsi="Times New Roman" w:cs="Times New Roman"/>
          <w:b/>
          <w:bCs/>
          <w:color w:val="000000" w:themeColor="text1"/>
          <w:kern w:val="44"/>
          <w:sz w:val="30"/>
          <w:szCs w:val="44"/>
        </w:rPr>
        <w:t>商品次氯酸钠消毒系统</w:t>
      </w:r>
      <w:bookmarkEnd w:id="6"/>
    </w:p>
    <w:p w14:paraId="598884EB"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7" w:name="_Toc127171742"/>
      <w:r>
        <w:rPr>
          <w:rFonts w:ascii="Times New Roman" w:eastAsia="黑体" w:hAnsi="Times New Roman" w:cs="Times New Roman"/>
          <w:b/>
          <w:bCs/>
          <w:color w:val="000000" w:themeColor="text1"/>
          <w:sz w:val="28"/>
          <w:szCs w:val="32"/>
        </w:rPr>
        <w:t xml:space="preserve">4.1  </w:t>
      </w:r>
      <w:r>
        <w:rPr>
          <w:rFonts w:ascii="Times New Roman" w:eastAsia="黑体" w:hAnsi="Times New Roman" w:cs="Times New Roman"/>
          <w:b/>
          <w:bCs/>
          <w:color w:val="000000" w:themeColor="text1"/>
          <w:sz w:val="28"/>
          <w:szCs w:val="32"/>
        </w:rPr>
        <w:t>基本</w:t>
      </w:r>
      <w:r>
        <w:rPr>
          <w:rFonts w:ascii="Times New Roman" w:eastAsia="黑体" w:hAnsi="Times New Roman" w:cs="Times New Roman"/>
          <w:b/>
          <w:bCs/>
          <w:color w:val="000000" w:themeColor="text1"/>
          <w:sz w:val="28"/>
          <w:szCs w:val="32"/>
        </w:rPr>
        <w:t>组成与形式</w:t>
      </w:r>
      <w:bookmarkEnd w:id="7"/>
    </w:p>
    <w:p w14:paraId="6560147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4.1.1  </w:t>
      </w:r>
      <w:r>
        <w:rPr>
          <w:rFonts w:ascii="Times New Roman" w:eastAsia="宋体" w:hAnsi="Times New Roman" w:cs="Times New Roman"/>
          <w:bCs/>
          <w:color w:val="000000" w:themeColor="text1"/>
          <w:kern w:val="0"/>
          <w:sz w:val="24"/>
          <w:szCs w:val="24"/>
        </w:rPr>
        <w:t>商品次氯酸钠消毒系统的设计包括次氯酸钠原液进料、储存、投加。</w:t>
      </w:r>
    </w:p>
    <w:p w14:paraId="31FF1FE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4.1.2  </w:t>
      </w:r>
      <w:r>
        <w:rPr>
          <w:rFonts w:ascii="Times New Roman" w:eastAsia="宋体" w:hAnsi="Times New Roman" w:cs="Times New Roman"/>
          <w:bCs/>
          <w:color w:val="000000" w:themeColor="text1"/>
          <w:kern w:val="0"/>
          <w:sz w:val="24"/>
          <w:szCs w:val="24"/>
        </w:rPr>
        <w:t>商品次氯酸钠消毒系统的设计应有相应有效的安全设施。</w:t>
      </w:r>
    </w:p>
    <w:p w14:paraId="2377E3F8"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8" w:name="_Toc127171743"/>
      <w:r>
        <w:rPr>
          <w:rFonts w:ascii="Times New Roman" w:eastAsia="黑体" w:hAnsi="Times New Roman" w:cs="Times New Roman"/>
          <w:b/>
          <w:bCs/>
          <w:color w:val="000000" w:themeColor="text1"/>
          <w:sz w:val="28"/>
          <w:szCs w:val="32"/>
        </w:rPr>
        <w:t xml:space="preserve">4.2  </w:t>
      </w:r>
      <w:r>
        <w:rPr>
          <w:rFonts w:ascii="Times New Roman" w:eastAsia="黑体" w:hAnsi="Times New Roman" w:cs="Times New Roman"/>
          <w:b/>
          <w:bCs/>
          <w:color w:val="000000" w:themeColor="text1"/>
          <w:sz w:val="28"/>
          <w:szCs w:val="32"/>
        </w:rPr>
        <w:t>进料</w:t>
      </w:r>
      <w:bookmarkEnd w:id="8"/>
    </w:p>
    <w:p w14:paraId="49716F0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4.2.1  </w:t>
      </w:r>
      <w:r>
        <w:rPr>
          <w:rFonts w:ascii="Times New Roman" w:eastAsia="宋体" w:hAnsi="Times New Roman" w:cs="Times New Roman"/>
          <w:bCs/>
          <w:color w:val="000000" w:themeColor="text1"/>
          <w:kern w:val="0"/>
          <w:sz w:val="24"/>
          <w:szCs w:val="24"/>
        </w:rPr>
        <w:t>进料方式可根据实际条件，选用重力直接进料或经泵提升进料。</w:t>
      </w:r>
    </w:p>
    <w:p w14:paraId="1FBCE91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4.2.2  </w:t>
      </w:r>
      <w:r>
        <w:rPr>
          <w:rFonts w:ascii="Times New Roman" w:eastAsia="宋体" w:hAnsi="Times New Roman" w:cs="Times New Roman"/>
          <w:bCs/>
          <w:color w:val="000000" w:themeColor="text1"/>
          <w:kern w:val="0"/>
          <w:sz w:val="24"/>
          <w:szCs w:val="24"/>
        </w:rPr>
        <w:t>次氯酸钠溶液进料口应独立设置，和其他药液进料口距离不宜小于</w:t>
      </w:r>
      <w:r>
        <w:rPr>
          <w:rFonts w:ascii="Times New Roman" w:eastAsia="宋体" w:hAnsi="Times New Roman" w:cs="Times New Roman"/>
          <w:bCs/>
          <w:color w:val="000000" w:themeColor="text1"/>
          <w:kern w:val="0"/>
          <w:sz w:val="24"/>
          <w:szCs w:val="24"/>
        </w:rPr>
        <w:t>10m</w:t>
      </w:r>
      <w:r>
        <w:rPr>
          <w:rFonts w:ascii="Times New Roman" w:eastAsia="宋体" w:hAnsi="Times New Roman" w:cs="Times New Roman"/>
          <w:bCs/>
          <w:color w:val="000000" w:themeColor="text1"/>
          <w:kern w:val="0"/>
          <w:sz w:val="24"/>
          <w:szCs w:val="24"/>
        </w:rPr>
        <w:t>。</w:t>
      </w:r>
    </w:p>
    <w:p w14:paraId="2D45C0E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4.2.3  </w:t>
      </w:r>
      <w:r>
        <w:rPr>
          <w:rFonts w:ascii="Times New Roman" w:eastAsia="宋体" w:hAnsi="Times New Roman" w:cs="Times New Roman"/>
          <w:bCs/>
          <w:color w:val="000000" w:themeColor="text1"/>
          <w:kern w:val="0"/>
          <w:sz w:val="24"/>
          <w:szCs w:val="24"/>
        </w:rPr>
        <w:t>进料口应加盖，并设双锁保护，宜配置具有声光报警功能的开锁装置。</w:t>
      </w:r>
    </w:p>
    <w:p w14:paraId="68068A0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4.2.4  </w:t>
      </w:r>
      <w:r>
        <w:rPr>
          <w:rFonts w:ascii="Times New Roman" w:eastAsia="宋体" w:hAnsi="Times New Roman" w:cs="Times New Roman"/>
          <w:bCs/>
          <w:color w:val="000000" w:themeColor="text1"/>
          <w:kern w:val="0"/>
          <w:sz w:val="24"/>
          <w:szCs w:val="24"/>
        </w:rPr>
        <w:t>进料口周围宜设防流散设施，其容积宜不小于</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辆槽车容积，防流散设施中的残液应统一收集、处置。</w:t>
      </w:r>
    </w:p>
    <w:p w14:paraId="5DEA112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4.</w:t>
      </w:r>
      <w:r>
        <w:rPr>
          <w:rFonts w:ascii="Times New Roman" w:eastAsia="宋体" w:hAnsi="Times New Roman" w:cs="Times New Roman"/>
          <w:bCs/>
          <w:color w:val="000000" w:themeColor="text1"/>
          <w:kern w:val="0"/>
          <w:sz w:val="24"/>
          <w:szCs w:val="24"/>
        </w:rPr>
        <w:t xml:space="preserve">2.5  </w:t>
      </w:r>
      <w:r>
        <w:rPr>
          <w:rFonts w:ascii="Times New Roman" w:eastAsia="宋体" w:hAnsi="Times New Roman" w:cs="Times New Roman"/>
          <w:bCs/>
          <w:color w:val="000000" w:themeColor="text1"/>
          <w:kern w:val="0"/>
          <w:sz w:val="24"/>
          <w:szCs w:val="24"/>
        </w:rPr>
        <w:t>进料口应设置标志标识，标明药剂名称及浓度警示标志。</w:t>
      </w:r>
    </w:p>
    <w:p w14:paraId="77A0BA24"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9" w:name="_Toc127171744"/>
      <w:r>
        <w:rPr>
          <w:rFonts w:ascii="Times New Roman" w:eastAsia="黑体" w:hAnsi="Times New Roman" w:cs="Times New Roman"/>
          <w:b/>
          <w:bCs/>
          <w:color w:val="000000" w:themeColor="text1"/>
          <w:sz w:val="28"/>
          <w:szCs w:val="32"/>
        </w:rPr>
        <w:t xml:space="preserve">4.3  </w:t>
      </w:r>
      <w:r>
        <w:rPr>
          <w:rFonts w:ascii="Times New Roman" w:eastAsia="黑体" w:hAnsi="Times New Roman" w:cs="Times New Roman"/>
          <w:b/>
          <w:bCs/>
          <w:color w:val="000000" w:themeColor="text1"/>
          <w:sz w:val="28"/>
          <w:szCs w:val="32"/>
        </w:rPr>
        <w:t>待检、储存</w:t>
      </w:r>
      <w:bookmarkEnd w:id="9"/>
    </w:p>
    <w:p w14:paraId="6C11E10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4.3.1  </w:t>
      </w:r>
      <w:r>
        <w:rPr>
          <w:rFonts w:ascii="Times New Roman" w:eastAsia="宋体" w:hAnsi="Times New Roman" w:cs="Times New Roman"/>
          <w:bCs/>
          <w:color w:val="000000" w:themeColor="text1"/>
          <w:kern w:val="0"/>
          <w:sz w:val="24"/>
          <w:szCs w:val="24"/>
        </w:rPr>
        <w:t>水厂宜设置待检池。待检池容积不小于</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辆槽车体积。</w:t>
      </w:r>
    </w:p>
    <w:p w14:paraId="04F29D6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4.3.2  </w:t>
      </w:r>
      <w:r>
        <w:rPr>
          <w:rFonts w:ascii="Times New Roman" w:eastAsia="宋体" w:hAnsi="Times New Roman" w:cs="Times New Roman"/>
          <w:bCs/>
          <w:color w:val="000000" w:themeColor="text1"/>
          <w:kern w:val="0"/>
          <w:sz w:val="24"/>
          <w:szCs w:val="24"/>
        </w:rPr>
        <w:t>次氯酸钠溶液应单独密闭储存，不应与其它化学药剂混存、混放。当次氯酸钠和其他药液储存在同一建筑物内时，宜设置独立的储存间。</w:t>
      </w:r>
    </w:p>
    <w:p w14:paraId="6A8CC2B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4.3.3  </w:t>
      </w:r>
      <w:r>
        <w:rPr>
          <w:rFonts w:ascii="Times New Roman" w:eastAsia="宋体" w:hAnsi="Times New Roman" w:cs="Times New Roman"/>
          <w:bCs/>
          <w:color w:val="000000" w:themeColor="text1"/>
          <w:kern w:val="0"/>
          <w:sz w:val="24"/>
          <w:szCs w:val="24"/>
        </w:rPr>
        <w:t>用于存储有效氯大于</w:t>
      </w:r>
      <w:r>
        <w:rPr>
          <w:rFonts w:ascii="Times New Roman" w:eastAsia="宋体" w:hAnsi="Times New Roman" w:cs="Times New Roman"/>
          <w:bCs/>
          <w:color w:val="000000" w:themeColor="text1"/>
          <w:kern w:val="0"/>
          <w:sz w:val="24"/>
          <w:szCs w:val="24"/>
        </w:rPr>
        <w:t>5%</w:t>
      </w:r>
      <w:r>
        <w:rPr>
          <w:rFonts w:ascii="Times New Roman" w:eastAsia="宋体" w:hAnsi="Times New Roman" w:cs="Times New Roman"/>
          <w:bCs/>
          <w:color w:val="000000" w:themeColor="text1"/>
          <w:kern w:val="0"/>
          <w:sz w:val="24"/>
          <w:szCs w:val="24"/>
        </w:rPr>
        <w:t>次氯酸钠溶液的建筑物应符合《建筑结构可靠度设计统一标准》</w:t>
      </w:r>
      <w:r>
        <w:rPr>
          <w:rFonts w:ascii="Times New Roman" w:eastAsia="宋体" w:hAnsi="Times New Roman" w:cs="Times New Roman"/>
          <w:bCs/>
          <w:color w:val="000000" w:themeColor="text1"/>
          <w:kern w:val="0"/>
          <w:sz w:val="24"/>
          <w:szCs w:val="24"/>
        </w:rPr>
        <w:t>GB 50068</w:t>
      </w:r>
      <w:r>
        <w:rPr>
          <w:rFonts w:ascii="Times New Roman" w:eastAsia="宋体" w:hAnsi="Times New Roman" w:cs="Times New Roman"/>
          <w:bCs/>
          <w:color w:val="000000" w:themeColor="text1"/>
          <w:kern w:val="0"/>
          <w:sz w:val="24"/>
          <w:szCs w:val="24"/>
        </w:rPr>
        <w:t>安全等级一级，且不应有地下室。</w:t>
      </w:r>
    </w:p>
    <w:p w14:paraId="3515F77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4.3.4  </w:t>
      </w:r>
      <w:r>
        <w:rPr>
          <w:rFonts w:ascii="Times New Roman" w:eastAsia="宋体" w:hAnsi="Times New Roman" w:cs="Times New Roman"/>
          <w:bCs/>
          <w:color w:val="000000" w:themeColor="text1"/>
          <w:kern w:val="0"/>
          <w:sz w:val="24"/>
          <w:szCs w:val="24"/>
        </w:rPr>
        <w:t>次氯酸钠储存量应满足现行国家标准《室外给水设计标准》</w:t>
      </w:r>
      <w:r>
        <w:rPr>
          <w:rFonts w:ascii="Times New Roman" w:eastAsia="宋体" w:hAnsi="Times New Roman" w:cs="Times New Roman"/>
          <w:bCs/>
          <w:color w:val="000000" w:themeColor="text1"/>
          <w:kern w:val="0"/>
          <w:sz w:val="24"/>
          <w:szCs w:val="24"/>
        </w:rPr>
        <w:t>GB50013</w:t>
      </w:r>
      <w:r>
        <w:rPr>
          <w:rFonts w:ascii="Times New Roman" w:eastAsia="宋体" w:hAnsi="Times New Roman" w:cs="Times New Roman"/>
          <w:bCs/>
          <w:color w:val="000000" w:themeColor="text1"/>
          <w:kern w:val="0"/>
          <w:sz w:val="24"/>
          <w:szCs w:val="24"/>
        </w:rPr>
        <w:t>的有关要求。</w:t>
      </w:r>
    </w:p>
    <w:p w14:paraId="26C2562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4.3.5  </w:t>
      </w:r>
      <w:r>
        <w:rPr>
          <w:rFonts w:ascii="Times New Roman" w:eastAsia="宋体" w:hAnsi="Times New Roman" w:cs="Times New Roman"/>
          <w:bCs/>
          <w:color w:val="000000" w:themeColor="text1"/>
          <w:kern w:val="0"/>
          <w:sz w:val="24"/>
          <w:szCs w:val="24"/>
        </w:rPr>
        <w:t>次氯酸钠溶液可储存在室内或室外。当室外储存采用罐体时，应采用遮阳措施。设置于室内时，应按现行国家标准《室外给水设计标准》</w:t>
      </w:r>
      <w:r>
        <w:rPr>
          <w:rFonts w:ascii="Times New Roman" w:eastAsia="宋体" w:hAnsi="Times New Roman" w:cs="Times New Roman"/>
          <w:bCs/>
          <w:color w:val="000000" w:themeColor="text1"/>
          <w:kern w:val="0"/>
          <w:sz w:val="24"/>
          <w:szCs w:val="24"/>
        </w:rPr>
        <w:t>GB50013</w:t>
      </w:r>
      <w:r>
        <w:rPr>
          <w:rFonts w:ascii="Times New Roman" w:eastAsia="宋体" w:hAnsi="Times New Roman" w:cs="Times New Roman"/>
          <w:bCs/>
          <w:color w:val="000000" w:themeColor="text1"/>
          <w:kern w:val="0"/>
          <w:sz w:val="24"/>
          <w:szCs w:val="24"/>
        </w:rPr>
        <w:t>要求配置机械通风装置。储液罐上宜标注次氯酸钠浓度。</w:t>
      </w:r>
    </w:p>
    <w:p w14:paraId="0871226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4.3.6  </w:t>
      </w:r>
      <w:r>
        <w:rPr>
          <w:rFonts w:ascii="Times New Roman" w:eastAsia="宋体" w:hAnsi="Times New Roman" w:cs="Times New Roman"/>
          <w:bCs/>
          <w:color w:val="000000" w:themeColor="text1"/>
          <w:kern w:val="0"/>
          <w:sz w:val="24"/>
          <w:szCs w:val="24"/>
        </w:rPr>
        <w:t>当采用池体储存时，次氯酸钠储不应和其他溶液储池贴邻布置和共用池壁。在储池周边应有宽度不小于</w:t>
      </w:r>
      <w:r>
        <w:rPr>
          <w:rFonts w:ascii="Times New Roman" w:eastAsia="宋体" w:hAnsi="Times New Roman" w:cs="Times New Roman"/>
          <w:bCs/>
          <w:color w:val="000000" w:themeColor="text1"/>
          <w:kern w:val="0"/>
          <w:sz w:val="24"/>
          <w:szCs w:val="24"/>
        </w:rPr>
        <w:t>1.5m</w:t>
      </w:r>
      <w:r>
        <w:rPr>
          <w:rFonts w:ascii="Times New Roman" w:eastAsia="宋体" w:hAnsi="Times New Roman" w:cs="Times New Roman"/>
          <w:bCs/>
          <w:color w:val="000000" w:themeColor="text1"/>
          <w:kern w:val="0"/>
          <w:sz w:val="24"/>
          <w:szCs w:val="24"/>
        </w:rPr>
        <w:t>的检查通道。</w:t>
      </w:r>
    </w:p>
    <w:p w14:paraId="77411D9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4.3.7  </w:t>
      </w:r>
      <w:r>
        <w:rPr>
          <w:rFonts w:ascii="Times New Roman" w:eastAsia="宋体" w:hAnsi="Times New Roman" w:cs="Times New Roman"/>
          <w:bCs/>
          <w:color w:val="000000" w:themeColor="text1"/>
          <w:kern w:val="0"/>
          <w:sz w:val="24"/>
          <w:szCs w:val="24"/>
        </w:rPr>
        <w:t>次氯酸钠溶液宜采用罐体储存，当采用罐体储存时，罐体底部宜设置独立基础，保证罐体放空。储罐之间宜留有宽度不小于</w:t>
      </w:r>
      <w:r>
        <w:rPr>
          <w:rFonts w:ascii="Times New Roman" w:eastAsia="宋体" w:hAnsi="Times New Roman" w:cs="Times New Roman"/>
          <w:bCs/>
          <w:color w:val="000000" w:themeColor="text1"/>
          <w:kern w:val="0"/>
          <w:sz w:val="24"/>
          <w:szCs w:val="24"/>
        </w:rPr>
        <w:t>0.5m</w:t>
      </w:r>
      <w:r>
        <w:rPr>
          <w:rFonts w:ascii="Times New Roman" w:eastAsia="宋体" w:hAnsi="Times New Roman" w:cs="Times New Roman"/>
          <w:bCs/>
          <w:color w:val="000000" w:themeColor="text1"/>
          <w:kern w:val="0"/>
          <w:sz w:val="24"/>
          <w:szCs w:val="24"/>
        </w:rPr>
        <w:t>的检修通道。</w:t>
      </w:r>
    </w:p>
    <w:p w14:paraId="1818D35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4.3.8  </w:t>
      </w:r>
      <w:r>
        <w:rPr>
          <w:rFonts w:ascii="Times New Roman" w:eastAsia="宋体" w:hAnsi="Times New Roman" w:cs="Times New Roman"/>
          <w:bCs/>
          <w:color w:val="000000" w:themeColor="text1"/>
          <w:kern w:val="0"/>
          <w:sz w:val="24"/>
          <w:szCs w:val="24"/>
        </w:rPr>
        <w:t>储罐区域应设置围堰，围堰应满足以下要求：</w:t>
      </w:r>
    </w:p>
    <w:p w14:paraId="0B7188E8"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）围堰应选用不燃烧材料建造，耐化学品腐蚀，且必须密实、闭合、无泄</w:t>
      </w:r>
      <w:r>
        <w:rPr>
          <w:rFonts w:ascii="Times New Roman" w:eastAsia="宋体" w:hAnsi="Times New Roman" w:cs="Times New Roman"/>
          <w:bCs/>
          <w:color w:val="000000" w:themeColor="text1"/>
          <w:kern w:val="0"/>
          <w:sz w:val="24"/>
          <w:szCs w:val="24"/>
        </w:rPr>
        <w:lastRenderedPageBreak/>
        <w:t>漏；</w:t>
      </w:r>
    </w:p>
    <w:p w14:paraId="1D9DD1E6"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2</w:t>
      </w:r>
      <w:r>
        <w:rPr>
          <w:rFonts w:ascii="Times New Roman" w:eastAsia="宋体" w:hAnsi="Times New Roman" w:cs="Times New Roman"/>
          <w:bCs/>
          <w:color w:val="000000" w:themeColor="text1"/>
          <w:kern w:val="0"/>
          <w:sz w:val="24"/>
          <w:szCs w:val="24"/>
        </w:rPr>
        <w:t>）围堰的有效容积不小于最大的</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个储罐的公称容量；</w:t>
      </w:r>
    </w:p>
    <w:p w14:paraId="4A8A1F13"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3</w:t>
      </w:r>
      <w:r>
        <w:rPr>
          <w:rFonts w:ascii="Times New Roman" w:eastAsia="宋体" w:hAnsi="Times New Roman" w:cs="Times New Roman"/>
          <w:bCs/>
          <w:color w:val="000000" w:themeColor="text1"/>
          <w:kern w:val="0"/>
          <w:sz w:val="24"/>
          <w:szCs w:val="24"/>
        </w:rPr>
        <w:t>）不应与其他溶液共用同一围堰。</w:t>
      </w:r>
    </w:p>
    <w:p w14:paraId="2FD6F06C"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4.3.9  </w:t>
      </w:r>
      <w:r>
        <w:rPr>
          <w:rFonts w:ascii="Times New Roman" w:eastAsia="宋体" w:hAnsi="Times New Roman" w:cs="Times New Roman"/>
          <w:bCs/>
          <w:color w:val="000000" w:themeColor="text1"/>
          <w:kern w:val="0"/>
          <w:sz w:val="24"/>
          <w:szCs w:val="24"/>
        </w:rPr>
        <w:t>罐体泄漏时外溢溶液按本标准</w:t>
      </w:r>
      <w:r>
        <w:rPr>
          <w:rFonts w:ascii="Times New Roman" w:eastAsia="宋体" w:hAnsi="Times New Roman" w:cs="Times New Roman"/>
          <w:bCs/>
          <w:color w:val="000000" w:themeColor="text1"/>
          <w:kern w:val="0"/>
          <w:sz w:val="24"/>
          <w:szCs w:val="24"/>
        </w:rPr>
        <w:t>6.2</w:t>
      </w:r>
      <w:r>
        <w:rPr>
          <w:rFonts w:ascii="Times New Roman" w:eastAsia="宋体" w:hAnsi="Times New Roman" w:cs="Times New Roman"/>
          <w:bCs/>
          <w:color w:val="000000" w:themeColor="text1"/>
          <w:kern w:val="0"/>
          <w:sz w:val="24"/>
          <w:szCs w:val="24"/>
        </w:rPr>
        <w:t>执行。</w:t>
      </w:r>
    </w:p>
    <w:p w14:paraId="63D234E0"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10" w:name="_Toc127171745"/>
      <w:r>
        <w:rPr>
          <w:rFonts w:ascii="Times New Roman" w:eastAsia="黑体" w:hAnsi="Times New Roman" w:cs="Times New Roman"/>
          <w:b/>
          <w:bCs/>
          <w:color w:val="000000" w:themeColor="text1"/>
          <w:sz w:val="28"/>
          <w:szCs w:val="32"/>
        </w:rPr>
        <w:t xml:space="preserve">4.4  </w:t>
      </w:r>
      <w:r>
        <w:rPr>
          <w:rFonts w:ascii="Times New Roman" w:eastAsia="黑体" w:hAnsi="Times New Roman" w:cs="Times New Roman"/>
          <w:b/>
          <w:bCs/>
          <w:color w:val="000000" w:themeColor="text1"/>
          <w:sz w:val="28"/>
          <w:szCs w:val="32"/>
        </w:rPr>
        <w:t>加注</w:t>
      </w:r>
      <w:bookmarkEnd w:id="10"/>
    </w:p>
    <w:p w14:paraId="124366D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4.4.1  </w:t>
      </w:r>
      <w:r>
        <w:rPr>
          <w:rFonts w:ascii="Times New Roman" w:eastAsia="宋体" w:hAnsi="Times New Roman" w:cs="Times New Roman"/>
          <w:bCs/>
          <w:color w:val="000000" w:themeColor="text1"/>
          <w:kern w:val="0"/>
          <w:sz w:val="24"/>
          <w:szCs w:val="24"/>
        </w:rPr>
        <w:t>宜采用独立的加注间。与其他药剂设置在同一房间内时，应设置隔离措施。</w:t>
      </w:r>
    </w:p>
    <w:p w14:paraId="3ECC39E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4.4.2  </w:t>
      </w:r>
      <w:r>
        <w:rPr>
          <w:rFonts w:ascii="Times New Roman" w:eastAsia="宋体" w:hAnsi="Times New Roman" w:cs="Times New Roman"/>
          <w:bCs/>
          <w:color w:val="000000" w:themeColor="text1"/>
          <w:kern w:val="0"/>
          <w:sz w:val="24"/>
          <w:szCs w:val="24"/>
        </w:rPr>
        <w:t>加注泵进口、出口管路上宜设置排气装置，出液管应设有安全阀保护管路安全。</w:t>
      </w:r>
    </w:p>
    <w:p w14:paraId="3BD6A59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4.4.3  </w:t>
      </w:r>
      <w:r>
        <w:rPr>
          <w:rFonts w:ascii="Times New Roman" w:eastAsia="宋体" w:hAnsi="Times New Roman" w:cs="Times New Roman"/>
          <w:bCs/>
          <w:color w:val="000000" w:themeColor="text1"/>
          <w:kern w:val="0"/>
          <w:sz w:val="24"/>
          <w:szCs w:val="24"/>
        </w:rPr>
        <w:t>加注泵进液总管应从储液罐（池）底部引出。</w:t>
      </w:r>
    </w:p>
    <w:p w14:paraId="349C6F8C"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4.4.4  </w:t>
      </w:r>
      <w:r>
        <w:rPr>
          <w:rFonts w:ascii="Times New Roman" w:eastAsia="宋体" w:hAnsi="Times New Roman" w:cs="Times New Roman"/>
          <w:bCs/>
          <w:color w:val="000000" w:themeColor="text1"/>
          <w:kern w:val="0"/>
          <w:sz w:val="24"/>
          <w:szCs w:val="24"/>
        </w:rPr>
        <w:t>加注</w:t>
      </w:r>
      <w:r>
        <w:rPr>
          <w:rFonts w:ascii="Times New Roman" w:eastAsia="宋体" w:hAnsi="Times New Roman" w:cs="Times New Roman"/>
          <w:bCs/>
          <w:color w:val="000000" w:themeColor="text1"/>
          <w:kern w:val="0"/>
          <w:sz w:val="24"/>
          <w:szCs w:val="24"/>
        </w:rPr>
        <w:t>泵进液总管宜设置双母管。厂区内加注管宜设置备用管。</w:t>
      </w:r>
    </w:p>
    <w:p w14:paraId="70701CD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4.4.5  </w:t>
      </w:r>
      <w:r>
        <w:rPr>
          <w:rFonts w:ascii="Times New Roman" w:eastAsia="宋体" w:hAnsi="Times New Roman" w:cs="Times New Roman"/>
          <w:bCs/>
          <w:color w:val="000000" w:themeColor="text1"/>
          <w:kern w:val="0"/>
          <w:sz w:val="24"/>
          <w:szCs w:val="24"/>
        </w:rPr>
        <w:t>加注泵宜采用正水头进水启动。</w:t>
      </w:r>
    </w:p>
    <w:p w14:paraId="180F027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4.4.6  </w:t>
      </w:r>
      <w:r>
        <w:rPr>
          <w:rFonts w:ascii="Times New Roman" w:eastAsia="宋体" w:hAnsi="Times New Roman" w:cs="Times New Roman"/>
          <w:bCs/>
          <w:color w:val="000000" w:themeColor="text1"/>
          <w:kern w:val="0"/>
          <w:sz w:val="24"/>
          <w:szCs w:val="24"/>
        </w:rPr>
        <w:t>加注点投药管端口采用</w:t>
      </w:r>
      <w:r>
        <w:rPr>
          <w:rFonts w:ascii="Times New Roman" w:eastAsia="宋体" w:hAnsi="Times New Roman" w:cs="Times New Roman"/>
          <w:bCs/>
          <w:color w:val="000000" w:themeColor="text1"/>
          <w:kern w:val="0"/>
          <w:sz w:val="24"/>
          <w:szCs w:val="24"/>
        </w:rPr>
        <w:t>60</w:t>
      </w:r>
      <w:r>
        <w:rPr>
          <w:rFonts w:ascii="宋体" w:eastAsia="宋体" w:hAnsi="宋体" w:cs="宋体" w:hint="eastAsia"/>
          <w:bCs/>
          <w:color w:val="000000" w:themeColor="text1"/>
          <w:kern w:val="0"/>
          <w:sz w:val="24"/>
          <w:szCs w:val="24"/>
        </w:rPr>
        <w:t>︒</w:t>
      </w:r>
      <w:r>
        <w:rPr>
          <w:rFonts w:ascii="Times New Roman" w:eastAsia="宋体" w:hAnsi="Times New Roman" w:cs="Times New Roman"/>
          <w:bCs/>
          <w:color w:val="000000" w:themeColor="text1"/>
          <w:kern w:val="0"/>
          <w:sz w:val="24"/>
          <w:szCs w:val="24"/>
        </w:rPr>
        <w:t>坡口，坡口应背水流设置。</w:t>
      </w:r>
    </w:p>
    <w:p w14:paraId="12DDE55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4.4.7  </w:t>
      </w:r>
      <w:r>
        <w:rPr>
          <w:rFonts w:ascii="Times New Roman" w:eastAsia="宋体" w:hAnsi="Times New Roman" w:cs="Times New Roman"/>
          <w:bCs/>
          <w:color w:val="000000" w:themeColor="text1"/>
          <w:kern w:val="0"/>
          <w:sz w:val="24"/>
          <w:szCs w:val="24"/>
        </w:rPr>
        <w:t>当加注泵进水口安装高度高于储液池底标高时，加注泵应具有满足水泵启动的吸高，加注泵进水管起端应设置底阀，泵头设置自动灌水装置。</w:t>
      </w:r>
    </w:p>
    <w:p w14:paraId="65B44C90"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11" w:name="_Toc127171746"/>
      <w:r>
        <w:rPr>
          <w:rFonts w:ascii="Times New Roman" w:eastAsia="黑体" w:hAnsi="Times New Roman" w:cs="Times New Roman"/>
          <w:b/>
          <w:bCs/>
          <w:color w:val="000000" w:themeColor="text1"/>
          <w:sz w:val="28"/>
          <w:szCs w:val="32"/>
        </w:rPr>
        <w:t xml:space="preserve">4.5  </w:t>
      </w:r>
      <w:r>
        <w:rPr>
          <w:rFonts w:ascii="Times New Roman" w:eastAsia="黑体" w:hAnsi="Times New Roman" w:cs="Times New Roman"/>
          <w:b/>
          <w:bCs/>
          <w:color w:val="000000" w:themeColor="text1"/>
          <w:sz w:val="28"/>
          <w:szCs w:val="32"/>
        </w:rPr>
        <w:t>监测和控制</w:t>
      </w:r>
      <w:bookmarkEnd w:id="11"/>
    </w:p>
    <w:p w14:paraId="50EA2A3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4.5.1  </w:t>
      </w:r>
      <w:r>
        <w:rPr>
          <w:rFonts w:ascii="Times New Roman" w:eastAsia="宋体" w:hAnsi="Times New Roman" w:cs="Times New Roman"/>
          <w:bCs/>
          <w:color w:val="000000" w:themeColor="text1"/>
          <w:kern w:val="0"/>
          <w:sz w:val="24"/>
          <w:szCs w:val="24"/>
        </w:rPr>
        <w:t>系统中在线检测仪表配置应符合下列规定：</w:t>
      </w:r>
    </w:p>
    <w:p w14:paraId="4262947D"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）储液池（罐）应配置液位仪，并设有高、低液位报警；</w:t>
      </w:r>
    </w:p>
    <w:p w14:paraId="5AE759B3"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2</w:t>
      </w:r>
      <w:r>
        <w:rPr>
          <w:rFonts w:ascii="Times New Roman" w:eastAsia="宋体" w:hAnsi="Times New Roman" w:cs="Times New Roman"/>
          <w:bCs/>
          <w:color w:val="000000" w:themeColor="text1"/>
          <w:kern w:val="0"/>
          <w:sz w:val="24"/>
          <w:szCs w:val="24"/>
        </w:rPr>
        <w:t>）每个加注点应至少配置</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个流量仪。</w:t>
      </w:r>
    </w:p>
    <w:p w14:paraId="7868FD2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4.5.2  </w:t>
      </w:r>
      <w:r>
        <w:rPr>
          <w:rFonts w:ascii="Times New Roman" w:eastAsia="宋体" w:hAnsi="Times New Roman" w:cs="Times New Roman"/>
          <w:bCs/>
          <w:color w:val="000000" w:themeColor="text1"/>
          <w:kern w:val="0"/>
          <w:sz w:val="24"/>
          <w:szCs w:val="24"/>
        </w:rPr>
        <w:t>系统中与化学药剂或清洗废液接</w:t>
      </w:r>
      <w:r>
        <w:rPr>
          <w:rFonts w:ascii="Times New Roman" w:eastAsia="宋体" w:hAnsi="Times New Roman" w:cs="Times New Roman"/>
          <w:bCs/>
          <w:color w:val="000000" w:themeColor="text1"/>
          <w:kern w:val="0"/>
          <w:sz w:val="24"/>
          <w:szCs w:val="24"/>
        </w:rPr>
        <w:t>触的各种仪表均应满足防腐要求。</w:t>
      </w:r>
    </w:p>
    <w:p w14:paraId="6EC45B7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4.5.3  </w:t>
      </w:r>
      <w:r>
        <w:rPr>
          <w:rFonts w:ascii="Times New Roman" w:eastAsia="宋体" w:hAnsi="Times New Roman" w:cs="Times New Roman"/>
          <w:bCs/>
          <w:color w:val="000000" w:themeColor="text1"/>
          <w:kern w:val="0"/>
          <w:sz w:val="24"/>
          <w:szCs w:val="24"/>
        </w:rPr>
        <w:t>对于加氯设施区域，应设置视频安防监控系统、电子巡查系统等，满足相关安全防范要求。</w:t>
      </w:r>
    </w:p>
    <w:p w14:paraId="7DF5DB23" w14:textId="77777777" w:rsidR="00E269CD" w:rsidRDefault="00E13E3E">
      <w:pPr>
        <w:spacing w:line="360" w:lineRule="auto"/>
        <w:ind w:firstLineChars="118" w:firstLine="283"/>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在进料口、加氯间、室外待检池、储液池、储罐区等处分别设置摄像巡视点。加氯间等出入应设有门禁系统。</w:t>
      </w:r>
    </w:p>
    <w:p w14:paraId="5BE4D81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4.5.4  </w:t>
      </w:r>
      <w:r>
        <w:rPr>
          <w:rFonts w:ascii="Times New Roman" w:eastAsia="宋体" w:hAnsi="Times New Roman" w:cs="Times New Roman"/>
          <w:bCs/>
          <w:color w:val="000000" w:themeColor="text1"/>
          <w:kern w:val="0"/>
          <w:sz w:val="24"/>
          <w:szCs w:val="24"/>
        </w:rPr>
        <w:t>次氯酸钠间通风装置控制宜纳入自控系统。</w:t>
      </w:r>
    </w:p>
    <w:p w14:paraId="75437087" w14:textId="77777777" w:rsidR="00E269CD" w:rsidRDefault="00E13E3E">
      <w:pPr>
        <w:spacing w:line="360" w:lineRule="auto"/>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r>
        <w:rPr>
          <w:rFonts w:ascii="Times New Roman" w:eastAsia="宋体" w:hAnsi="Times New Roman" w:cs="Times New Roman"/>
          <w:bCs/>
          <w:color w:val="000000" w:themeColor="text1"/>
          <w:kern w:val="0"/>
          <w:sz w:val="24"/>
          <w:szCs w:val="24"/>
        </w:rPr>
        <w:t xml:space="preserve">4.5.5  </w:t>
      </w:r>
      <w:r>
        <w:rPr>
          <w:rFonts w:ascii="Times New Roman" w:eastAsia="宋体" w:hAnsi="Times New Roman" w:cs="Times New Roman"/>
          <w:bCs/>
          <w:color w:val="000000" w:themeColor="text1"/>
          <w:kern w:val="0"/>
          <w:sz w:val="24"/>
          <w:szCs w:val="24"/>
        </w:rPr>
        <w:t>电气柜、控制柜不宜与加注设施共处一室，宜设置于独立的配电控制间内。</w:t>
      </w:r>
    </w:p>
    <w:p w14:paraId="3740DA63" w14:textId="77777777" w:rsidR="00E269CD" w:rsidRDefault="00E13E3E">
      <w:pPr>
        <w:keepNext/>
        <w:keepLines/>
        <w:spacing w:line="360" w:lineRule="auto"/>
        <w:jc w:val="center"/>
        <w:outlineLvl w:val="0"/>
        <w:rPr>
          <w:rFonts w:ascii="Times New Roman" w:hAnsi="Times New Roman" w:cs="Times New Roman"/>
          <w:b/>
          <w:bCs/>
          <w:color w:val="000000" w:themeColor="text1"/>
          <w:kern w:val="44"/>
          <w:sz w:val="30"/>
          <w:szCs w:val="44"/>
        </w:rPr>
      </w:pPr>
      <w:bookmarkStart w:id="12" w:name="_Toc127171747"/>
      <w:r>
        <w:rPr>
          <w:rFonts w:ascii="Times New Roman" w:hAnsi="Times New Roman" w:cs="Times New Roman"/>
          <w:b/>
          <w:bCs/>
          <w:color w:val="000000" w:themeColor="text1"/>
          <w:kern w:val="44"/>
          <w:sz w:val="30"/>
          <w:szCs w:val="44"/>
        </w:rPr>
        <w:lastRenderedPageBreak/>
        <w:t xml:space="preserve">5  </w:t>
      </w:r>
      <w:r>
        <w:rPr>
          <w:rFonts w:ascii="Times New Roman" w:hAnsi="Times New Roman" w:cs="Times New Roman"/>
          <w:b/>
          <w:bCs/>
          <w:color w:val="000000" w:themeColor="text1"/>
          <w:kern w:val="44"/>
          <w:sz w:val="30"/>
          <w:szCs w:val="44"/>
        </w:rPr>
        <w:t>次氯酸钠现场制备消毒系统</w:t>
      </w:r>
      <w:bookmarkEnd w:id="12"/>
    </w:p>
    <w:p w14:paraId="4E06DECE"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13" w:name="_Toc127171748"/>
      <w:r>
        <w:rPr>
          <w:rFonts w:ascii="Times New Roman" w:eastAsia="黑体" w:hAnsi="Times New Roman" w:cs="Times New Roman"/>
          <w:b/>
          <w:bCs/>
          <w:color w:val="000000" w:themeColor="text1"/>
          <w:sz w:val="28"/>
          <w:szCs w:val="32"/>
        </w:rPr>
        <w:t xml:space="preserve">5.1  </w:t>
      </w:r>
      <w:r>
        <w:rPr>
          <w:rFonts w:ascii="Times New Roman" w:eastAsia="黑体" w:hAnsi="Times New Roman" w:cs="Times New Roman"/>
          <w:b/>
          <w:bCs/>
          <w:color w:val="000000" w:themeColor="text1"/>
          <w:sz w:val="28"/>
          <w:szCs w:val="32"/>
        </w:rPr>
        <w:t>基本组成与形式</w:t>
      </w:r>
      <w:bookmarkEnd w:id="13"/>
    </w:p>
    <w:p w14:paraId="789E72A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5.1.1  </w:t>
      </w:r>
      <w:r>
        <w:rPr>
          <w:rFonts w:ascii="Times New Roman" w:eastAsia="宋体" w:hAnsi="Times New Roman" w:cs="Times New Roman"/>
          <w:bCs/>
          <w:color w:val="000000" w:themeColor="text1"/>
          <w:kern w:val="0"/>
          <w:sz w:val="24"/>
          <w:szCs w:val="24"/>
        </w:rPr>
        <w:t>次氯酸钠现场</w:t>
      </w:r>
      <w:r>
        <w:rPr>
          <w:rFonts w:ascii="Times New Roman" w:eastAsia="宋体" w:hAnsi="Times New Roman" w:cs="Times New Roman"/>
          <w:bCs/>
          <w:color w:val="000000" w:themeColor="text1"/>
          <w:kern w:val="0"/>
          <w:sz w:val="24"/>
          <w:szCs w:val="24"/>
        </w:rPr>
        <w:t>制备消毒系统的设计包括储盐、溶盐、发生、溶液储存、投加、尾气排放等，次氯酸钠发生系统可采用成套设备，并应有相应有效的安全设施。</w:t>
      </w:r>
    </w:p>
    <w:p w14:paraId="71A261FD"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14" w:name="_Toc127171749"/>
      <w:r>
        <w:rPr>
          <w:rFonts w:ascii="Times New Roman" w:eastAsia="黑体" w:hAnsi="Times New Roman" w:cs="Times New Roman"/>
          <w:b/>
          <w:bCs/>
          <w:color w:val="000000" w:themeColor="text1"/>
          <w:sz w:val="28"/>
          <w:szCs w:val="32"/>
        </w:rPr>
        <w:t xml:space="preserve">5.2  </w:t>
      </w:r>
      <w:r>
        <w:rPr>
          <w:rFonts w:ascii="Times New Roman" w:eastAsia="黑体" w:hAnsi="Times New Roman" w:cs="Times New Roman"/>
          <w:b/>
          <w:bCs/>
          <w:color w:val="000000" w:themeColor="text1"/>
          <w:sz w:val="28"/>
          <w:szCs w:val="32"/>
        </w:rPr>
        <w:t>储盐</w:t>
      </w:r>
      <w:bookmarkEnd w:id="14"/>
    </w:p>
    <w:p w14:paraId="7D960C9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5.2.1  </w:t>
      </w:r>
      <w:r>
        <w:rPr>
          <w:rFonts w:ascii="Times New Roman" w:eastAsia="宋体" w:hAnsi="Times New Roman" w:cs="Times New Roman"/>
          <w:bCs/>
          <w:color w:val="000000" w:themeColor="text1"/>
          <w:kern w:val="0"/>
          <w:sz w:val="24"/>
          <w:szCs w:val="24"/>
        </w:rPr>
        <w:t>考虑当地供应、运输等条件，储盐量宜按平均投加量的</w:t>
      </w:r>
      <w:r>
        <w:rPr>
          <w:rFonts w:ascii="Times New Roman" w:eastAsia="宋体" w:hAnsi="Times New Roman" w:cs="Times New Roman"/>
          <w:bCs/>
          <w:color w:val="000000" w:themeColor="text1"/>
          <w:kern w:val="0"/>
          <w:sz w:val="24"/>
          <w:szCs w:val="24"/>
        </w:rPr>
        <w:t>5~10d</w:t>
      </w:r>
      <w:r>
        <w:rPr>
          <w:rFonts w:ascii="Times New Roman" w:eastAsia="宋体" w:hAnsi="Times New Roman" w:cs="Times New Roman"/>
          <w:bCs/>
          <w:color w:val="000000" w:themeColor="text1"/>
          <w:kern w:val="0"/>
          <w:sz w:val="24"/>
          <w:szCs w:val="24"/>
        </w:rPr>
        <w:t>计算。</w:t>
      </w:r>
    </w:p>
    <w:p w14:paraId="006DC31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5.2.2  </w:t>
      </w:r>
      <w:r>
        <w:rPr>
          <w:rFonts w:ascii="Times New Roman" w:eastAsia="宋体" w:hAnsi="Times New Roman" w:cs="Times New Roman"/>
          <w:bCs/>
          <w:color w:val="000000" w:themeColor="text1"/>
          <w:kern w:val="0"/>
          <w:sz w:val="24"/>
          <w:szCs w:val="24"/>
        </w:rPr>
        <w:t>食盐应存放于专用清洁区域，设置于制备设备附近。宜设置独立的盐库。</w:t>
      </w:r>
    </w:p>
    <w:p w14:paraId="0DE11E4C"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5.2.3  </w:t>
      </w:r>
      <w:r>
        <w:rPr>
          <w:rFonts w:ascii="Times New Roman" w:eastAsia="宋体" w:hAnsi="Times New Roman" w:cs="Times New Roman"/>
          <w:bCs/>
          <w:color w:val="000000" w:themeColor="text1"/>
          <w:kern w:val="0"/>
          <w:sz w:val="24"/>
          <w:szCs w:val="24"/>
        </w:rPr>
        <w:t>计算储盐储存区域面积时，堆放高度宜按</w:t>
      </w:r>
      <w:r>
        <w:rPr>
          <w:rFonts w:ascii="Times New Roman" w:eastAsia="宋体" w:hAnsi="Times New Roman" w:cs="Times New Roman"/>
          <w:bCs/>
          <w:color w:val="000000" w:themeColor="text1"/>
          <w:kern w:val="0"/>
          <w:sz w:val="24"/>
          <w:szCs w:val="24"/>
        </w:rPr>
        <w:t>1.5</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2.0m</w:t>
      </w:r>
      <w:r>
        <w:rPr>
          <w:rFonts w:ascii="Times New Roman" w:eastAsia="宋体" w:hAnsi="Times New Roman" w:cs="Times New Roman"/>
          <w:bCs/>
          <w:color w:val="000000" w:themeColor="text1"/>
          <w:kern w:val="0"/>
          <w:sz w:val="24"/>
          <w:szCs w:val="24"/>
        </w:rPr>
        <w:t>计。</w:t>
      </w:r>
    </w:p>
    <w:p w14:paraId="1054092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5.2.4  </w:t>
      </w:r>
      <w:r>
        <w:rPr>
          <w:rFonts w:ascii="Times New Roman" w:eastAsia="宋体" w:hAnsi="Times New Roman" w:cs="Times New Roman"/>
          <w:bCs/>
          <w:color w:val="000000" w:themeColor="text1"/>
          <w:kern w:val="0"/>
          <w:sz w:val="24"/>
          <w:szCs w:val="24"/>
        </w:rPr>
        <w:t>所用食盐应以袋装或其他形式密封存放；盐库应做好防雨、防潮、防洪，室内地坪标高至少高于厂站设计地坪标高</w:t>
      </w:r>
      <w:r>
        <w:rPr>
          <w:rFonts w:ascii="Times New Roman" w:eastAsia="宋体" w:hAnsi="Times New Roman" w:cs="Times New Roman"/>
          <w:bCs/>
          <w:color w:val="000000" w:themeColor="text1"/>
          <w:kern w:val="0"/>
          <w:sz w:val="24"/>
          <w:szCs w:val="24"/>
        </w:rPr>
        <w:t>0.45m</w:t>
      </w:r>
      <w:r>
        <w:rPr>
          <w:rFonts w:ascii="Times New Roman" w:eastAsia="宋体" w:hAnsi="Times New Roman" w:cs="Times New Roman"/>
          <w:bCs/>
          <w:color w:val="000000" w:themeColor="text1"/>
          <w:kern w:val="0"/>
          <w:sz w:val="24"/>
          <w:szCs w:val="24"/>
        </w:rPr>
        <w:t>。</w:t>
      </w:r>
    </w:p>
    <w:p w14:paraId="02EFDD5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5.2.</w:t>
      </w:r>
      <w:r>
        <w:rPr>
          <w:rFonts w:ascii="Times New Roman" w:eastAsia="宋体" w:hAnsi="Times New Roman" w:cs="Times New Roman"/>
          <w:bCs/>
          <w:color w:val="000000" w:themeColor="text1"/>
          <w:kern w:val="0"/>
          <w:sz w:val="24"/>
          <w:szCs w:val="24"/>
        </w:rPr>
        <w:t xml:space="preserve">5  </w:t>
      </w:r>
      <w:r>
        <w:rPr>
          <w:rFonts w:ascii="Times New Roman" w:eastAsia="宋体" w:hAnsi="Times New Roman" w:cs="Times New Roman"/>
          <w:bCs/>
          <w:color w:val="000000" w:themeColor="text1"/>
          <w:kern w:val="0"/>
          <w:sz w:val="24"/>
          <w:szCs w:val="24"/>
        </w:rPr>
        <w:t>储盐区域应便于运输车辆停靠和进料，并配有搬运设施。</w:t>
      </w:r>
    </w:p>
    <w:p w14:paraId="470B55B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5.2.6  </w:t>
      </w:r>
      <w:r>
        <w:rPr>
          <w:rFonts w:ascii="Times New Roman" w:eastAsia="宋体" w:hAnsi="Times New Roman" w:cs="Times New Roman"/>
          <w:bCs/>
          <w:color w:val="000000" w:themeColor="text1"/>
          <w:kern w:val="0"/>
          <w:sz w:val="24"/>
          <w:szCs w:val="24"/>
        </w:rPr>
        <w:t>食用盐储存间内的起重设备、电气设备、门窗等均应采取耐高盐度的防腐措施。</w:t>
      </w:r>
    </w:p>
    <w:p w14:paraId="18E34BE6"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15" w:name="_Toc127171750"/>
      <w:r>
        <w:rPr>
          <w:rFonts w:ascii="Times New Roman" w:eastAsia="黑体" w:hAnsi="Times New Roman" w:cs="Times New Roman"/>
          <w:b/>
          <w:bCs/>
          <w:color w:val="000000" w:themeColor="text1"/>
          <w:sz w:val="28"/>
          <w:szCs w:val="32"/>
        </w:rPr>
        <w:t xml:space="preserve">5.3  </w:t>
      </w:r>
      <w:r>
        <w:rPr>
          <w:rFonts w:ascii="Times New Roman" w:eastAsia="黑体" w:hAnsi="Times New Roman" w:cs="Times New Roman"/>
          <w:b/>
          <w:bCs/>
          <w:color w:val="000000" w:themeColor="text1"/>
          <w:sz w:val="28"/>
          <w:szCs w:val="32"/>
        </w:rPr>
        <w:t>溶盐</w:t>
      </w:r>
      <w:bookmarkEnd w:id="15"/>
    </w:p>
    <w:p w14:paraId="62E3682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5.3.1  </w:t>
      </w:r>
      <w:r>
        <w:rPr>
          <w:rFonts w:ascii="Times New Roman" w:eastAsia="宋体" w:hAnsi="Times New Roman" w:cs="Times New Roman"/>
          <w:bCs/>
          <w:color w:val="000000" w:themeColor="text1"/>
          <w:kern w:val="0"/>
          <w:sz w:val="24"/>
          <w:szCs w:val="24"/>
        </w:rPr>
        <w:t>溶盐用水应为经过软化的自来水。软化水可采用钠离子交换软水器现场制备获取。软水硬度不大于</w:t>
      </w:r>
      <w:r>
        <w:rPr>
          <w:rFonts w:ascii="Times New Roman" w:eastAsia="宋体" w:hAnsi="Times New Roman" w:cs="Times New Roman"/>
          <w:bCs/>
          <w:color w:val="000000" w:themeColor="text1"/>
          <w:kern w:val="0"/>
          <w:sz w:val="24"/>
          <w:szCs w:val="24"/>
        </w:rPr>
        <w:t>20mg/L CaCO</w:t>
      </w:r>
      <w:r>
        <w:rPr>
          <w:rFonts w:ascii="Times New Roman" w:eastAsia="宋体" w:hAnsi="Times New Roman" w:cs="Times New Roman"/>
          <w:bCs/>
          <w:color w:val="000000" w:themeColor="text1"/>
          <w:kern w:val="0"/>
          <w:sz w:val="24"/>
          <w:szCs w:val="24"/>
          <w:vertAlign w:val="subscript"/>
        </w:rPr>
        <w:t>3</w:t>
      </w:r>
      <w:r>
        <w:rPr>
          <w:rFonts w:ascii="Times New Roman" w:eastAsia="宋体" w:hAnsi="Times New Roman" w:cs="Times New Roman"/>
          <w:bCs/>
          <w:color w:val="000000" w:themeColor="text1"/>
          <w:kern w:val="0"/>
          <w:sz w:val="24"/>
          <w:szCs w:val="24"/>
        </w:rPr>
        <w:t>。</w:t>
      </w:r>
    </w:p>
    <w:p w14:paraId="491FA9D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5.3.2  </w:t>
      </w:r>
      <w:r>
        <w:rPr>
          <w:rFonts w:ascii="Times New Roman" w:eastAsia="宋体" w:hAnsi="Times New Roman" w:cs="Times New Roman"/>
          <w:bCs/>
          <w:color w:val="000000" w:themeColor="text1"/>
          <w:kern w:val="0"/>
          <w:sz w:val="24"/>
          <w:szCs w:val="24"/>
        </w:rPr>
        <w:t>溶盐装置能力应满足最大投加量要求，并宜有</w:t>
      </w:r>
      <w:r>
        <w:rPr>
          <w:rFonts w:ascii="Times New Roman" w:eastAsia="宋体" w:hAnsi="Times New Roman" w:cs="Times New Roman"/>
          <w:bCs/>
          <w:color w:val="000000" w:themeColor="text1"/>
          <w:kern w:val="0"/>
          <w:sz w:val="24"/>
          <w:szCs w:val="24"/>
        </w:rPr>
        <w:t>20~30%</w:t>
      </w:r>
      <w:r>
        <w:rPr>
          <w:rFonts w:ascii="Times New Roman" w:eastAsia="宋体" w:hAnsi="Times New Roman" w:cs="Times New Roman"/>
          <w:bCs/>
          <w:color w:val="000000" w:themeColor="text1"/>
          <w:kern w:val="0"/>
          <w:sz w:val="24"/>
          <w:szCs w:val="24"/>
        </w:rPr>
        <w:t>的富裕能力；容积应满足一次投加食盐连续使用的设计天数要求。装置宜设置</w:t>
      </w:r>
      <w:r>
        <w:rPr>
          <w:rFonts w:ascii="Times New Roman" w:eastAsia="宋体" w:hAnsi="Times New Roman" w:cs="Times New Roman"/>
          <w:bCs/>
          <w:color w:val="000000" w:themeColor="text1"/>
          <w:kern w:val="0"/>
          <w:sz w:val="24"/>
          <w:szCs w:val="24"/>
        </w:rPr>
        <w:t>2</w:t>
      </w:r>
      <w:r>
        <w:rPr>
          <w:rFonts w:ascii="Times New Roman" w:eastAsia="宋体" w:hAnsi="Times New Roman" w:cs="Times New Roman"/>
          <w:bCs/>
          <w:color w:val="000000" w:themeColor="text1"/>
          <w:kern w:val="0"/>
          <w:sz w:val="24"/>
          <w:szCs w:val="24"/>
        </w:rPr>
        <w:t>套及以上，可互为备用。</w:t>
      </w:r>
    </w:p>
    <w:p w14:paraId="5EC25DE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5.3.3  </w:t>
      </w:r>
      <w:r>
        <w:rPr>
          <w:rFonts w:ascii="Times New Roman" w:eastAsia="宋体" w:hAnsi="Times New Roman" w:cs="Times New Roman"/>
          <w:bCs/>
          <w:color w:val="000000" w:themeColor="text1"/>
          <w:kern w:val="0"/>
          <w:sz w:val="24"/>
          <w:szCs w:val="24"/>
        </w:rPr>
        <w:t>溶盐可采用溶盐罐或溶盐池。有效氯发生量为</w:t>
      </w:r>
      <w:r>
        <w:rPr>
          <w:rFonts w:ascii="Times New Roman" w:eastAsia="宋体" w:hAnsi="Times New Roman" w:cs="Times New Roman"/>
          <w:bCs/>
          <w:color w:val="000000" w:themeColor="text1"/>
          <w:kern w:val="0"/>
          <w:sz w:val="24"/>
          <w:szCs w:val="24"/>
        </w:rPr>
        <w:t>10kg/</w:t>
      </w:r>
      <w:r>
        <w:rPr>
          <w:rFonts w:ascii="Times New Roman" w:eastAsia="宋体" w:hAnsi="Times New Roman" w:cs="Times New Roman"/>
          <w:bCs/>
          <w:color w:val="000000" w:themeColor="text1"/>
          <w:kern w:val="0"/>
          <w:sz w:val="24"/>
          <w:szCs w:val="24"/>
        </w:rPr>
        <w:t>h</w:t>
      </w:r>
      <w:r>
        <w:rPr>
          <w:rFonts w:ascii="Times New Roman" w:eastAsia="宋体" w:hAnsi="Times New Roman" w:cs="Times New Roman"/>
          <w:bCs/>
          <w:color w:val="000000" w:themeColor="text1"/>
          <w:kern w:val="0"/>
          <w:sz w:val="24"/>
          <w:szCs w:val="24"/>
        </w:rPr>
        <w:t>及以上的次氯酸钠发生器宜设置溶盐池。</w:t>
      </w:r>
    </w:p>
    <w:p w14:paraId="6198B8A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5.3.4  </w:t>
      </w:r>
      <w:r>
        <w:rPr>
          <w:rFonts w:ascii="Times New Roman" w:eastAsia="宋体" w:hAnsi="Times New Roman" w:cs="Times New Roman"/>
          <w:bCs/>
          <w:color w:val="000000" w:themeColor="text1"/>
          <w:kern w:val="0"/>
          <w:sz w:val="24"/>
          <w:szCs w:val="24"/>
        </w:rPr>
        <w:t>溶盐罐宜由次氯酸钠发生器厂家配套，材质应为耐腐蚀轻质材料。溶盐池采用钢筋混凝土结构时，内壁应采取防腐和防渗处理。</w:t>
      </w:r>
    </w:p>
    <w:p w14:paraId="3AF20F0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5.3.5  </w:t>
      </w:r>
      <w:r>
        <w:rPr>
          <w:rFonts w:ascii="Times New Roman" w:eastAsia="宋体" w:hAnsi="Times New Roman" w:cs="Times New Roman"/>
          <w:bCs/>
          <w:color w:val="000000" w:themeColor="text1"/>
          <w:kern w:val="0"/>
          <w:sz w:val="24"/>
          <w:szCs w:val="24"/>
        </w:rPr>
        <w:t>在溶盐罐或溶盐池进盐宜采用电动起吊装置、破包机或自动上料机等设施。若直接接触食盐，应采用高等级不锈钢、玻璃钢等防腐蚀材质。</w:t>
      </w:r>
    </w:p>
    <w:p w14:paraId="733675B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5.3.6  </w:t>
      </w:r>
      <w:r>
        <w:rPr>
          <w:rFonts w:ascii="Times New Roman" w:eastAsia="宋体" w:hAnsi="Times New Roman" w:cs="Times New Roman"/>
          <w:bCs/>
          <w:color w:val="000000" w:themeColor="text1"/>
          <w:kern w:val="0"/>
          <w:sz w:val="24"/>
          <w:szCs w:val="24"/>
        </w:rPr>
        <w:t>溶盐罐（池）的进水管设置应有利于溶解，避免产生短流，且应保持溶盐罐（池）内液位在恒定范围内。</w:t>
      </w:r>
    </w:p>
    <w:p w14:paraId="0B501F2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lastRenderedPageBreak/>
        <w:t xml:space="preserve">5.3.7  </w:t>
      </w:r>
      <w:r>
        <w:rPr>
          <w:rFonts w:ascii="Times New Roman" w:eastAsia="宋体" w:hAnsi="Times New Roman" w:cs="Times New Roman"/>
          <w:bCs/>
          <w:color w:val="000000" w:themeColor="text1"/>
          <w:kern w:val="0"/>
          <w:sz w:val="24"/>
          <w:szCs w:val="24"/>
        </w:rPr>
        <w:t>溶盐罐（池）底部应铺设过滤层，且应将出水管路设于过滤层下方。</w:t>
      </w:r>
    </w:p>
    <w:p w14:paraId="1BC874F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5.3.8  </w:t>
      </w:r>
      <w:r>
        <w:rPr>
          <w:rFonts w:ascii="Times New Roman" w:eastAsia="宋体" w:hAnsi="Times New Roman" w:cs="Times New Roman"/>
          <w:bCs/>
          <w:color w:val="000000" w:themeColor="text1"/>
          <w:kern w:val="0"/>
          <w:sz w:val="24"/>
          <w:szCs w:val="24"/>
        </w:rPr>
        <w:t>溶盐池顶</w:t>
      </w:r>
      <w:r>
        <w:rPr>
          <w:rFonts w:ascii="Times New Roman" w:eastAsia="宋体" w:hAnsi="Times New Roman" w:cs="Times New Roman"/>
          <w:bCs/>
          <w:color w:val="000000" w:themeColor="text1"/>
          <w:kern w:val="0"/>
          <w:sz w:val="24"/>
          <w:szCs w:val="24"/>
        </w:rPr>
        <w:t>部应设置盖板。</w:t>
      </w:r>
    </w:p>
    <w:p w14:paraId="743CC28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5.3.9  </w:t>
      </w:r>
      <w:r>
        <w:rPr>
          <w:rFonts w:ascii="Times New Roman" w:eastAsia="宋体" w:hAnsi="Times New Roman" w:cs="Times New Roman"/>
          <w:bCs/>
          <w:color w:val="000000" w:themeColor="text1"/>
          <w:kern w:val="0"/>
          <w:sz w:val="24"/>
          <w:szCs w:val="24"/>
        </w:rPr>
        <w:t>溶盐罐（池）应设有排空和清洗装置。</w:t>
      </w:r>
    </w:p>
    <w:p w14:paraId="59FEE2B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5.3.10  </w:t>
      </w:r>
      <w:r>
        <w:rPr>
          <w:rFonts w:ascii="Times New Roman" w:eastAsia="宋体" w:hAnsi="Times New Roman" w:cs="Times New Roman"/>
          <w:bCs/>
          <w:color w:val="000000" w:themeColor="text1"/>
          <w:kern w:val="0"/>
          <w:sz w:val="24"/>
          <w:szCs w:val="24"/>
        </w:rPr>
        <w:t>离子交换软水器应设置于溶盐罐（池）附近，再生时使用的饱和食盐水由溶盐罐（池）提供。</w:t>
      </w:r>
    </w:p>
    <w:p w14:paraId="224BAF0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5.3.11  </w:t>
      </w:r>
      <w:r>
        <w:rPr>
          <w:rFonts w:ascii="Times New Roman" w:eastAsia="宋体" w:hAnsi="Times New Roman" w:cs="Times New Roman"/>
          <w:bCs/>
          <w:color w:val="000000" w:themeColor="text1"/>
          <w:kern w:val="0"/>
          <w:sz w:val="24"/>
          <w:szCs w:val="24"/>
        </w:rPr>
        <w:t>溶盐罐（池）放空时不应直接排入下水道，需处置达到所在地执行的排放标准方可排放。</w:t>
      </w:r>
    </w:p>
    <w:p w14:paraId="4C86ED72"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16" w:name="_Toc127171751"/>
      <w:r>
        <w:rPr>
          <w:rFonts w:ascii="Times New Roman" w:eastAsia="黑体" w:hAnsi="Times New Roman" w:cs="Times New Roman"/>
          <w:b/>
          <w:bCs/>
          <w:color w:val="000000" w:themeColor="text1"/>
          <w:sz w:val="28"/>
          <w:szCs w:val="32"/>
        </w:rPr>
        <w:t xml:space="preserve">5.4  </w:t>
      </w:r>
      <w:r>
        <w:rPr>
          <w:rFonts w:ascii="Times New Roman" w:eastAsia="黑体" w:hAnsi="Times New Roman" w:cs="Times New Roman"/>
          <w:b/>
          <w:bCs/>
          <w:color w:val="000000" w:themeColor="text1"/>
          <w:sz w:val="28"/>
          <w:szCs w:val="32"/>
        </w:rPr>
        <w:t>制备</w:t>
      </w:r>
      <w:bookmarkEnd w:id="16"/>
    </w:p>
    <w:p w14:paraId="6F500DF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5.4.1  </w:t>
      </w:r>
      <w:r>
        <w:rPr>
          <w:rFonts w:ascii="Times New Roman" w:eastAsia="宋体" w:hAnsi="Times New Roman" w:cs="Times New Roman"/>
          <w:bCs/>
          <w:color w:val="000000" w:themeColor="text1"/>
          <w:kern w:val="0"/>
          <w:sz w:val="24"/>
          <w:szCs w:val="24"/>
        </w:rPr>
        <w:t>对于大型或重要性较高的水厂，在制取次氯酸钠溶液时，宜设置</w:t>
      </w:r>
      <w:r>
        <w:rPr>
          <w:rFonts w:ascii="Times New Roman" w:eastAsia="宋体" w:hAnsi="Times New Roman" w:cs="Times New Roman"/>
          <w:bCs/>
          <w:color w:val="000000" w:themeColor="text1"/>
          <w:kern w:val="0"/>
          <w:sz w:val="24"/>
          <w:szCs w:val="24"/>
        </w:rPr>
        <w:t>2</w:t>
      </w:r>
      <w:r>
        <w:rPr>
          <w:rFonts w:ascii="Times New Roman" w:eastAsia="宋体" w:hAnsi="Times New Roman" w:cs="Times New Roman"/>
          <w:bCs/>
          <w:color w:val="000000" w:themeColor="text1"/>
          <w:kern w:val="0"/>
          <w:sz w:val="24"/>
          <w:szCs w:val="24"/>
        </w:rPr>
        <w:t>组以上次氯酸钠发生装置。</w:t>
      </w:r>
    </w:p>
    <w:p w14:paraId="6D33ED7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5.4.2  </w:t>
      </w:r>
      <w:r>
        <w:rPr>
          <w:rFonts w:ascii="Times New Roman" w:eastAsia="宋体" w:hAnsi="Times New Roman" w:cs="Times New Roman"/>
          <w:bCs/>
          <w:color w:val="000000" w:themeColor="text1"/>
          <w:kern w:val="0"/>
          <w:sz w:val="24"/>
          <w:szCs w:val="24"/>
        </w:rPr>
        <w:t>为次氯酸钠发生器电解电极提供直流电的整流装置应位于独立的房间内，宜设空调等设施保持房间合适的温度和湿度。</w:t>
      </w:r>
    </w:p>
    <w:p w14:paraId="7C2974B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5.4.3  </w:t>
      </w:r>
      <w:r>
        <w:rPr>
          <w:rFonts w:ascii="Times New Roman" w:eastAsia="宋体" w:hAnsi="Times New Roman" w:cs="Times New Roman"/>
          <w:bCs/>
          <w:color w:val="000000" w:themeColor="text1"/>
          <w:kern w:val="0"/>
          <w:sz w:val="24"/>
          <w:szCs w:val="24"/>
        </w:rPr>
        <w:t>电解槽外壳宜采用透明材质，电解槽、管路、控制应分区布置。</w:t>
      </w:r>
    </w:p>
    <w:p w14:paraId="5D70BC1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5.4.4  </w:t>
      </w:r>
      <w:r>
        <w:rPr>
          <w:rFonts w:ascii="Times New Roman" w:eastAsia="宋体" w:hAnsi="Times New Roman" w:cs="Times New Roman"/>
          <w:bCs/>
          <w:color w:val="000000" w:themeColor="text1"/>
          <w:kern w:val="0"/>
          <w:sz w:val="24"/>
          <w:szCs w:val="24"/>
        </w:rPr>
        <w:t>宜使用隔膜计量泵输送饱和食盐水溶液进入电解槽。</w:t>
      </w:r>
    </w:p>
    <w:p w14:paraId="48ECD68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5.4.5  </w:t>
      </w:r>
      <w:r>
        <w:rPr>
          <w:rFonts w:ascii="Times New Roman" w:eastAsia="宋体" w:hAnsi="Times New Roman" w:cs="Times New Roman"/>
          <w:bCs/>
          <w:color w:val="000000" w:themeColor="text1"/>
          <w:kern w:val="0"/>
          <w:sz w:val="24"/>
          <w:szCs w:val="24"/>
        </w:rPr>
        <w:t>发生装置主机部分应为具有防护功能的柜式或箱式结构，主要管路和电解槽裸露不得在外。</w:t>
      </w:r>
    </w:p>
    <w:p w14:paraId="40EF1C3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5.4.6  </w:t>
      </w:r>
      <w:r>
        <w:rPr>
          <w:rFonts w:ascii="Times New Roman" w:eastAsia="宋体" w:hAnsi="Times New Roman" w:cs="Times New Roman"/>
          <w:bCs/>
          <w:color w:val="000000" w:themeColor="text1"/>
          <w:kern w:val="0"/>
          <w:sz w:val="24"/>
          <w:szCs w:val="24"/>
        </w:rPr>
        <w:t>发生装置应有清晰的管路布置和连接，包括进液管路、进水管路、电解槽管路、出液管路、排放管路等，且最大可能在生产工厂完成管路组装。</w:t>
      </w:r>
    </w:p>
    <w:p w14:paraId="301B1B2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5.4.7  </w:t>
      </w:r>
      <w:r>
        <w:rPr>
          <w:rFonts w:ascii="Times New Roman" w:eastAsia="宋体" w:hAnsi="Times New Roman" w:cs="Times New Roman"/>
          <w:bCs/>
          <w:color w:val="000000" w:themeColor="text1"/>
          <w:kern w:val="0"/>
          <w:sz w:val="24"/>
          <w:szCs w:val="24"/>
        </w:rPr>
        <w:t>在发生装置的电解电极和出液管路中，应保证氢气不会在发生装置的任何部位积聚。</w:t>
      </w:r>
    </w:p>
    <w:p w14:paraId="1AEDED4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5.4.8  </w:t>
      </w:r>
      <w:r>
        <w:rPr>
          <w:rFonts w:ascii="Times New Roman" w:eastAsia="宋体" w:hAnsi="Times New Roman" w:cs="Times New Roman"/>
          <w:bCs/>
          <w:color w:val="000000" w:themeColor="text1"/>
          <w:kern w:val="0"/>
          <w:sz w:val="24"/>
          <w:szCs w:val="24"/>
        </w:rPr>
        <w:t>应配套设置氢气收集、稀释、排放装置，满足现行国家标</w:t>
      </w:r>
      <w:r>
        <w:rPr>
          <w:rFonts w:ascii="Times New Roman" w:eastAsia="宋体" w:hAnsi="Times New Roman" w:cs="Times New Roman"/>
          <w:bCs/>
          <w:color w:val="000000" w:themeColor="text1"/>
          <w:kern w:val="0"/>
          <w:sz w:val="24"/>
          <w:szCs w:val="24"/>
        </w:rPr>
        <w:t>准《氢气使用安全技术规程》</w:t>
      </w:r>
      <w:r>
        <w:rPr>
          <w:rFonts w:ascii="Times New Roman" w:eastAsia="宋体" w:hAnsi="Times New Roman" w:cs="Times New Roman"/>
          <w:bCs/>
          <w:color w:val="000000" w:themeColor="text1"/>
          <w:kern w:val="0"/>
          <w:sz w:val="24"/>
          <w:szCs w:val="24"/>
        </w:rPr>
        <w:t>GB4962</w:t>
      </w:r>
      <w:r>
        <w:rPr>
          <w:rFonts w:ascii="Times New Roman" w:eastAsia="宋体" w:hAnsi="Times New Roman" w:cs="Times New Roman"/>
          <w:bCs/>
          <w:color w:val="000000" w:themeColor="text1"/>
          <w:kern w:val="0"/>
          <w:sz w:val="24"/>
          <w:szCs w:val="24"/>
        </w:rPr>
        <w:t>的相关规定。</w:t>
      </w:r>
    </w:p>
    <w:p w14:paraId="34B4A08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5.4.9  </w:t>
      </w:r>
      <w:r>
        <w:rPr>
          <w:rFonts w:ascii="Times New Roman" w:eastAsia="宋体" w:hAnsi="Times New Roman" w:cs="Times New Roman"/>
          <w:bCs/>
          <w:color w:val="000000" w:themeColor="text1"/>
          <w:kern w:val="0"/>
          <w:sz w:val="24"/>
          <w:szCs w:val="24"/>
        </w:rPr>
        <w:t>氢气收集、稀释、排放管路的设计和布置应保证任何区域均无氢气积聚。</w:t>
      </w:r>
    </w:p>
    <w:p w14:paraId="107F057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5.4.10  </w:t>
      </w:r>
      <w:r>
        <w:rPr>
          <w:rFonts w:ascii="Times New Roman" w:eastAsia="宋体" w:hAnsi="Times New Roman" w:cs="Times New Roman"/>
          <w:bCs/>
          <w:color w:val="000000" w:themeColor="text1"/>
          <w:kern w:val="0"/>
          <w:sz w:val="24"/>
          <w:szCs w:val="24"/>
        </w:rPr>
        <w:t>在氢气排放入室外大气的排放点附近应设</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个球形防爆区域，区域半径由单位时间制备量决定。</w:t>
      </w:r>
    </w:p>
    <w:p w14:paraId="740105A2"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17" w:name="_Toc127171752"/>
      <w:r>
        <w:rPr>
          <w:rFonts w:ascii="Times New Roman" w:eastAsia="黑体" w:hAnsi="Times New Roman" w:cs="Times New Roman"/>
          <w:b/>
          <w:bCs/>
          <w:color w:val="000000" w:themeColor="text1"/>
          <w:sz w:val="28"/>
          <w:szCs w:val="32"/>
        </w:rPr>
        <w:t xml:space="preserve">5.5  </w:t>
      </w:r>
      <w:r>
        <w:rPr>
          <w:rFonts w:ascii="Times New Roman" w:eastAsia="黑体" w:hAnsi="Times New Roman" w:cs="Times New Roman"/>
          <w:b/>
          <w:bCs/>
          <w:color w:val="000000" w:themeColor="text1"/>
          <w:sz w:val="28"/>
          <w:szCs w:val="32"/>
        </w:rPr>
        <w:t>溶液储存</w:t>
      </w:r>
      <w:bookmarkEnd w:id="17"/>
    </w:p>
    <w:p w14:paraId="6642178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5.5.1  </w:t>
      </w:r>
      <w:r>
        <w:rPr>
          <w:rFonts w:ascii="Times New Roman" w:eastAsia="宋体" w:hAnsi="Times New Roman" w:cs="Times New Roman"/>
          <w:bCs/>
          <w:color w:val="000000" w:themeColor="text1"/>
          <w:kern w:val="0"/>
          <w:sz w:val="24"/>
          <w:szCs w:val="24"/>
        </w:rPr>
        <w:t>次氯酸钠制成的溶液储存容量一般按</w:t>
      </w:r>
      <w:r>
        <w:rPr>
          <w:rFonts w:ascii="Times New Roman" w:eastAsia="宋体" w:hAnsi="Times New Roman" w:cs="Times New Roman"/>
          <w:bCs/>
          <w:color w:val="000000" w:themeColor="text1"/>
          <w:kern w:val="0"/>
          <w:sz w:val="24"/>
          <w:szCs w:val="24"/>
        </w:rPr>
        <w:t>24h~48h</w:t>
      </w:r>
      <w:r>
        <w:rPr>
          <w:rFonts w:ascii="Times New Roman" w:eastAsia="宋体" w:hAnsi="Times New Roman" w:cs="Times New Roman"/>
          <w:bCs/>
          <w:color w:val="000000" w:themeColor="text1"/>
          <w:kern w:val="0"/>
          <w:sz w:val="24"/>
          <w:szCs w:val="24"/>
        </w:rPr>
        <w:t>最大用量计，应密闭保存。</w:t>
      </w:r>
    </w:p>
    <w:p w14:paraId="108D83A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5.5.2  </w:t>
      </w:r>
      <w:r>
        <w:rPr>
          <w:rFonts w:ascii="Times New Roman" w:eastAsia="宋体" w:hAnsi="Times New Roman" w:cs="Times New Roman"/>
          <w:bCs/>
          <w:color w:val="000000" w:themeColor="text1"/>
          <w:kern w:val="0"/>
          <w:sz w:val="24"/>
          <w:szCs w:val="24"/>
        </w:rPr>
        <w:t>电解产生的次氯酸钠溶液应在储存前进行气液分离。</w:t>
      </w:r>
    </w:p>
    <w:p w14:paraId="2000E0A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5.5.3  </w:t>
      </w:r>
      <w:r>
        <w:rPr>
          <w:rFonts w:ascii="Times New Roman" w:eastAsia="宋体" w:hAnsi="Times New Roman" w:cs="Times New Roman"/>
          <w:bCs/>
          <w:color w:val="000000" w:themeColor="text1"/>
          <w:kern w:val="0"/>
          <w:sz w:val="24"/>
          <w:szCs w:val="24"/>
        </w:rPr>
        <w:t>次氯酸钠溶液储存方式和商品次氯酸钠溶液相同，按</w:t>
      </w:r>
      <w:r>
        <w:rPr>
          <w:rFonts w:ascii="Times New Roman" w:eastAsia="宋体" w:hAnsi="Times New Roman" w:cs="Times New Roman"/>
          <w:bCs/>
          <w:color w:val="000000" w:themeColor="text1"/>
          <w:kern w:val="0"/>
          <w:sz w:val="24"/>
          <w:szCs w:val="24"/>
        </w:rPr>
        <w:t>4.3</w:t>
      </w:r>
      <w:r>
        <w:rPr>
          <w:rFonts w:ascii="Times New Roman" w:eastAsia="宋体" w:hAnsi="Times New Roman" w:cs="Times New Roman"/>
          <w:bCs/>
          <w:color w:val="000000" w:themeColor="text1"/>
          <w:kern w:val="0"/>
          <w:sz w:val="24"/>
          <w:szCs w:val="24"/>
        </w:rPr>
        <w:t>中相关章节执行。</w:t>
      </w:r>
    </w:p>
    <w:p w14:paraId="5CB6727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lastRenderedPageBreak/>
        <w:t xml:space="preserve">5.5.4  </w:t>
      </w:r>
      <w:r>
        <w:rPr>
          <w:rFonts w:ascii="Times New Roman" w:eastAsia="宋体" w:hAnsi="Times New Roman" w:cs="Times New Roman"/>
          <w:bCs/>
          <w:color w:val="000000" w:themeColor="text1"/>
          <w:kern w:val="0"/>
          <w:sz w:val="24"/>
          <w:szCs w:val="24"/>
        </w:rPr>
        <w:t>溶液罐顶部应</w:t>
      </w:r>
      <w:r>
        <w:rPr>
          <w:rFonts w:ascii="Times New Roman" w:eastAsia="宋体" w:hAnsi="Times New Roman" w:cs="Times New Roman"/>
          <w:bCs/>
          <w:color w:val="000000" w:themeColor="text1"/>
          <w:kern w:val="0"/>
          <w:sz w:val="24"/>
          <w:szCs w:val="24"/>
        </w:rPr>
        <w:t>设置强制通风系统，高空排放。</w:t>
      </w:r>
    </w:p>
    <w:p w14:paraId="5E51B08B"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18" w:name="_Toc127171753"/>
      <w:r>
        <w:rPr>
          <w:rFonts w:ascii="Times New Roman" w:eastAsia="黑体" w:hAnsi="Times New Roman" w:cs="Times New Roman"/>
          <w:b/>
          <w:bCs/>
          <w:color w:val="000000" w:themeColor="text1"/>
          <w:sz w:val="28"/>
          <w:szCs w:val="32"/>
        </w:rPr>
        <w:t xml:space="preserve">5.6  </w:t>
      </w:r>
      <w:r>
        <w:rPr>
          <w:rFonts w:ascii="Times New Roman" w:eastAsia="黑体" w:hAnsi="Times New Roman" w:cs="Times New Roman"/>
          <w:b/>
          <w:bCs/>
          <w:color w:val="000000" w:themeColor="text1"/>
          <w:sz w:val="28"/>
          <w:szCs w:val="32"/>
        </w:rPr>
        <w:t>投加</w:t>
      </w:r>
      <w:bookmarkEnd w:id="18"/>
    </w:p>
    <w:p w14:paraId="7EEEAD9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5.6.1  </w:t>
      </w:r>
      <w:r>
        <w:rPr>
          <w:rFonts w:ascii="Times New Roman" w:eastAsia="宋体" w:hAnsi="Times New Roman" w:cs="Times New Roman"/>
          <w:bCs/>
          <w:color w:val="000000" w:themeColor="text1"/>
          <w:kern w:val="0"/>
          <w:sz w:val="24"/>
          <w:szCs w:val="24"/>
        </w:rPr>
        <w:t>次氯酸钠溶液加注方式和商品次氯酸钠溶液相同，按</w:t>
      </w:r>
      <w:r>
        <w:rPr>
          <w:rFonts w:ascii="Times New Roman" w:eastAsia="宋体" w:hAnsi="Times New Roman" w:cs="Times New Roman"/>
          <w:bCs/>
          <w:color w:val="000000" w:themeColor="text1"/>
          <w:kern w:val="0"/>
          <w:sz w:val="24"/>
          <w:szCs w:val="24"/>
        </w:rPr>
        <w:t>4.4</w:t>
      </w:r>
      <w:r>
        <w:rPr>
          <w:rFonts w:ascii="Times New Roman" w:eastAsia="宋体" w:hAnsi="Times New Roman" w:cs="Times New Roman"/>
          <w:bCs/>
          <w:color w:val="000000" w:themeColor="text1"/>
          <w:kern w:val="0"/>
          <w:sz w:val="24"/>
          <w:szCs w:val="24"/>
        </w:rPr>
        <w:t>中相关章节执行。</w:t>
      </w:r>
    </w:p>
    <w:p w14:paraId="25878089"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19" w:name="_Toc127171754"/>
      <w:r>
        <w:rPr>
          <w:rFonts w:ascii="Times New Roman" w:eastAsia="黑体" w:hAnsi="Times New Roman" w:cs="Times New Roman"/>
          <w:b/>
          <w:bCs/>
          <w:color w:val="000000" w:themeColor="text1"/>
          <w:sz w:val="28"/>
          <w:szCs w:val="32"/>
        </w:rPr>
        <w:t xml:space="preserve">5.7  </w:t>
      </w:r>
      <w:r>
        <w:rPr>
          <w:rFonts w:ascii="Times New Roman" w:eastAsia="黑体" w:hAnsi="Times New Roman" w:cs="Times New Roman"/>
          <w:b/>
          <w:bCs/>
          <w:color w:val="000000" w:themeColor="text1"/>
          <w:sz w:val="28"/>
          <w:szCs w:val="32"/>
        </w:rPr>
        <w:t>检测和控制</w:t>
      </w:r>
      <w:bookmarkEnd w:id="19"/>
    </w:p>
    <w:p w14:paraId="5A5ABE3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5.7.1  </w:t>
      </w:r>
      <w:r>
        <w:rPr>
          <w:rFonts w:ascii="Times New Roman" w:eastAsia="宋体" w:hAnsi="Times New Roman" w:cs="Times New Roman"/>
          <w:bCs/>
          <w:color w:val="000000" w:themeColor="text1"/>
          <w:kern w:val="0"/>
          <w:sz w:val="24"/>
          <w:szCs w:val="24"/>
        </w:rPr>
        <w:t>溶盐罐（池）内应设置监测液位的传感器，并配有液位开关，有条件的宜再设置监测盐位的传感器。产品溶液罐和储液罐应设液位监测、液位保护；储罐外围堰内设置泄露传感器。</w:t>
      </w:r>
    </w:p>
    <w:p w14:paraId="66412C6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5.7.2  </w:t>
      </w:r>
      <w:r>
        <w:rPr>
          <w:rFonts w:ascii="Times New Roman" w:eastAsia="宋体" w:hAnsi="Times New Roman" w:cs="Times New Roman"/>
          <w:bCs/>
          <w:color w:val="000000" w:themeColor="text1"/>
          <w:kern w:val="0"/>
          <w:sz w:val="24"/>
          <w:szCs w:val="24"/>
        </w:rPr>
        <w:t>发生器主机出口应设置取样口，检测成品浓度等各项指标。</w:t>
      </w:r>
    </w:p>
    <w:p w14:paraId="6D509FF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5.7.3  </w:t>
      </w:r>
      <w:r>
        <w:rPr>
          <w:rFonts w:ascii="Times New Roman" w:eastAsia="宋体" w:hAnsi="Times New Roman" w:cs="Times New Roman"/>
          <w:bCs/>
          <w:color w:val="000000" w:themeColor="text1"/>
          <w:kern w:val="0"/>
          <w:sz w:val="24"/>
          <w:szCs w:val="24"/>
        </w:rPr>
        <w:t>发生装置应配置就地</w:t>
      </w:r>
      <w:r>
        <w:rPr>
          <w:rFonts w:ascii="Times New Roman" w:eastAsia="宋体" w:hAnsi="Times New Roman" w:cs="Times New Roman"/>
          <w:bCs/>
          <w:color w:val="000000" w:themeColor="text1"/>
          <w:kern w:val="0"/>
          <w:sz w:val="24"/>
          <w:szCs w:val="24"/>
        </w:rPr>
        <w:t>PLC</w:t>
      </w:r>
      <w:r>
        <w:rPr>
          <w:rFonts w:ascii="Times New Roman" w:eastAsia="宋体" w:hAnsi="Times New Roman" w:cs="Times New Roman"/>
          <w:bCs/>
          <w:color w:val="000000" w:themeColor="text1"/>
          <w:kern w:val="0"/>
          <w:sz w:val="24"/>
          <w:szCs w:val="24"/>
        </w:rPr>
        <w:t>，并具有远传通讯功能。</w:t>
      </w:r>
    </w:p>
    <w:p w14:paraId="4915A3F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5.7.4  </w:t>
      </w:r>
      <w:r>
        <w:rPr>
          <w:rFonts w:ascii="Times New Roman" w:eastAsia="宋体" w:hAnsi="Times New Roman" w:cs="Times New Roman"/>
          <w:bCs/>
          <w:color w:val="000000" w:themeColor="text1"/>
          <w:kern w:val="0"/>
          <w:sz w:val="24"/>
          <w:szCs w:val="24"/>
        </w:rPr>
        <w:t>监测进入发生器的盐水浓度，确保自动稀释配比</w:t>
      </w:r>
      <w:r>
        <w:rPr>
          <w:rFonts w:ascii="Times New Roman" w:eastAsia="宋体" w:hAnsi="Times New Roman" w:cs="Times New Roman"/>
          <w:bCs/>
          <w:color w:val="000000" w:themeColor="text1"/>
          <w:kern w:val="0"/>
          <w:sz w:val="24"/>
          <w:szCs w:val="24"/>
        </w:rPr>
        <w:t>，保证稳定的制备浓度。</w:t>
      </w:r>
    </w:p>
    <w:p w14:paraId="5E3F2CE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5.7.5  </w:t>
      </w:r>
      <w:r>
        <w:rPr>
          <w:rFonts w:ascii="Times New Roman" w:eastAsia="宋体" w:hAnsi="Times New Roman" w:cs="Times New Roman"/>
          <w:bCs/>
          <w:color w:val="000000" w:themeColor="text1"/>
          <w:kern w:val="0"/>
          <w:sz w:val="24"/>
          <w:szCs w:val="24"/>
        </w:rPr>
        <w:t>电解产生的次氯酸钠应设温度监控。</w:t>
      </w:r>
    </w:p>
    <w:p w14:paraId="38AA069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5.7.6  </w:t>
      </w:r>
      <w:r>
        <w:rPr>
          <w:rFonts w:ascii="Times New Roman" w:eastAsia="宋体" w:hAnsi="Times New Roman" w:cs="Times New Roman"/>
          <w:bCs/>
          <w:color w:val="000000" w:themeColor="text1"/>
          <w:kern w:val="0"/>
          <w:sz w:val="24"/>
          <w:szCs w:val="24"/>
        </w:rPr>
        <w:t>在发生器所在建筑物室内最高点、发生器正上方以及溶液罐正上方各放置至少</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个氢气泄漏传感器；建筑物室内其他易积聚氢气的角落，也应设置氢气泄漏传感器。</w:t>
      </w:r>
    </w:p>
    <w:p w14:paraId="6DCB879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5.7.7  </w:t>
      </w:r>
      <w:r>
        <w:rPr>
          <w:rFonts w:ascii="Times New Roman" w:eastAsia="宋体" w:hAnsi="Times New Roman" w:cs="Times New Roman"/>
          <w:bCs/>
          <w:color w:val="000000" w:themeColor="text1"/>
          <w:kern w:val="0"/>
          <w:sz w:val="24"/>
          <w:szCs w:val="24"/>
        </w:rPr>
        <w:t>与氢气直接接触的氢气泄漏传感器应采用防爆型。</w:t>
      </w:r>
    </w:p>
    <w:p w14:paraId="341CFF8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5.7.8  </w:t>
      </w:r>
      <w:r>
        <w:rPr>
          <w:rFonts w:ascii="Times New Roman" w:eastAsia="宋体" w:hAnsi="Times New Roman" w:cs="Times New Roman"/>
          <w:bCs/>
          <w:color w:val="000000" w:themeColor="text1"/>
          <w:kern w:val="0"/>
          <w:sz w:val="24"/>
          <w:szCs w:val="24"/>
        </w:rPr>
        <w:t>所有氢气传感器均应和发生器主机联动，并能够提供报警和保护。</w:t>
      </w:r>
    </w:p>
    <w:p w14:paraId="578296F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5.7.9  </w:t>
      </w:r>
      <w:r>
        <w:rPr>
          <w:rFonts w:ascii="Times New Roman" w:eastAsia="宋体" w:hAnsi="Times New Roman" w:cs="Times New Roman"/>
          <w:bCs/>
          <w:color w:val="000000" w:themeColor="text1"/>
          <w:kern w:val="0"/>
          <w:sz w:val="24"/>
          <w:szCs w:val="24"/>
        </w:rPr>
        <w:t>应配备监测管路泄露和冷凝水泄漏的传感器或仪表。</w:t>
      </w:r>
    </w:p>
    <w:p w14:paraId="47E61D74" w14:textId="77777777" w:rsidR="00E269CD" w:rsidRDefault="00E13E3E">
      <w:pPr>
        <w:spacing w:line="360" w:lineRule="auto"/>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r>
        <w:rPr>
          <w:rFonts w:ascii="Times New Roman" w:eastAsia="宋体" w:hAnsi="Times New Roman" w:cs="Times New Roman"/>
          <w:bCs/>
          <w:color w:val="000000" w:themeColor="text1"/>
          <w:kern w:val="0"/>
          <w:sz w:val="24"/>
          <w:szCs w:val="24"/>
        </w:rPr>
        <w:t xml:space="preserve">5.7.10  </w:t>
      </w:r>
      <w:r>
        <w:rPr>
          <w:rFonts w:ascii="Times New Roman" w:eastAsia="宋体" w:hAnsi="Times New Roman" w:cs="Times New Roman"/>
          <w:bCs/>
          <w:color w:val="000000" w:themeColor="text1"/>
          <w:kern w:val="0"/>
          <w:sz w:val="24"/>
          <w:szCs w:val="24"/>
        </w:rPr>
        <w:t>次氯酸钠发生器间电气设备应按防爆设计。</w:t>
      </w:r>
    </w:p>
    <w:p w14:paraId="6204CCEC" w14:textId="77777777" w:rsidR="00E269CD" w:rsidRDefault="00E13E3E">
      <w:pPr>
        <w:keepNext/>
        <w:keepLines/>
        <w:spacing w:line="360" w:lineRule="auto"/>
        <w:jc w:val="center"/>
        <w:outlineLvl w:val="0"/>
        <w:rPr>
          <w:rFonts w:ascii="Times New Roman" w:hAnsi="Times New Roman" w:cs="Times New Roman"/>
          <w:b/>
          <w:bCs/>
          <w:color w:val="000000" w:themeColor="text1"/>
          <w:kern w:val="44"/>
          <w:sz w:val="30"/>
          <w:szCs w:val="44"/>
        </w:rPr>
      </w:pPr>
      <w:bookmarkStart w:id="20" w:name="_Toc127171755"/>
      <w:r>
        <w:rPr>
          <w:rFonts w:ascii="Times New Roman" w:hAnsi="Times New Roman" w:cs="Times New Roman"/>
          <w:b/>
          <w:bCs/>
          <w:color w:val="000000" w:themeColor="text1"/>
          <w:kern w:val="44"/>
          <w:sz w:val="30"/>
          <w:szCs w:val="44"/>
        </w:rPr>
        <w:lastRenderedPageBreak/>
        <w:t xml:space="preserve">6  </w:t>
      </w:r>
      <w:r>
        <w:rPr>
          <w:rFonts w:ascii="Times New Roman" w:hAnsi="Times New Roman" w:cs="Times New Roman"/>
          <w:b/>
          <w:bCs/>
          <w:color w:val="000000" w:themeColor="text1"/>
          <w:kern w:val="44"/>
          <w:sz w:val="30"/>
          <w:szCs w:val="44"/>
        </w:rPr>
        <w:t>排放</w:t>
      </w:r>
      <w:bookmarkEnd w:id="20"/>
    </w:p>
    <w:p w14:paraId="6D36552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6.1.1  </w:t>
      </w:r>
      <w:r>
        <w:rPr>
          <w:rFonts w:ascii="Times New Roman" w:eastAsia="宋体" w:hAnsi="Times New Roman" w:cs="Times New Roman"/>
          <w:bCs/>
          <w:color w:val="000000" w:themeColor="text1"/>
          <w:kern w:val="0"/>
          <w:sz w:val="24"/>
          <w:szCs w:val="24"/>
        </w:rPr>
        <w:t>次氯酸钠残液不可与其他化学药剂排入同一排水沟（管）。</w:t>
      </w:r>
    </w:p>
    <w:p w14:paraId="586D5D5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6.1.2  </w:t>
      </w:r>
      <w:r>
        <w:rPr>
          <w:rFonts w:ascii="Times New Roman" w:eastAsia="宋体" w:hAnsi="Times New Roman" w:cs="Times New Roman"/>
          <w:bCs/>
          <w:color w:val="000000" w:themeColor="text1"/>
          <w:kern w:val="0"/>
          <w:sz w:val="24"/>
          <w:szCs w:val="24"/>
        </w:rPr>
        <w:t>排放和溢流时，次氯酸钠溶液不可直接排入下水道，应排入专用的收集井或收集桶内，作为化学品废弃物处置。</w:t>
      </w:r>
    </w:p>
    <w:p w14:paraId="76A3621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6.1.3  </w:t>
      </w:r>
      <w:r>
        <w:rPr>
          <w:rFonts w:ascii="Times New Roman" w:eastAsia="宋体" w:hAnsi="Times New Roman" w:cs="Times New Roman"/>
          <w:bCs/>
          <w:color w:val="000000" w:themeColor="text1"/>
          <w:kern w:val="0"/>
          <w:sz w:val="24"/>
          <w:szCs w:val="24"/>
        </w:rPr>
        <w:t>收集井或收集桶必须独立设置，且与其他化学药剂的收集装置布置间距不小于</w:t>
      </w:r>
      <w:r>
        <w:rPr>
          <w:rFonts w:ascii="Times New Roman" w:eastAsia="宋体" w:hAnsi="Times New Roman" w:cs="Times New Roman"/>
          <w:bCs/>
          <w:color w:val="000000" w:themeColor="text1"/>
          <w:kern w:val="0"/>
          <w:sz w:val="24"/>
          <w:szCs w:val="24"/>
        </w:rPr>
        <w:t>3m</w:t>
      </w:r>
      <w:r>
        <w:rPr>
          <w:rFonts w:ascii="Times New Roman" w:eastAsia="宋体" w:hAnsi="Times New Roman" w:cs="Times New Roman"/>
          <w:bCs/>
          <w:color w:val="000000" w:themeColor="text1"/>
          <w:kern w:val="0"/>
          <w:sz w:val="24"/>
          <w:szCs w:val="24"/>
        </w:rPr>
        <w:t>。</w:t>
      </w:r>
    </w:p>
    <w:p w14:paraId="74F6299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6.1.4  </w:t>
      </w:r>
      <w:r>
        <w:rPr>
          <w:rFonts w:ascii="Times New Roman" w:eastAsia="宋体" w:hAnsi="Times New Roman" w:cs="Times New Roman"/>
          <w:bCs/>
          <w:color w:val="000000" w:themeColor="text1"/>
          <w:kern w:val="0"/>
          <w:sz w:val="24"/>
          <w:szCs w:val="24"/>
        </w:rPr>
        <w:t>室外管沟加药管内的冲洗废液、储液池（罐）清洗后废液应设置排放管，统一排入收集井（桶）内。</w:t>
      </w:r>
    </w:p>
    <w:p w14:paraId="22A6C38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6.1.5  </w:t>
      </w:r>
      <w:r>
        <w:rPr>
          <w:rFonts w:ascii="Times New Roman" w:eastAsia="宋体" w:hAnsi="Times New Roman" w:cs="Times New Roman"/>
          <w:bCs/>
          <w:color w:val="000000" w:themeColor="text1"/>
          <w:kern w:val="0"/>
          <w:sz w:val="24"/>
          <w:szCs w:val="24"/>
        </w:rPr>
        <w:t>对于酸洗液的排放，应遵循相关规定由相关部门进行回收处理。</w:t>
      </w:r>
    </w:p>
    <w:p w14:paraId="72A6D525" w14:textId="77777777" w:rsidR="00E269CD" w:rsidRDefault="00E13E3E">
      <w:pPr>
        <w:spacing w:line="360" w:lineRule="auto"/>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r>
        <w:rPr>
          <w:rFonts w:ascii="Times New Roman" w:eastAsia="宋体" w:hAnsi="Times New Roman" w:cs="Times New Roman"/>
          <w:bCs/>
          <w:color w:val="000000" w:themeColor="text1"/>
          <w:kern w:val="0"/>
          <w:sz w:val="24"/>
          <w:szCs w:val="24"/>
        </w:rPr>
        <w:t xml:space="preserve">6.1.6  </w:t>
      </w:r>
      <w:r>
        <w:rPr>
          <w:rFonts w:ascii="Times New Roman" w:eastAsia="宋体" w:hAnsi="Times New Roman" w:cs="Times New Roman"/>
          <w:bCs/>
          <w:color w:val="000000" w:themeColor="text1"/>
          <w:kern w:val="0"/>
          <w:sz w:val="24"/>
          <w:szCs w:val="24"/>
        </w:rPr>
        <w:t>软化水及反冲洗水的排放应通过排水管沟排入生产废水系统；</w:t>
      </w:r>
    </w:p>
    <w:p w14:paraId="054BEFDF" w14:textId="77777777" w:rsidR="00E269CD" w:rsidRDefault="00E13E3E">
      <w:pPr>
        <w:keepNext/>
        <w:keepLines/>
        <w:spacing w:line="360" w:lineRule="auto"/>
        <w:jc w:val="center"/>
        <w:outlineLvl w:val="0"/>
        <w:rPr>
          <w:rFonts w:ascii="Times New Roman" w:hAnsi="Times New Roman" w:cs="Times New Roman"/>
          <w:b/>
          <w:bCs/>
          <w:color w:val="000000" w:themeColor="text1"/>
          <w:kern w:val="44"/>
          <w:sz w:val="30"/>
          <w:szCs w:val="44"/>
        </w:rPr>
      </w:pPr>
      <w:bookmarkStart w:id="21" w:name="_Toc127171756"/>
      <w:r>
        <w:rPr>
          <w:rFonts w:ascii="Times New Roman" w:hAnsi="Times New Roman" w:cs="Times New Roman"/>
          <w:b/>
          <w:bCs/>
          <w:color w:val="000000" w:themeColor="text1"/>
          <w:kern w:val="44"/>
          <w:sz w:val="30"/>
          <w:szCs w:val="44"/>
        </w:rPr>
        <w:lastRenderedPageBreak/>
        <w:t xml:space="preserve">7  </w:t>
      </w:r>
      <w:r>
        <w:rPr>
          <w:rFonts w:ascii="Times New Roman" w:hAnsi="Times New Roman" w:cs="Times New Roman"/>
          <w:b/>
          <w:bCs/>
          <w:color w:val="000000" w:themeColor="text1"/>
          <w:kern w:val="44"/>
          <w:sz w:val="30"/>
          <w:szCs w:val="44"/>
        </w:rPr>
        <w:t>施工和验收</w:t>
      </w:r>
      <w:bookmarkEnd w:id="21"/>
    </w:p>
    <w:p w14:paraId="4D3DE234"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22" w:name="_Toc127171757"/>
      <w:r>
        <w:rPr>
          <w:rFonts w:ascii="Times New Roman" w:eastAsia="黑体" w:hAnsi="Times New Roman" w:cs="Times New Roman"/>
          <w:b/>
          <w:bCs/>
          <w:color w:val="000000" w:themeColor="text1"/>
          <w:sz w:val="28"/>
          <w:szCs w:val="32"/>
        </w:rPr>
        <w:t xml:space="preserve">7.1  </w:t>
      </w:r>
      <w:r>
        <w:rPr>
          <w:rFonts w:ascii="Times New Roman" w:eastAsia="黑体" w:hAnsi="Times New Roman" w:cs="Times New Roman"/>
          <w:b/>
          <w:bCs/>
          <w:color w:val="000000" w:themeColor="text1"/>
          <w:sz w:val="28"/>
          <w:szCs w:val="32"/>
        </w:rPr>
        <w:t>一般规定</w:t>
      </w:r>
      <w:bookmarkEnd w:id="22"/>
    </w:p>
    <w:p w14:paraId="5A1BB47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7.1.1  </w:t>
      </w:r>
      <w:r>
        <w:rPr>
          <w:rFonts w:ascii="Times New Roman" w:eastAsia="宋体" w:hAnsi="Times New Roman" w:cs="Times New Roman"/>
          <w:bCs/>
          <w:color w:val="000000" w:themeColor="text1"/>
          <w:kern w:val="0"/>
          <w:sz w:val="24"/>
          <w:szCs w:val="24"/>
        </w:rPr>
        <w:t>应严格按照现行国家、行业及地方相关法规、标准、规范、规定的要求施工。所有施工安装工作须由具有相应资质的人员实施。</w:t>
      </w:r>
    </w:p>
    <w:p w14:paraId="73E70F5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7.1.2  </w:t>
      </w:r>
      <w:r>
        <w:rPr>
          <w:rFonts w:ascii="Times New Roman" w:eastAsia="宋体" w:hAnsi="Times New Roman" w:cs="Times New Roman"/>
          <w:bCs/>
          <w:color w:val="000000" w:themeColor="text1"/>
          <w:kern w:val="0"/>
          <w:sz w:val="24"/>
          <w:szCs w:val="24"/>
        </w:rPr>
        <w:t>在工程调试前，对于消毒系统内所有管道，应按</w:t>
      </w:r>
      <w:r>
        <w:rPr>
          <w:rFonts w:ascii="Times New Roman" w:eastAsia="宋体" w:hAnsi="Times New Roman" w:cs="Times New Roman" w:hint="eastAsia"/>
          <w:bCs/>
          <w:color w:val="000000" w:themeColor="text1"/>
          <w:kern w:val="0"/>
          <w:sz w:val="24"/>
          <w:szCs w:val="24"/>
        </w:rPr>
        <w:t>现行国家标准</w:t>
      </w:r>
      <w:r>
        <w:rPr>
          <w:rFonts w:ascii="Times New Roman" w:eastAsia="宋体" w:hAnsi="Times New Roman" w:cs="Times New Roman"/>
          <w:bCs/>
          <w:color w:val="000000" w:themeColor="text1"/>
          <w:kern w:val="0"/>
          <w:sz w:val="24"/>
          <w:szCs w:val="24"/>
        </w:rPr>
        <w:t>《给水排水管道工程施工及验收规范》</w:t>
      </w:r>
      <w:r>
        <w:rPr>
          <w:rFonts w:ascii="Times New Roman" w:eastAsia="宋体" w:hAnsi="Times New Roman" w:cs="Times New Roman"/>
          <w:bCs/>
          <w:color w:val="000000" w:themeColor="text1"/>
          <w:kern w:val="0"/>
          <w:sz w:val="24"/>
          <w:szCs w:val="24"/>
        </w:rPr>
        <w:t>GB50268</w:t>
      </w:r>
      <w:r>
        <w:rPr>
          <w:rFonts w:ascii="Times New Roman" w:eastAsia="宋体" w:hAnsi="Times New Roman" w:cs="Times New Roman"/>
          <w:bCs/>
          <w:color w:val="000000" w:themeColor="text1"/>
          <w:kern w:val="0"/>
          <w:sz w:val="24"/>
          <w:szCs w:val="24"/>
        </w:rPr>
        <w:t>进行压力管道水压试验，试验用水采用自来水，在确认管道压力试验合格后，方可进入调试运行。</w:t>
      </w:r>
    </w:p>
    <w:p w14:paraId="0243B1A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7.1.3  </w:t>
      </w:r>
      <w:r>
        <w:rPr>
          <w:rFonts w:ascii="Times New Roman" w:eastAsia="宋体" w:hAnsi="Times New Roman" w:cs="Times New Roman"/>
          <w:bCs/>
          <w:color w:val="000000" w:themeColor="text1"/>
          <w:kern w:val="0"/>
          <w:sz w:val="24"/>
          <w:szCs w:val="24"/>
        </w:rPr>
        <w:t>一旦采用次氯酸钠溶液调试，室内调试废液应统一排入相应的收集井或收集桶内，</w:t>
      </w:r>
      <w:r>
        <w:rPr>
          <w:rFonts w:ascii="Times New Roman" w:eastAsia="宋体" w:hAnsi="Times New Roman" w:cs="Times New Roman"/>
          <w:bCs/>
          <w:color w:val="000000" w:themeColor="text1"/>
          <w:kern w:val="0"/>
          <w:sz w:val="24"/>
          <w:szCs w:val="24"/>
        </w:rPr>
        <w:t>不应排入室内集水坑或排至地面。收集井或收集桶内废液需在经中和、稀释后排入生产废水系统。</w:t>
      </w:r>
    </w:p>
    <w:p w14:paraId="7A04217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7.1.4  </w:t>
      </w:r>
      <w:r>
        <w:rPr>
          <w:rFonts w:ascii="Times New Roman" w:eastAsia="宋体" w:hAnsi="Times New Roman" w:cs="Times New Roman"/>
          <w:bCs/>
          <w:color w:val="000000" w:themeColor="text1"/>
          <w:kern w:val="0"/>
          <w:sz w:val="24"/>
          <w:szCs w:val="24"/>
        </w:rPr>
        <w:t>管沟内管道实施改造前，应对同一管沟内已敷设的其他管道进行检查，对渗漏点进行修复。改造管道内残液纳入收集井（桶）。</w:t>
      </w:r>
    </w:p>
    <w:p w14:paraId="0B8500D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7.1.5  </w:t>
      </w:r>
      <w:r>
        <w:rPr>
          <w:rFonts w:ascii="Times New Roman" w:eastAsia="宋体" w:hAnsi="Times New Roman" w:cs="Times New Roman"/>
          <w:bCs/>
          <w:color w:val="000000" w:themeColor="text1"/>
          <w:kern w:val="0"/>
          <w:sz w:val="24"/>
          <w:szCs w:val="24"/>
        </w:rPr>
        <w:t>管沟内不应在同一地点同时进行</w:t>
      </w:r>
      <w:r>
        <w:rPr>
          <w:rFonts w:ascii="Times New Roman" w:eastAsia="宋体" w:hAnsi="Times New Roman" w:cs="Times New Roman"/>
          <w:bCs/>
          <w:color w:val="000000" w:themeColor="text1"/>
          <w:kern w:val="0"/>
          <w:sz w:val="24"/>
          <w:szCs w:val="24"/>
        </w:rPr>
        <w:t>2</w:t>
      </w:r>
      <w:r>
        <w:rPr>
          <w:rFonts w:ascii="Times New Roman" w:eastAsia="宋体" w:hAnsi="Times New Roman" w:cs="Times New Roman"/>
          <w:bCs/>
          <w:color w:val="000000" w:themeColor="text1"/>
          <w:kern w:val="0"/>
          <w:sz w:val="24"/>
          <w:szCs w:val="24"/>
        </w:rPr>
        <w:t>种以上（含</w:t>
      </w:r>
      <w:r>
        <w:rPr>
          <w:rFonts w:ascii="Times New Roman" w:eastAsia="宋体" w:hAnsi="Times New Roman" w:cs="Times New Roman"/>
          <w:bCs/>
          <w:color w:val="000000" w:themeColor="text1"/>
          <w:kern w:val="0"/>
          <w:sz w:val="24"/>
          <w:szCs w:val="24"/>
        </w:rPr>
        <w:t>2</w:t>
      </w:r>
      <w:r>
        <w:rPr>
          <w:rFonts w:ascii="Times New Roman" w:eastAsia="宋体" w:hAnsi="Times New Roman" w:cs="Times New Roman"/>
          <w:bCs/>
          <w:color w:val="000000" w:themeColor="text1"/>
          <w:kern w:val="0"/>
          <w:sz w:val="24"/>
          <w:szCs w:val="24"/>
        </w:rPr>
        <w:t>种）药剂管道的更新改造或切管施工。</w:t>
      </w:r>
    </w:p>
    <w:p w14:paraId="087D250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7.1.6  </w:t>
      </w:r>
      <w:r>
        <w:rPr>
          <w:rFonts w:ascii="Times New Roman" w:eastAsia="宋体" w:hAnsi="Times New Roman" w:cs="Times New Roman"/>
          <w:bCs/>
          <w:color w:val="000000" w:themeColor="text1"/>
          <w:kern w:val="0"/>
          <w:sz w:val="24"/>
          <w:szCs w:val="24"/>
        </w:rPr>
        <w:t>管路应有介质、流向等明显标识。</w:t>
      </w:r>
    </w:p>
    <w:p w14:paraId="44021B84"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23" w:name="_Toc127171758"/>
      <w:r>
        <w:rPr>
          <w:rFonts w:ascii="Times New Roman" w:eastAsia="黑体" w:hAnsi="Times New Roman" w:cs="Times New Roman"/>
          <w:b/>
          <w:bCs/>
          <w:color w:val="000000" w:themeColor="text1"/>
          <w:sz w:val="28"/>
          <w:szCs w:val="32"/>
        </w:rPr>
        <w:t xml:space="preserve">7.2  </w:t>
      </w:r>
      <w:r>
        <w:rPr>
          <w:rFonts w:ascii="Times New Roman" w:eastAsia="黑体" w:hAnsi="Times New Roman" w:cs="Times New Roman"/>
          <w:b/>
          <w:bCs/>
          <w:color w:val="000000" w:themeColor="text1"/>
          <w:sz w:val="28"/>
          <w:szCs w:val="32"/>
        </w:rPr>
        <w:t>次氯酸钠现场制备系统</w:t>
      </w:r>
      <w:bookmarkEnd w:id="23"/>
    </w:p>
    <w:p w14:paraId="1FE6639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7.2.1  </w:t>
      </w:r>
      <w:r>
        <w:rPr>
          <w:rFonts w:ascii="Times New Roman" w:eastAsia="宋体" w:hAnsi="Times New Roman" w:cs="Times New Roman"/>
          <w:bCs/>
          <w:color w:val="000000" w:themeColor="text1"/>
          <w:kern w:val="0"/>
          <w:sz w:val="24"/>
          <w:szCs w:val="24"/>
        </w:rPr>
        <w:t>对于带有保护外壳的次氯酸钠发生器，应确保其顶部和底部的通风孔不被遮盖。</w:t>
      </w:r>
    </w:p>
    <w:p w14:paraId="6488042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7.2.2  </w:t>
      </w:r>
      <w:r>
        <w:rPr>
          <w:rFonts w:ascii="Times New Roman" w:eastAsia="宋体" w:hAnsi="Times New Roman" w:cs="Times New Roman"/>
          <w:bCs/>
          <w:color w:val="000000" w:themeColor="text1"/>
          <w:kern w:val="0"/>
          <w:sz w:val="24"/>
          <w:szCs w:val="24"/>
        </w:rPr>
        <w:t>成品溶液罐与脱氢风机集成设</w:t>
      </w:r>
      <w:r>
        <w:rPr>
          <w:rFonts w:ascii="Times New Roman" w:eastAsia="宋体" w:hAnsi="Times New Roman" w:cs="Times New Roman"/>
          <w:bCs/>
          <w:color w:val="000000" w:themeColor="text1"/>
          <w:kern w:val="0"/>
          <w:sz w:val="24"/>
          <w:szCs w:val="24"/>
        </w:rPr>
        <w:t>置，应确保设备接地良好。</w:t>
      </w:r>
    </w:p>
    <w:p w14:paraId="51152E8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7.2.3  </w:t>
      </w:r>
      <w:r>
        <w:rPr>
          <w:rFonts w:ascii="Times New Roman" w:eastAsia="宋体" w:hAnsi="Times New Roman" w:cs="Times New Roman"/>
          <w:bCs/>
          <w:color w:val="000000" w:themeColor="text1"/>
          <w:kern w:val="0"/>
          <w:sz w:val="24"/>
          <w:szCs w:val="24"/>
        </w:rPr>
        <w:t>在氢气排放管路末端应加装羊角风帽。</w:t>
      </w:r>
    </w:p>
    <w:p w14:paraId="34A5E3E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7.2.4  </w:t>
      </w:r>
      <w:r>
        <w:rPr>
          <w:rFonts w:ascii="Times New Roman" w:eastAsia="宋体" w:hAnsi="Times New Roman" w:cs="Times New Roman"/>
          <w:bCs/>
          <w:color w:val="000000" w:themeColor="text1"/>
          <w:kern w:val="0"/>
          <w:sz w:val="24"/>
          <w:szCs w:val="24"/>
        </w:rPr>
        <w:t>应按管路敷设通用要求保持管道的水平度和同轴度；排氢管路应按设计要求保持合适的向上倾斜角度。</w:t>
      </w:r>
    </w:p>
    <w:p w14:paraId="5B24007C" w14:textId="77777777" w:rsidR="00E269CD" w:rsidRDefault="00E13E3E">
      <w:pPr>
        <w:spacing w:line="360" w:lineRule="auto"/>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r>
        <w:rPr>
          <w:rFonts w:ascii="Times New Roman" w:eastAsia="宋体" w:hAnsi="Times New Roman" w:cs="Times New Roman"/>
          <w:bCs/>
          <w:color w:val="000000" w:themeColor="text1"/>
          <w:kern w:val="0"/>
          <w:sz w:val="24"/>
          <w:szCs w:val="24"/>
        </w:rPr>
        <w:t xml:space="preserve">7.2.5  </w:t>
      </w:r>
      <w:r>
        <w:rPr>
          <w:rFonts w:ascii="Times New Roman" w:eastAsia="宋体" w:hAnsi="Times New Roman" w:cs="Times New Roman"/>
          <w:bCs/>
          <w:color w:val="000000" w:themeColor="text1"/>
          <w:kern w:val="0"/>
          <w:sz w:val="24"/>
          <w:szCs w:val="24"/>
        </w:rPr>
        <w:t>在有多个成品溶液储存罐时，应确保安装位置的对称及管道阻力的均衡。</w:t>
      </w:r>
    </w:p>
    <w:p w14:paraId="0F337568" w14:textId="77777777" w:rsidR="00E269CD" w:rsidRDefault="00E13E3E">
      <w:pPr>
        <w:keepNext/>
        <w:keepLines/>
        <w:spacing w:line="360" w:lineRule="auto"/>
        <w:jc w:val="center"/>
        <w:outlineLvl w:val="0"/>
        <w:rPr>
          <w:rFonts w:ascii="Times New Roman" w:hAnsi="Times New Roman" w:cs="Times New Roman"/>
          <w:b/>
          <w:bCs/>
          <w:color w:val="000000" w:themeColor="text1"/>
          <w:kern w:val="44"/>
          <w:sz w:val="30"/>
          <w:szCs w:val="44"/>
        </w:rPr>
      </w:pPr>
      <w:bookmarkStart w:id="24" w:name="_Toc127171759"/>
      <w:r>
        <w:rPr>
          <w:rFonts w:ascii="Times New Roman" w:hAnsi="Times New Roman" w:cs="Times New Roman"/>
          <w:b/>
          <w:bCs/>
          <w:color w:val="000000" w:themeColor="text1"/>
          <w:kern w:val="44"/>
          <w:sz w:val="30"/>
          <w:szCs w:val="44"/>
        </w:rPr>
        <w:lastRenderedPageBreak/>
        <w:t xml:space="preserve">8  </w:t>
      </w:r>
      <w:r>
        <w:rPr>
          <w:rFonts w:ascii="Times New Roman" w:hAnsi="Times New Roman" w:cs="Times New Roman"/>
          <w:b/>
          <w:bCs/>
          <w:color w:val="000000" w:themeColor="text1"/>
          <w:kern w:val="44"/>
          <w:sz w:val="30"/>
          <w:szCs w:val="44"/>
        </w:rPr>
        <w:t>运行管理</w:t>
      </w:r>
      <w:bookmarkEnd w:id="24"/>
    </w:p>
    <w:p w14:paraId="442BE0E3"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25" w:name="_Toc127171760"/>
      <w:r>
        <w:rPr>
          <w:rFonts w:ascii="Times New Roman" w:eastAsia="黑体" w:hAnsi="Times New Roman" w:cs="Times New Roman"/>
          <w:b/>
          <w:bCs/>
          <w:color w:val="000000" w:themeColor="text1"/>
          <w:sz w:val="28"/>
          <w:szCs w:val="32"/>
        </w:rPr>
        <w:t xml:space="preserve">8.1  </w:t>
      </w:r>
      <w:r>
        <w:rPr>
          <w:rFonts w:ascii="Times New Roman" w:eastAsia="黑体" w:hAnsi="Times New Roman" w:cs="Times New Roman"/>
          <w:b/>
          <w:bCs/>
          <w:color w:val="000000" w:themeColor="text1"/>
          <w:sz w:val="28"/>
          <w:szCs w:val="32"/>
        </w:rPr>
        <w:t>运输</w:t>
      </w:r>
      <w:bookmarkEnd w:id="25"/>
    </w:p>
    <w:p w14:paraId="625F309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8.1.1  </w:t>
      </w:r>
      <w:r>
        <w:rPr>
          <w:rFonts w:ascii="Times New Roman" w:eastAsia="宋体" w:hAnsi="Times New Roman" w:cs="Times New Roman"/>
          <w:bCs/>
          <w:color w:val="000000" w:themeColor="text1"/>
          <w:kern w:val="0"/>
          <w:sz w:val="24"/>
          <w:szCs w:val="24"/>
        </w:rPr>
        <w:t>次氯酸钠的运输应由有危险品运输资质的单位承担，运输单位应将危险品运输资质资料提交给使用单位。</w:t>
      </w:r>
    </w:p>
    <w:p w14:paraId="78D7FFAC"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26" w:name="_Toc127171761"/>
      <w:r>
        <w:rPr>
          <w:rFonts w:ascii="Times New Roman" w:eastAsia="黑体" w:hAnsi="Times New Roman" w:cs="Times New Roman"/>
          <w:b/>
          <w:bCs/>
          <w:color w:val="000000" w:themeColor="text1"/>
          <w:sz w:val="28"/>
          <w:szCs w:val="32"/>
        </w:rPr>
        <w:t xml:space="preserve">8.2  </w:t>
      </w:r>
      <w:r>
        <w:rPr>
          <w:rFonts w:ascii="Times New Roman" w:eastAsia="黑体" w:hAnsi="Times New Roman" w:cs="Times New Roman"/>
          <w:b/>
          <w:bCs/>
          <w:color w:val="000000" w:themeColor="text1"/>
          <w:sz w:val="28"/>
          <w:szCs w:val="32"/>
        </w:rPr>
        <w:t>进货检验</w:t>
      </w:r>
      <w:bookmarkEnd w:id="26"/>
    </w:p>
    <w:p w14:paraId="11785C2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8.2.1  </w:t>
      </w:r>
      <w:r>
        <w:rPr>
          <w:rFonts w:ascii="Times New Roman" w:eastAsia="宋体" w:hAnsi="Times New Roman" w:cs="Times New Roman"/>
          <w:bCs/>
          <w:color w:val="000000" w:themeColor="text1"/>
          <w:kern w:val="0"/>
          <w:sz w:val="24"/>
          <w:szCs w:val="24"/>
        </w:rPr>
        <w:t>制定次氯酸钠收料制度，收料现场查阅药剂的检验报告、检测记录，查看相关的指标参数。</w:t>
      </w:r>
    </w:p>
    <w:p w14:paraId="51730E2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8.2.2  </w:t>
      </w:r>
      <w:r>
        <w:rPr>
          <w:rFonts w:ascii="Times New Roman" w:eastAsia="宋体" w:hAnsi="Times New Roman" w:cs="Times New Roman"/>
          <w:bCs/>
          <w:color w:val="000000" w:themeColor="text1"/>
          <w:kern w:val="0"/>
          <w:sz w:val="24"/>
          <w:szCs w:val="24"/>
        </w:rPr>
        <w:t>装卸货作业有专人现场监管。</w:t>
      </w:r>
    </w:p>
    <w:p w14:paraId="45F3599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8.2.3  </w:t>
      </w:r>
      <w:r>
        <w:rPr>
          <w:rFonts w:ascii="Times New Roman" w:eastAsia="宋体" w:hAnsi="Times New Roman" w:cs="Times New Roman"/>
          <w:bCs/>
          <w:color w:val="000000" w:themeColor="text1"/>
          <w:kern w:val="0"/>
          <w:sz w:val="24"/>
          <w:szCs w:val="24"/>
        </w:rPr>
        <w:t>进料口周围宜保持环境整洁，以防异物进入进料口。</w:t>
      </w:r>
    </w:p>
    <w:p w14:paraId="23C0EB1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8.2.4  </w:t>
      </w:r>
      <w:r>
        <w:rPr>
          <w:rFonts w:ascii="Times New Roman" w:eastAsia="宋体" w:hAnsi="Times New Roman" w:cs="Times New Roman"/>
          <w:bCs/>
          <w:color w:val="000000" w:themeColor="text1"/>
          <w:kern w:val="0"/>
          <w:sz w:val="24"/>
          <w:szCs w:val="24"/>
        </w:rPr>
        <w:t>在药剂进货时，应对外观、有效氯（以</w:t>
      </w:r>
      <w:r>
        <w:rPr>
          <w:rFonts w:ascii="Times New Roman" w:eastAsia="宋体" w:hAnsi="Times New Roman" w:cs="Times New Roman"/>
          <w:bCs/>
          <w:color w:val="000000" w:themeColor="text1"/>
          <w:kern w:val="0"/>
          <w:sz w:val="24"/>
          <w:szCs w:val="24"/>
        </w:rPr>
        <w:t>Cl</w:t>
      </w:r>
      <w:r>
        <w:rPr>
          <w:rFonts w:ascii="Times New Roman" w:eastAsia="宋体" w:hAnsi="Times New Roman" w:cs="Times New Roman"/>
          <w:bCs/>
          <w:color w:val="000000" w:themeColor="text1"/>
          <w:kern w:val="0"/>
          <w:sz w:val="24"/>
          <w:szCs w:val="24"/>
        </w:rPr>
        <w:t>计）的质量分数进行批次检验。供货方应提供该批次的产品检验报告、安全技术说明书和送货单。</w:t>
      </w:r>
    </w:p>
    <w:p w14:paraId="3B08C20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8.2.5  </w:t>
      </w:r>
      <w:r>
        <w:rPr>
          <w:rFonts w:ascii="Times New Roman" w:eastAsia="宋体" w:hAnsi="Times New Roman" w:cs="Times New Roman"/>
          <w:bCs/>
          <w:color w:val="000000" w:themeColor="text1"/>
          <w:kern w:val="0"/>
          <w:sz w:val="24"/>
          <w:szCs w:val="24"/>
        </w:rPr>
        <w:t>应对每批次进货量进行计量复核。</w:t>
      </w:r>
    </w:p>
    <w:p w14:paraId="5A076D9D"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27" w:name="_Toc127171762"/>
      <w:r>
        <w:rPr>
          <w:rFonts w:ascii="Times New Roman" w:eastAsia="黑体" w:hAnsi="Times New Roman" w:cs="Times New Roman"/>
          <w:b/>
          <w:bCs/>
          <w:color w:val="000000" w:themeColor="text1"/>
          <w:sz w:val="28"/>
          <w:szCs w:val="32"/>
        </w:rPr>
        <w:t xml:space="preserve">8.3  </w:t>
      </w:r>
      <w:r>
        <w:rPr>
          <w:rFonts w:ascii="Times New Roman" w:eastAsia="黑体" w:hAnsi="Times New Roman" w:cs="Times New Roman"/>
          <w:b/>
          <w:bCs/>
          <w:color w:val="000000" w:themeColor="text1"/>
          <w:sz w:val="28"/>
          <w:szCs w:val="32"/>
        </w:rPr>
        <w:t>储存</w:t>
      </w:r>
      <w:bookmarkEnd w:id="27"/>
    </w:p>
    <w:p w14:paraId="6A05044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8.3.1  </w:t>
      </w:r>
      <w:r>
        <w:rPr>
          <w:rFonts w:ascii="Times New Roman" w:eastAsia="宋体" w:hAnsi="Times New Roman" w:cs="Times New Roman"/>
          <w:bCs/>
          <w:color w:val="000000" w:themeColor="text1"/>
          <w:kern w:val="0"/>
          <w:sz w:val="24"/>
          <w:szCs w:val="24"/>
        </w:rPr>
        <w:t>储池（罐）应配置液位显示装置并定期进行检定。</w:t>
      </w:r>
    </w:p>
    <w:p w14:paraId="5D82661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8.3.2  </w:t>
      </w:r>
      <w:r>
        <w:rPr>
          <w:rFonts w:ascii="Times New Roman" w:eastAsia="宋体" w:hAnsi="Times New Roman" w:cs="Times New Roman"/>
          <w:bCs/>
          <w:color w:val="000000" w:themeColor="text1"/>
          <w:kern w:val="0"/>
          <w:sz w:val="24"/>
          <w:szCs w:val="24"/>
        </w:rPr>
        <w:t>储存场所应采取避光、通风、阴凉的措施，不宜堆放杂物</w:t>
      </w:r>
      <w:r>
        <w:rPr>
          <w:rFonts w:ascii="Times New Roman" w:eastAsia="宋体" w:hAnsi="Times New Roman" w:cs="Times New Roman"/>
          <w:bCs/>
          <w:color w:val="000000" w:themeColor="text1"/>
          <w:kern w:val="0"/>
          <w:sz w:val="24"/>
          <w:szCs w:val="24"/>
        </w:rPr>
        <w:t>。</w:t>
      </w:r>
    </w:p>
    <w:p w14:paraId="6E929C8C"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8.3.3  </w:t>
      </w:r>
      <w:r>
        <w:rPr>
          <w:rFonts w:ascii="Times New Roman" w:eastAsia="宋体" w:hAnsi="Times New Roman" w:cs="Times New Roman"/>
          <w:bCs/>
          <w:color w:val="000000" w:themeColor="text1"/>
          <w:kern w:val="0"/>
          <w:sz w:val="24"/>
          <w:szCs w:val="24"/>
        </w:rPr>
        <w:t>次氯酸钠储存量满足</w:t>
      </w:r>
      <w:r>
        <w:rPr>
          <w:rFonts w:ascii="Times New Roman" w:eastAsia="宋体" w:hAnsi="Times New Roman" w:cs="Times New Roman"/>
          <w:bCs/>
          <w:color w:val="000000" w:themeColor="text1"/>
          <w:kern w:val="0"/>
          <w:sz w:val="24"/>
          <w:szCs w:val="24"/>
        </w:rPr>
        <w:t>5d~15d</w:t>
      </w:r>
      <w:r>
        <w:rPr>
          <w:rFonts w:ascii="Times New Roman" w:eastAsia="宋体" w:hAnsi="Times New Roman" w:cs="Times New Roman"/>
          <w:bCs/>
          <w:color w:val="000000" w:themeColor="text1"/>
          <w:kern w:val="0"/>
          <w:sz w:val="24"/>
          <w:szCs w:val="24"/>
        </w:rPr>
        <w:t>的用量，储存时间过长应进行检测后再使用。</w:t>
      </w:r>
    </w:p>
    <w:p w14:paraId="098CA92A"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28" w:name="_Toc127171763"/>
      <w:r>
        <w:rPr>
          <w:rFonts w:ascii="Times New Roman" w:eastAsia="黑体" w:hAnsi="Times New Roman" w:cs="Times New Roman"/>
          <w:b/>
          <w:bCs/>
          <w:color w:val="000000" w:themeColor="text1"/>
          <w:sz w:val="28"/>
          <w:szCs w:val="32"/>
        </w:rPr>
        <w:t xml:space="preserve">8.4  </w:t>
      </w:r>
      <w:r>
        <w:rPr>
          <w:rFonts w:ascii="Times New Roman" w:eastAsia="黑体" w:hAnsi="Times New Roman" w:cs="Times New Roman"/>
          <w:b/>
          <w:bCs/>
          <w:color w:val="000000" w:themeColor="text1"/>
          <w:sz w:val="28"/>
          <w:szCs w:val="32"/>
        </w:rPr>
        <w:t>稀释</w:t>
      </w:r>
      <w:bookmarkEnd w:id="28"/>
    </w:p>
    <w:p w14:paraId="74425EE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8.4.1  </w:t>
      </w:r>
      <w:r>
        <w:rPr>
          <w:rFonts w:ascii="Times New Roman" w:eastAsia="宋体" w:hAnsi="Times New Roman" w:cs="Times New Roman"/>
          <w:bCs/>
          <w:color w:val="000000" w:themeColor="text1"/>
          <w:kern w:val="0"/>
          <w:sz w:val="24"/>
          <w:szCs w:val="24"/>
        </w:rPr>
        <w:t>根据生产实际需求可对次氯酸钠进行稀释。</w:t>
      </w:r>
    </w:p>
    <w:p w14:paraId="3140FD3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8.4.2  </w:t>
      </w:r>
      <w:r>
        <w:rPr>
          <w:rFonts w:ascii="Times New Roman" w:eastAsia="宋体" w:hAnsi="Times New Roman" w:cs="Times New Roman"/>
          <w:bCs/>
          <w:color w:val="000000" w:themeColor="text1"/>
          <w:kern w:val="0"/>
          <w:sz w:val="24"/>
          <w:szCs w:val="24"/>
        </w:rPr>
        <w:t>稀释宜采用软化水，软化水可由钠离子交换软水器现场制备获取。软水硬度不大于</w:t>
      </w:r>
      <w:r>
        <w:rPr>
          <w:rFonts w:ascii="Times New Roman" w:eastAsia="宋体" w:hAnsi="Times New Roman" w:cs="Times New Roman"/>
          <w:bCs/>
          <w:color w:val="000000" w:themeColor="text1"/>
          <w:kern w:val="0"/>
          <w:sz w:val="24"/>
          <w:szCs w:val="24"/>
        </w:rPr>
        <w:t xml:space="preserve"> 20mg/L CaCO</w:t>
      </w:r>
      <w:r>
        <w:rPr>
          <w:rFonts w:ascii="Times New Roman" w:eastAsia="宋体" w:hAnsi="Times New Roman" w:cs="Times New Roman"/>
          <w:bCs/>
          <w:color w:val="000000" w:themeColor="text1"/>
          <w:kern w:val="0"/>
          <w:sz w:val="24"/>
          <w:szCs w:val="24"/>
          <w:vertAlign w:val="subscript"/>
        </w:rPr>
        <w:t>3</w:t>
      </w:r>
      <w:r>
        <w:rPr>
          <w:rFonts w:ascii="Times New Roman" w:eastAsia="宋体" w:hAnsi="Times New Roman" w:cs="Times New Roman"/>
          <w:bCs/>
          <w:color w:val="000000" w:themeColor="text1"/>
          <w:kern w:val="0"/>
          <w:sz w:val="24"/>
          <w:szCs w:val="24"/>
        </w:rPr>
        <w:t>。</w:t>
      </w:r>
    </w:p>
    <w:p w14:paraId="25402EA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8.4.3  </w:t>
      </w:r>
      <w:r>
        <w:rPr>
          <w:rFonts w:ascii="Times New Roman" w:eastAsia="宋体" w:hAnsi="Times New Roman" w:cs="Times New Roman"/>
          <w:bCs/>
          <w:color w:val="000000" w:themeColor="text1"/>
          <w:kern w:val="0"/>
          <w:sz w:val="24"/>
          <w:szCs w:val="24"/>
        </w:rPr>
        <w:t>稀释完毕后，应测定次氯酸钠的有效浓度后方可使用。</w:t>
      </w:r>
    </w:p>
    <w:p w14:paraId="2A49C10A"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29" w:name="_Toc127171764"/>
      <w:r>
        <w:rPr>
          <w:rFonts w:ascii="Times New Roman" w:eastAsia="黑体" w:hAnsi="Times New Roman" w:cs="Times New Roman"/>
          <w:b/>
          <w:bCs/>
          <w:color w:val="000000" w:themeColor="text1"/>
          <w:sz w:val="28"/>
          <w:szCs w:val="32"/>
        </w:rPr>
        <w:t xml:space="preserve">8.5  </w:t>
      </w:r>
      <w:r>
        <w:rPr>
          <w:rFonts w:ascii="Times New Roman" w:eastAsia="黑体" w:hAnsi="Times New Roman" w:cs="Times New Roman"/>
          <w:b/>
          <w:bCs/>
          <w:color w:val="000000" w:themeColor="text1"/>
          <w:sz w:val="28"/>
          <w:szCs w:val="32"/>
        </w:rPr>
        <w:t>投加</w:t>
      </w:r>
      <w:bookmarkEnd w:id="29"/>
    </w:p>
    <w:p w14:paraId="6A7F5B5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8.5.1  </w:t>
      </w:r>
      <w:r>
        <w:rPr>
          <w:rFonts w:ascii="Times New Roman" w:eastAsia="宋体" w:hAnsi="Times New Roman" w:cs="Times New Roman"/>
          <w:bCs/>
          <w:color w:val="000000" w:themeColor="text1"/>
          <w:kern w:val="0"/>
          <w:sz w:val="24"/>
          <w:szCs w:val="24"/>
        </w:rPr>
        <w:t>次氯酸钠管理人员应参加危险化学品从业人员安全培训并获证，同时做好培复训工作，作业时严格遵守相应的操作规程。</w:t>
      </w:r>
    </w:p>
    <w:p w14:paraId="32E0407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8.5.2  </w:t>
      </w:r>
      <w:r>
        <w:rPr>
          <w:rFonts w:ascii="Times New Roman" w:eastAsia="宋体" w:hAnsi="Times New Roman" w:cs="Times New Roman"/>
          <w:bCs/>
          <w:color w:val="000000" w:themeColor="text1"/>
          <w:kern w:val="0"/>
          <w:sz w:val="24"/>
          <w:szCs w:val="24"/>
        </w:rPr>
        <w:t>在对管道阀门操作或取样化验时，操作人员应佩戴化学安全防护眼镜、橡胶手套等防护装备。</w:t>
      </w:r>
    </w:p>
    <w:p w14:paraId="60152A7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8.5.3  </w:t>
      </w:r>
      <w:r>
        <w:rPr>
          <w:rFonts w:ascii="Times New Roman" w:eastAsia="宋体" w:hAnsi="Times New Roman" w:cs="Times New Roman"/>
          <w:bCs/>
          <w:color w:val="000000" w:themeColor="text1"/>
          <w:kern w:val="0"/>
          <w:sz w:val="24"/>
          <w:szCs w:val="24"/>
        </w:rPr>
        <w:t>根据生产实际需求对次氯酸钠进行计量投加，并对药剂的使用进行记录，</w:t>
      </w:r>
      <w:r>
        <w:rPr>
          <w:rFonts w:ascii="Times New Roman" w:eastAsia="宋体" w:hAnsi="Times New Roman" w:cs="Times New Roman"/>
          <w:bCs/>
          <w:color w:val="000000" w:themeColor="text1"/>
          <w:kern w:val="0"/>
          <w:sz w:val="24"/>
          <w:szCs w:val="24"/>
        </w:rPr>
        <w:lastRenderedPageBreak/>
        <w:t>信息齐全，可以追溯。</w:t>
      </w:r>
    </w:p>
    <w:p w14:paraId="270AAA9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8.5.4  </w:t>
      </w:r>
      <w:r>
        <w:rPr>
          <w:rFonts w:ascii="Times New Roman" w:eastAsia="宋体" w:hAnsi="Times New Roman" w:cs="Times New Roman"/>
          <w:bCs/>
          <w:color w:val="000000" w:themeColor="text1"/>
          <w:kern w:val="0"/>
          <w:sz w:val="24"/>
          <w:szCs w:val="24"/>
        </w:rPr>
        <w:t>次氯酸钠加注量宜按加注系统配备的计量器具确定。</w:t>
      </w:r>
    </w:p>
    <w:p w14:paraId="5F3E2AE8"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30" w:name="_Toc127171765"/>
      <w:r>
        <w:rPr>
          <w:rFonts w:ascii="Times New Roman" w:eastAsia="黑体" w:hAnsi="Times New Roman" w:cs="Times New Roman"/>
          <w:b/>
          <w:bCs/>
          <w:color w:val="000000" w:themeColor="text1"/>
          <w:sz w:val="28"/>
          <w:szCs w:val="32"/>
        </w:rPr>
        <w:t xml:space="preserve">8.6  </w:t>
      </w:r>
      <w:r>
        <w:rPr>
          <w:rFonts w:ascii="Times New Roman" w:eastAsia="黑体" w:hAnsi="Times New Roman" w:cs="Times New Roman"/>
          <w:b/>
          <w:bCs/>
          <w:color w:val="000000" w:themeColor="text1"/>
          <w:sz w:val="28"/>
          <w:szCs w:val="32"/>
        </w:rPr>
        <w:t>日常管理</w:t>
      </w:r>
      <w:bookmarkEnd w:id="30"/>
    </w:p>
    <w:p w14:paraId="6F00E2E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8.6.1  </w:t>
      </w:r>
      <w:r>
        <w:rPr>
          <w:rFonts w:ascii="Times New Roman" w:eastAsia="宋体" w:hAnsi="Times New Roman" w:cs="Times New Roman"/>
          <w:bCs/>
          <w:color w:val="000000" w:themeColor="text1"/>
          <w:kern w:val="0"/>
          <w:sz w:val="24"/>
          <w:szCs w:val="24"/>
        </w:rPr>
        <w:t>操作人员每日对次氯酸钠制备、提升、配液、加注等系统巡检，做好巡检记录。一旦发现跑、冒、滴、漏现象，应及时予以处理。生产场所中若发现有异味，应及时进行氯气浓度检测，并开启通风设备。</w:t>
      </w:r>
    </w:p>
    <w:p w14:paraId="100D322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8.6.2  </w:t>
      </w:r>
      <w:r>
        <w:rPr>
          <w:rFonts w:ascii="Times New Roman" w:eastAsia="宋体" w:hAnsi="Times New Roman" w:cs="Times New Roman"/>
          <w:bCs/>
          <w:color w:val="000000" w:themeColor="text1"/>
          <w:kern w:val="0"/>
          <w:sz w:val="24"/>
          <w:szCs w:val="24"/>
        </w:rPr>
        <w:t>每季度检查池体、阀门、泵、管道等标识，</w:t>
      </w:r>
      <w:r>
        <w:rPr>
          <w:rFonts w:ascii="Times New Roman" w:eastAsia="宋体" w:hAnsi="Times New Roman" w:cs="Times New Roman"/>
          <w:bCs/>
          <w:color w:val="000000" w:themeColor="text1"/>
          <w:kern w:val="0"/>
          <w:sz w:val="24"/>
          <w:szCs w:val="24"/>
        </w:rPr>
        <w:t>编号、介质名称、状态、流向等信息标识完整。</w:t>
      </w:r>
    </w:p>
    <w:p w14:paraId="6549B63E" w14:textId="77777777" w:rsidR="00E269CD" w:rsidRDefault="00E13E3E">
      <w:pPr>
        <w:spacing w:line="360" w:lineRule="auto"/>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r>
        <w:rPr>
          <w:rFonts w:ascii="Times New Roman" w:eastAsia="宋体" w:hAnsi="Times New Roman" w:cs="Times New Roman"/>
          <w:bCs/>
          <w:color w:val="000000" w:themeColor="text1"/>
          <w:kern w:val="0"/>
          <w:sz w:val="24"/>
          <w:szCs w:val="24"/>
        </w:rPr>
        <w:t xml:space="preserve">8.6.3  </w:t>
      </w:r>
      <w:r>
        <w:rPr>
          <w:rFonts w:ascii="Times New Roman" w:eastAsia="宋体" w:hAnsi="Times New Roman" w:cs="Times New Roman"/>
          <w:bCs/>
          <w:color w:val="000000" w:themeColor="text1"/>
          <w:kern w:val="0"/>
          <w:sz w:val="24"/>
          <w:szCs w:val="24"/>
        </w:rPr>
        <w:t>定期测定储液池内次氯酸钠溶液氯的有效浓度。</w:t>
      </w:r>
    </w:p>
    <w:p w14:paraId="57E14B94" w14:textId="77777777" w:rsidR="00E269CD" w:rsidRDefault="00E13E3E">
      <w:pPr>
        <w:keepNext/>
        <w:keepLines/>
        <w:spacing w:line="360" w:lineRule="auto"/>
        <w:jc w:val="center"/>
        <w:outlineLvl w:val="0"/>
        <w:rPr>
          <w:rFonts w:ascii="Times New Roman" w:hAnsi="Times New Roman" w:cs="Times New Roman"/>
          <w:b/>
          <w:bCs/>
          <w:color w:val="000000" w:themeColor="text1"/>
          <w:kern w:val="44"/>
          <w:sz w:val="30"/>
          <w:szCs w:val="44"/>
        </w:rPr>
      </w:pPr>
      <w:bookmarkStart w:id="31" w:name="_Toc127171766"/>
      <w:r>
        <w:rPr>
          <w:rFonts w:ascii="Times New Roman" w:hAnsi="Times New Roman" w:cs="Times New Roman"/>
          <w:b/>
          <w:bCs/>
          <w:color w:val="000000" w:themeColor="text1"/>
          <w:kern w:val="44"/>
          <w:sz w:val="30"/>
          <w:szCs w:val="44"/>
        </w:rPr>
        <w:lastRenderedPageBreak/>
        <w:t xml:space="preserve">9  </w:t>
      </w:r>
      <w:r>
        <w:rPr>
          <w:rFonts w:ascii="Times New Roman" w:hAnsi="Times New Roman" w:cs="Times New Roman"/>
          <w:b/>
          <w:bCs/>
          <w:color w:val="000000" w:themeColor="text1"/>
          <w:kern w:val="44"/>
          <w:sz w:val="30"/>
          <w:szCs w:val="44"/>
        </w:rPr>
        <w:t>维护管理</w:t>
      </w:r>
      <w:bookmarkEnd w:id="31"/>
    </w:p>
    <w:p w14:paraId="791D4B8C"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32" w:name="_Toc127171767"/>
      <w:r>
        <w:rPr>
          <w:rFonts w:ascii="Times New Roman" w:eastAsia="黑体" w:hAnsi="Times New Roman" w:cs="Times New Roman"/>
          <w:b/>
          <w:bCs/>
          <w:color w:val="000000" w:themeColor="text1"/>
          <w:sz w:val="28"/>
          <w:szCs w:val="32"/>
        </w:rPr>
        <w:t xml:space="preserve">9.1  </w:t>
      </w:r>
      <w:r>
        <w:rPr>
          <w:rFonts w:ascii="Times New Roman" w:eastAsia="黑体" w:hAnsi="Times New Roman" w:cs="Times New Roman"/>
          <w:b/>
          <w:bCs/>
          <w:color w:val="000000" w:themeColor="text1"/>
          <w:sz w:val="28"/>
          <w:szCs w:val="32"/>
        </w:rPr>
        <w:t>维护</w:t>
      </w:r>
      <w:bookmarkEnd w:id="32"/>
    </w:p>
    <w:p w14:paraId="73E8317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9.1.1  </w:t>
      </w:r>
      <w:r>
        <w:rPr>
          <w:rFonts w:ascii="Times New Roman" w:eastAsia="宋体" w:hAnsi="Times New Roman" w:cs="Times New Roman"/>
          <w:bCs/>
          <w:color w:val="000000" w:themeColor="text1"/>
          <w:kern w:val="0"/>
          <w:sz w:val="24"/>
          <w:szCs w:val="24"/>
        </w:rPr>
        <w:t>每月检查调流阀、加药泵、管道等设备。现场应有保留设备保养维护记录。</w:t>
      </w:r>
    </w:p>
    <w:p w14:paraId="2DBDB85C"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9.1.2  </w:t>
      </w:r>
      <w:r>
        <w:rPr>
          <w:rFonts w:ascii="Times New Roman" w:eastAsia="宋体" w:hAnsi="Times New Roman" w:cs="Times New Roman"/>
          <w:bCs/>
          <w:color w:val="000000" w:themeColor="text1"/>
          <w:kern w:val="0"/>
          <w:sz w:val="24"/>
          <w:szCs w:val="24"/>
        </w:rPr>
        <w:t>次氯酸钠待检池、储液池、配液池等设施宜每年进行清洗，并对防腐涂层进行检查。</w:t>
      </w:r>
    </w:p>
    <w:p w14:paraId="6256621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9.1.3  </w:t>
      </w:r>
      <w:r>
        <w:rPr>
          <w:rFonts w:ascii="Times New Roman" w:eastAsia="宋体" w:hAnsi="Times New Roman" w:cs="Times New Roman"/>
          <w:bCs/>
          <w:color w:val="000000" w:themeColor="text1"/>
          <w:kern w:val="0"/>
          <w:sz w:val="24"/>
          <w:szCs w:val="24"/>
        </w:rPr>
        <w:t>待检池、储液池、配液池清洗时，应使用清水对池体、池壁进行冲洗。对于清洗后的废液，应按</w:t>
      </w:r>
      <w:r>
        <w:rPr>
          <w:rFonts w:ascii="Times New Roman" w:eastAsia="宋体" w:hAnsi="Times New Roman" w:cs="Times New Roman"/>
          <w:bCs/>
          <w:color w:val="000000" w:themeColor="text1"/>
          <w:kern w:val="0"/>
          <w:sz w:val="24"/>
          <w:szCs w:val="24"/>
        </w:rPr>
        <w:t>6.2</w:t>
      </w:r>
      <w:r>
        <w:rPr>
          <w:rFonts w:ascii="Times New Roman" w:eastAsia="宋体" w:hAnsi="Times New Roman" w:cs="Times New Roman"/>
          <w:bCs/>
          <w:color w:val="000000" w:themeColor="text1"/>
          <w:kern w:val="0"/>
          <w:sz w:val="24"/>
          <w:szCs w:val="24"/>
        </w:rPr>
        <w:t>执行。</w:t>
      </w:r>
    </w:p>
    <w:p w14:paraId="26FDB67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9.1.4  </w:t>
      </w:r>
      <w:r>
        <w:rPr>
          <w:rFonts w:ascii="Times New Roman" w:eastAsia="宋体" w:hAnsi="Times New Roman" w:cs="Times New Roman"/>
          <w:bCs/>
          <w:color w:val="000000" w:themeColor="text1"/>
          <w:kern w:val="0"/>
          <w:sz w:val="24"/>
          <w:szCs w:val="24"/>
        </w:rPr>
        <w:t>系统维护检修前，应进行系统状态确认（包括阀门、泵、管道、排放等环节），确认无误后方可进行作业。</w:t>
      </w:r>
    </w:p>
    <w:p w14:paraId="6E4DD03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9.1.5  </w:t>
      </w:r>
      <w:r>
        <w:rPr>
          <w:rFonts w:ascii="Times New Roman" w:eastAsia="宋体" w:hAnsi="Times New Roman" w:cs="Times New Roman"/>
          <w:bCs/>
          <w:color w:val="000000" w:themeColor="text1"/>
          <w:kern w:val="0"/>
          <w:sz w:val="24"/>
          <w:szCs w:val="24"/>
        </w:rPr>
        <w:t>对次氯酸钠储液池或调流阀、加药泵、阀门管道等设备清洗时，禁止和硫酸铵、混凝剂（硫酸铝、聚硫氯化铝）等不同药剂加注设备同时清洗。</w:t>
      </w:r>
    </w:p>
    <w:p w14:paraId="3A39B7C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9.1.6  </w:t>
      </w:r>
      <w:r>
        <w:rPr>
          <w:rFonts w:ascii="Times New Roman" w:eastAsia="宋体" w:hAnsi="Times New Roman" w:cs="Times New Roman"/>
          <w:bCs/>
          <w:color w:val="000000" w:themeColor="text1"/>
          <w:kern w:val="0"/>
          <w:sz w:val="24"/>
          <w:szCs w:val="24"/>
        </w:rPr>
        <w:t>定期检查排风设备、喷淋装置（包括洗眼器），并做好记录。</w:t>
      </w:r>
    </w:p>
    <w:p w14:paraId="534C396A"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33" w:name="_Toc127171768"/>
      <w:r>
        <w:rPr>
          <w:rFonts w:ascii="Times New Roman" w:eastAsia="黑体" w:hAnsi="Times New Roman" w:cs="Times New Roman"/>
          <w:b/>
          <w:bCs/>
          <w:color w:val="000000" w:themeColor="text1"/>
          <w:sz w:val="28"/>
          <w:szCs w:val="32"/>
        </w:rPr>
        <w:t xml:space="preserve">9.2  </w:t>
      </w:r>
      <w:r>
        <w:rPr>
          <w:rFonts w:ascii="Times New Roman" w:eastAsia="黑体" w:hAnsi="Times New Roman" w:cs="Times New Roman"/>
          <w:b/>
          <w:bCs/>
          <w:color w:val="000000" w:themeColor="text1"/>
          <w:sz w:val="28"/>
          <w:szCs w:val="32"/>
        </w:rPr>
        <w:t>管理</w:t>
      </w:r>
      <w:bookmarkEnd w:id="33"/>
    </w:p>
    <w:p w14:paraId="2E43757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9.2.1  </w:t>
      </w:r>
      <w:r>
        <w:rPr>
          <w:rFonts w:ascii="Times New Roman" w:eastAsia="宋体" w:hAnsi="Times New Roman" w:cs="Times New Roman"/>
          <w:bCs/>
          <w:color w:val="000000" w:themeColor="text1"/>
          <w:kern w:val="0"/>
          <w:sz w:val="24"/>
          <w:szCs w:val="24"/>
        </w:rPr>
        <w:t>次氯酸钠加注系统配备的计量器具每</w:t>
      </w:r>
      <w:r>
        <w:rPr>
          <w:rFonts w:ascii="Times New Roman" w:eastAsia="宋体" w:hAnsi="Times New Roman" w:cs="Times New Roman"/>
          <w:bCs/>
          <w:color w:val="000000" w:themeColor="text1"/>
          <w:kern w:val="0"/>
          <w:sz w:val="24"/>
          <w:szCs w:val="24"/>
        </w:rPr>
        <w:t>5</w:t>
      </w:r>
      <w:r>
        <w:rPr>
          <w:rFonts w:ascii="Times New Roman" w:eastAsia="宋体" w:hAnsi="Times New Roman" w:cs="Times New Roman"/>
          <w:bCs/>
          <w:color w:val="000000" w:themeColor="text1"/>
          <w:kern w:val="0"/>
          <w:sz w:val="24"/>
          <w:szCs w:val="24"/>
        </w:rPr>
        <w:t>年至少校准一次。</w:t>
      </w:r>
    </w:p>
    <w:p w14:paraId="6CFE4DE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9.2.2  </w:t>
      </w:r>
      <w:r>
        <w:rPr>
          <w:rFonts w:ascii="Times New Roman" w:eastAsia="宋体" w:hAnsi="Times New Roman" w:cs="Times New Roman"/>
          <w:bCs/>
          <w:color w:val="000000" w:themeColor="text1"/>
          <w:kern w:val="0"/>
          <w:sz w:val="24"/>
          <w:szCs w:val="24"/>
        </w:rPr>
        <w:t>进行系统清洗或设备维修保养时，应在工作点设置隔离措施并设置相对应的警示标识，起到工作现场警示作用，同时开启排</w:t>
      </w:r>
      <w:r>
        <w:rPr>
          <w:rFonts w:ascii="Times New Roman" w:eastAsia="宋体" w:hAnsi="Times New Roman" w:cs="Times New Roman"/>
          <w:bCs/>
          <w:color w:val="000000" w:themeColor="text1"/>
          <w:kern w:val="0"/>
          <w:sz w:val="24"/>
          <w:szCs w:val="24"/>
        </w:rPr>
        <w:t>风装置，并对作业环境中氯气进行检测，操作人员应做好个人防护措施。</w:t>
      </w:r>
    </w:p>
    <w:p w14:paraId="72FF00B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9.2.3  </w:t>
      </w:r>
      <w:r>
        <w:rPr>
          <w:rFonts w:ascii="Times New Roman" w:eastAsia="宋体" w:hAnsi="Times New Roman" w:cs="Times New Roman"/>
          <w:bCs/>
          <w:color w:val="000000" w:themeColor="text1"/>
          <w:kern w:val="0"/>
          <w:sz w:val="24"/>
          <w:szCs w:val="24"/>
        </w:rPr>
        <w:t>清洗待检池、储液池、配液池时，做好有限空间作业、高处作业、临时用电等工作。</w:t>
      </w:r>
    </w:p>
    <w:p w14:paraId="3BCC357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9.2.4  </w:t>
      </w:r>
      <w:r>
        <w:rPr>
          <w:rFonts w:ascii="Times New Roman" w:eastAsia="宋体" w:hAnsi="Times New Roman" w:cs="Times New Roman"/>
          <w:bCs/>
          <w:color w:val="000000" w:themeColor="text1"/>
          <w:kern w:val="0"/>
          <w:sz w:val="24"/>
          <w:szCs w:val="24"/>
        </w:rPr>
        <w:t>清洗作业前，对相关人员进行安全教育，对作业设施设备、工器具进行检查，对作业场所氧气浓度进行检测。</w:t>
      </w:r>
    </w:p>
    <w:p w14:paraId="242CECB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9.2.5  </w:t>
      </w:r>
      <w:r>
        <w:rPr>
          <w:rFonts w:ascii="Times New Roman" w:eastAsia="宋体" w:hAnsi="Times New Roman" w:cs="Times New Roman"/>
          <w:bCs/>
          <w:color w:val="000000" w:themeColor="text1"/>
          <w:kern w:val="0"/>
          <w:sz w:val="24"/>
          <w:szCs w:val="24"/>
        </w:rPr>
        <w:t>清洗作业中，需对作业区进行隔离，进入作业现场的人员应正确佩戴符合要求的防护用品，并遵守相关安全技术操作规程。</w:t>
      </w:r>
    </w:p>
    <w:p w14:paraId="6A82801F" w14:textId="77777777" w:rsidR="00E269CD" w:rsidRDefault="00E13E3E">
      <w:pPr>
        <w:spacing w:line="360" w:lineRule="auto"/>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r>
        <w:rPr>
          <w:rFonts w:ascii="Times New Roman" w:eastAsia="宋体" w:hAnsi="Times New Roman" w:cs="Times New Roman"/>
          <w:bCs/>
          <w:color w:val="000000" w:themeColor="text1"/>
          <w:kern w:val="0"/>
          <w:sz w:val="24"/>
          <w:szCs w:val="24"/>
        </w:rPr>
        <w:t xml:space="preserve">9.2.6  </w:t>
      </w:r>
      <w:r>
        <w:rPr>
          <w:rFonts w:ascii="Times New Roman" w:eastAsia="宋体" w:hAnsi="Times New Roman" w:cs="Times New Roman"/>
          <w:bCs/>
          <w:color w:val="000000" w:themeColor="text1"/>
          <w:kern w:val="0"/>
          <w:sz w:val="24"/>
          <w:szCs w:val="24"/>
        </w:rPr>
        <w:t>清洗作业完毕后，应恢复作业时拆移的盖板、栏杆等安全设施的安全使用功能，做到工</w:t>
      </w:r>
      <w:r>
        <w:rPr>
          <w:rFonts w:ascii="Times New Roman" w:eastAsia="宋体" w:hAnsi="Times New Roman" w:cs="Times New Roman"/>
          <w:bCs/>
          <w:color w:val="000000" w:themeColor="text1"/>
          <w:kern w:val="0"/>
          <w:sz w:val="24"/>
          <w:szCs w:val="24"/>
        </w:rPr>
        <w:t>完料尽场地清，并验收确认。</w:t>
      </w:r>
    </w:p>
    <w:p w14:paraId="2B7A1C53" w14:textId="77777777" w:rsidR="00E269CD" w:rsidRDefault="00E13E3E">
      <w:pPr>
        <w:keepNext/>
        <w:keepLines/>
        <w:spacing w:line="360" w:lineRule="auto"/>
        <w:jc w:val="center"/>
        <w:outlineLvl w:val="0"/>
        <w:rPr>
          <w:rFonts w:ascii="Times New Roman" w:hAnsi="Times New Roman" w:cs="Times New Roman"/>
          <w:b/>
          <w:bCs/>
          <w:color w:val="000000" w:themeColor="text1"/>
          <w:kern w:val="44"/>
          <w:sz w:val="30"/>
          <w:szCs w:val="44"/>
        </w:rPr>
      </w:pPr>
      <w:bookmarkStart w:id="34" w:name="_Toc127171769"/>
      <w:r>
        <w:rPr>
          <w:rFonts w:ascii="Times New Roman" w:hAnsi="Times New Roman" w:cs="Times New Roman"/>
          <w:b/>
          <w:bCs/>
          <w:color w:val="000000" w:themeColor="text1"/>
          <w:kern w:val="44"/>
          <w:sz w:val="30"/>
          <w:szCs w:val="44"/>
        </w:rPr>
        <w:lastRenderedPageBreak/>
        <w:t xml:space="preserve">10  </w:t>
      </w:r>
      <w:r>
        <w:rPr>
          <w:rFonts w:ascii="Times New Roman" w:hAnsi="Times New Roman" w:cs="Times New Roman"/>
          <w:b/>
          <w:bCs/>
          <w:color w:val="000000" w:themeColor="text1"/>
          <w:kern w:val="44"/>
          <w:sz w:val="30"/>
          <w:szCs w:val="44"/>
        </w:rPr>
        <w:t>安全管理</w:t>
      </w:r>
      <w:bookmarkEnd w:id="34"/>
    </w:p>
    <w:p w14:paraId="069D67AF"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35" w:name="_Toc127171770"/>
      <w:r>
        <w:rPr>
          <w:rFonts w:ascii="Times New Roman" w:eastAsia="黑体" w:hAnsi="Times New Roman" w:cs="Times New Roman"/>
          <w:b/>
          <w:bCs/>
          <w:color w:val="000000" w:themeColor="text1"/>
          <w:sz w:val="28"/>
          <w:szCs w:val="32"/>
        </w:rPr>
        <w:t xml:space="preserve">10.1  </w:t>
      </w:r>
      <w:r>
        <w:rPr>
          <w:rFonts w:ascii="Times New Roman" w:eastAsia="黑体" w:hAnsi="Times New Roman" w:cs="Times New Roman"/>
          <w:b/>
          <w:bCs/>
          <w:color w:val="000000" w:themeColor="text1"/>
          <w:sz w:val="28"/>
          <w:szCs w:val="32"/>
        </w:rPr>
        <w:t>安全管理</w:t>
      </w:r>
      <w:bookmarkEnd w:id="35"/>
      <w:r>
        <w:rPr>
          <w:rFonts w:ascii="Times New Roman" w:eastAsia="黑体" w:hAnsi="Times New Roman" w:cs="Times New Roman"/>
          <w:b/>
          <w:bCs/>
          <w:color w:val="000000" w:themeColor="text1"/>
          <w:sz w:val="28"/>
          <w:szCs w:val="32"/>
        </w:rPr>
        <w:t>5</w:t>
      </w:r>
    </w:p>
    <w:p w14:paraId="5F9F5BA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10.1..1  </w:t>
      </w:r>
      <w:r>
        <w:rPr>
          <w:rFonts w:ascii="Times New Roman" w:eastAsia="宋体" w:hAnsi="Times New Roman" w:cs="Times New Roman"/>
          <w:bCs/>
          <w:color w:val="000000" w:themeColor="text1"/>
          <w:kern w:val="0"/>
          <w:sz w:val="24"/>
          <w:szCs w:val="24"/>
        </w:rPr>
        <w:t>工程应进行安全预评价和验收评估，每</w:t>
      </w:r>
      <w:r>
        <w:rPr>
          <w:rFonts w:ascii="Times New Roman" w:eastAsia="宋体" w:hAnsi="Times New Roman" w:cs="Times New Roman"/>
          <w:bCs/>
          <w:color w:val="000000" w:themeColor="text1"/>
          <w:kern w:val="0"/>
          <w:sz w:val="24"/>
          <w:szCs w:val="24"/>
        </w:rPr>
        <w:t>3</w:t>
      </w:r>
      <w:r>
        <w:rPr>
          <w:rFonts w:ascii="Times New Roman" w:eastAsia="宋体" w:hAnsi="Times New Roman" w:cs="Times New Roman"/>
          <w:bCs/>
          <w:color w:val="000000" w:themeColor="text1"/>
          <w:kern w:val="0"/>
          <w:sz w:val="24"/>
          <w:szCs w:val="24"/>
        </w:rPr>
        <w:t>年</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次进行现场安全评价。</w:t>
      </w:r>
    </w:p>
    <w:p w14:paraId="7F8BB62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10.1.2  </w:t>
      </w:r>
      <w:r>
        <w:rPr>
          <w:rFonts w:ascii="Times New Roman" w:eastAsia="宋体" w:hAnsi="Times New Roman" w:cs="Times New Roman"/>
          <w:bCs/>
          <w:color w:val="000000" w:themeColor="text1"/>
          <w:kern w:val="0"/>
          <w:sz w:val="24"/>
          <w:szCs w:val="24"/>
        </w:rPr>
        <w:t>每季度检查次氯酸钠使用现场</w:t>
      </w:r>
      <w:r>
        <w:rPr>
          <w:rFonts w:ascii="Times New Roman" w:eastAsia="宋体" w:hAnsi="Times New Roman" w:cs="Times New Roman"/>
          <w:bCs/>
          <w:color w:val="000000" w:themeColor="text1"/>
          <w:kern w:val="0"/>
          <w:sz w:val="24"/>
          <w:szCs w:val="24"/>
        </w:rPr>
        <w:t>“4</w:t>
      </w:r>
      <w:r>
        <w:rPr>
          <w:rFonts w:ascii="Times New Roman" w:eastAsia="宋体" w:hAnsi="Times New Roman" w:cs="Times New Roman"/>
          <w:bCs/>
          <w:color w:val="000000" w:themeColor="text1"/>
          <w:kern w:val="0"/>
          <w:sz w:val="24"/>
          <w:szCs w:val="24"/>
        </w:rPr>
        <w:t>牌</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图</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标识。</w:t>
      </w:r>
    </w:p>
    <w:p w14:paraId="2DD922D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10.1.3  </w:t>
      </w:r>
      <w:r>
        <w:rPr>
          <w:rFonts w:ascii="Times New Roman" w:eastAsia="宋体" w:hAnsi="Times New Roman" w:cs="Times New Roman"/>
          <w:bCs/>
          <w:color w:val="000000" w:themeColor="text1"/>
          <w:kern w:val="0"/>
          <w:sz w:val="24"/>
          <w:szCs w:val="24"/>
        </w:rPr>
        <w:t>每月检查次氯酸钠使用现场消防设施，并做好记录。</w:t>
      </w:r>
    </w:p>
    <w:p w14:paraId="7E1A25A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10.1.4  </w:t>
      </w:r>
      <w:r>
        <w:rPr>
          <w:rFonts w:ascii="Times New Roman" w:eastAsia="宋体" w:hAnsi="Times New Roman" w:cs="Times New Roman"/>
          <w:bCs/>
          <w:color w:val="000000" w:themeColor="text1"/>
          <w:kern w:val="0"/>
          <w:sz w:val="24"/>
          <w:szCs w:val="24"/>
        </w:rPr>
        <w:t>每年至少一次次氯酸钠专项应急预案演练；当次氯酸钠溶液中有效氯</w:t>
      </w:r>
      <w:r>
        <w:rPr>
          <w:rFonts w:ascii="Times New Roman" w:eastAsia="宋体" w:hAnsi="Times New Roman" w:cs="Times New Roman"/>
          <w:bCs/>
          <w:color w:val="000000" w:themeColor="text1"/>
          <w:kern w:val="0"/>
          <w:sz w:val="24"/>
          <w:szCs w:val="24"/>
        </w:rPr>
        <w:t>5%</w:t>
      </w:r>
      <w:r>
        <w:rPr>
          <w:rFonts w:ascii="Times New Roman" w:eastAsia="宋体" w:hAnsi="Times New Roman" w:cs="Times New Roman"/>
          <w:bCs/>
          <w:color w:val="000000" w:themeColor="text1"/>
          <w:kern w:val="0"/>
          <w:sz w:val="24"/>
          <w:szCs w:val="24"/>
        </w:rPr>
        <w:t>以下时，可根据使用单位管理要求进行。</w:t>
      </w:r>
    </w:p>
    <w:p w14:paraId="4C23ADE5"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36" w:name="_Toc127171771"/>
      <w:r>
        <w:rPr>
          <w:rFonts w:ascii="Times New Roman" w:eastAsia="黑体" w:hAnsi="Times New Roman" w:cs="Times New Roman"/>
          <w:b/>
          <w:bCs/>
          <w:color w:val="000000" w:themeColor="text1"/>
          <w:sz w:val="28"/>
          <w:szCs w:val="32"/>
        </w:rPr>
        <w:t xml:space="preserve">10.2  </w:t>
      </w:r>
      <w:r>
        <w:rPr>
          <w:rFonts w:ascii="Times New Roman" w:eastAsia="黑体" w:hAnsi="Times New Roman" w:cs="Times New Roman"/>
          <w:b/>
          <w:bCs/>
          <w:color w:val="000000" w:themeColor="text1"/>
          <w:sz w:val="28"/>
          <w:szCs w:val="32"/>
        </w:rPr>
        <w:t>安全防护</w:t>
      </w:r>
      <w:bookmarkEnd w:id="36"/>
    </w:p>
    <w:p w14:paraId="0FD2FA7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10.2.1  </w:t>
      </w:r>
      <w:r>
        <w:rPr>
          <w:rFonts w:ascii="Times New Roman" w:eastAsia="宋体" w:hAnsi="Times New Roman" w:cs="Times New Roman"/>
          <w:bCs/>
          <w:color w:val="000000" w:themeColor="text1"/>
          <w:kern w:val="0"/>
          <w:sz w:val="24"/>
          <w:szCs w:val="24"/>
        </w:rPr>
        <w:t>次氯酸钠设备、设施使用时应配备安全防护用品，具体配置如下：</w:t>
      </w:r>
      <w:r>
        <w:rPr>
          <w:rFonts w:ascii="Times New Roman" w:eastAsia="宋体" w:hAnsi="Times New Roman" w:cs="Times New Roman"/>
          <w:bCs/>
          <w:color w:val="000000" w:themeColor="text1"/>
          <w:kern w:val="0"/>
          <w:sz w:val="24"/>
          <w:szCs w:val="24"/>
        </w:rPr>
        <w:t xml:space="preserve"> </w:t>
      </w:r>
    </w:p>
    <w:p w14:paraId="2BDE8922"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 </w:t>
      </w:r>
      <w:r>
        <w:rPr>
          <w:rFonts w:ascii="Times New Roman" w:eastAsia="宋体" w:hAnsi="Times New Roman" w:cs="Times New Roman"/>
          <w:bCs/>
          <w:color w:val="000000" w:themeColor="text1"/>
          <w:kern w:val="0"/>
          <w:sz w:val="24"/>
          <w:szCs w:val="24"/>
        </w:rPr>
        <w:t>进料口</w:t>
      </w:r>
      <w:r>
        <w:rPr>
          <w:rFonts w:ascii="Times New Roman" w:eastAsia="宋体" w:hAnsi="Times New Roman" w:cs="Times New Roman"/>
          <w:bCs/>
          <w:color w:val="000000" w:themeColor="text1"/>
          <w:kern w:val="0"/>
          <w:sz w:val="24"/>
          <w:szCs w:val="24"/>
        </w:rPr>
        <w:t>10m</w:t>
      </w:r>
      <w:r>
        <w:rPr>
          <w:rFonts w:ascii="Times New Roman" w:eastAsia="宋体" w:hAnsi="Times New Roman" w:cs="Times New Roman"/>
          <w:bCs/>
          <w:color w:val="000000" w:themeColor="text1"/>
          <w:kern w:val="0"/>
          <w:sz w:val="24"/>
          <w:szCs w:val="24"/>
        </w:rPr>
        <w:t>范围内设置紧急喷淋装置和洗眼器；</w:t>
      </w:r>
    </w:p>
    <w:p w14:paraId="133FAD27"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2 </w:t>
      </w:r>
      <w:r>
        <w:rPr>
          <w:rFonts w:ascii="Times New Roman" w:eastAsia="宋体" w:hAnsi="Times New Roman" w:cs="Times New Roman"/>
          <w:bCs/>
          <w:color w:val="000000" w:themeColor="text1"/>
          <w:kern w:val="0"/>
          <w:sz w:val="24"/>
          <w:szCs w:val="24"/>
        </w:rPr>
        <w:t>面部防护：佩戴防酸碱面罩</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头盔</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w:t>
      </w:r>
    </w:p>
    <w:p w14:paraId="0CE275CE"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 </w:t>
      </w:r>
      <w:r>
        <w:rPr>
          <w:rFonts w:ascii="Times New Roman" w:eastAsia="宋体" w:hAnsi="Times New Roman" w:cs="Times New Roman"/>
          <w:bCs/>
          <w:color w:val="000000" w:themeColor="text1"/>
          <w:kern w:val="0"/>
          <w:sz w:val="24"/>
          <w:szCs w:val="24"/>
        </w:rPr>
        <w:t>眼睛防护：戴化学安全防护眼镜；</w:t>
      </w:r>
    </w:p>
    <w:p w14:paraId="66CE21FF"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 </w:t>
      </w:r>
      <w:r>
        <w:rPr>
          <w:rFonts w:ascii="Times New Roman" w:eastAsia="宋体" w:hAnsi="Times New Roman" w:cs="Times New Roman"/>
          <w:bCs/>
          <w:color w:val="000000" w:themeColor="text1"/>
          <w:kern w:val="0"/>
          <w:sz w:val="24"/>
          <w:szCs w:val="24"/>
        </w:rPr>
        <w:t>身体防护：穿防腐工作服；</w:t>
      </w:r>
    </w:p>
    <w:p w14:paraId="0CFB1C64"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 </w:t>
      </w:r>
      <w:r>
        <w:rPr>
          <w:rFonts w:ascii="Times New Roman" w:eastAsia="宋体" w:hAnsi="Times New Roman" w:cs="Times New Roman"/>
          <w:bCs/>
          <w:color w:val="000000" w:themeColor="text1"/>
          <w:kern w:val="0"/>
          <w:sz w:val="24"/>
          <w:szCs w:val="24"/>
        </w:rPr>
        <w:t>手防护：戴防酸碱手套；</w:t>
      </w:r>
    </w:p>
    <w:p w14:paraId="187CD942"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6 </w:t>
      </w:r>
      <w:r>
        <w:rPr>
          <w:rFonts w:ascii="Times New Roman" w:eastAsia="宋体" w:hAnsi="Times New Roman" w:cs="Times New Roman"/>
          <w:bCs/>
          <w:color w:val="000000" w:themeColor="text1"/>
          <w:kern w:val="0"/>
          <w:sz w:val="24"/>
          <w:szCs w:val="24"/>
        </w:rPr>
        <w:t>足防护：穿防酸碱胶靴；</w:t>
      </w:r>
    </w:p>
    <w:p w14:paraId="08A783E9"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 </w:t>
      </w:r>
      <w:r>
        <w:rPr>
          <w:rFonts w:ascii="Times New Roman" w:eastAsia="宋体" w:hAnsi="Times New Roman" w:cs="Times New Roman"/>
          <w:bCs/>
          <w:color w:val="000000" w:themeColor="text1"/>
          <w:kern w:val="0"/>
          <w:sz w:val="24"/>
          <w:szCs w:val="24"/>
        </w:rPr>
        <w:t>其他防护：工作现场禁止吸烟、进食和饮水。</w:t>
      </w:r>
    </w:p>
    <w:p w14:paraId="1D7C275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10.2.2  </w:t>
      </w:r>
      <w:r>
        <w:rPr>
          <w:rFonts w:ascii="Times New Roman" w:eastAsia="宋体" w:hAnsi="Times New Roman" w:cs="Times New Roman"/>
          <w:bCs/>
          <w:color w:val="000000" w:themeColor="text1"/>
          <w:kern w:val="0"/>
          <w:sz w:val="24"/>
          <w:szCs w:val="24"/>
        </w:rPr>
        <w:t>对配备的安全防护用品，每月应进行状态检查并留有记录。</w:t>
      </w:r>
    </w:p>
    <w:p w14:paraId="3EFDCFB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10.2.3  </w:t>
      </w:r>
      <w:r>
        <w:rPr>
          <w:rFonts w:ascii="Times New Roman" w:eastAsia="宋体" w:hAnsi="Times New Roman" w:cs="Times New Roman"/>
          <w:bCs/>
          <w:color w:val="000000" w:themeColor="text1"/>
          <w:kern w:val="0"/>
          <w:sz w:val="24"/>
          <w:szCs w:val="24"/>
        </w:rPr>
        <w:t>发生泄漏后或在维修过程中，人员接触次氯酸钠溶液后的急救措施如下：</w:t>
      </w:r>
    </w:p>
    <w:p w14:paraId="2A170955"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 </w:t>
      </w:r>
      <w:r>
        <w:rPr>
          <w:rFonts w:ascii="Times New Roman" w:eastAsia="宋体" w:hAnsi="Times New Roman" w:cs="Times New Roman"/>
          <w:bCs/>
          <w:color w:val="000000" w:themeColor="text1"/>
          <w:kern w:val="0"/>
          <w:sz w:val="24"/>
          <w:szCs w:val="24"/>
        </w:rPr>
        <w:t>皮肤接触：脱去污染的衣着，用大量流动清水冲洗，就医；</w:t>
      </w:r>
    </w:p>
    <w:p w14:paraId="50CDD7E5"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2 </w:t>
      </w:r>
      <w:r>
        <w:rPr>
          <w:rFonts w:ascii="Times New Roman" w:eastAsia="宋体" w:hAnsi="Times New Roman" w:cs="Times New Roman"/>
          <w:bCs/>
          <w:color w:val="000000" w:themeColor="text1"/>
          <w:kern w:val="0"/>
          <w:sz w:val="24"/>
          <w:szCs w:val="24"/>
        </w:rPr>
        <w:t>眼睛接触：提起眼睑，用流动清水或生理盐水冲洗，就医；</w:t>
      </w:r>
    </w:p>
    <w:p w14:paraId="03E05A1D"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 </w:t>
      </w:r>
      <w:r>
        <w:rPr>
          <w:rFonts w:ascii="Times New Roman" w:eastAsia="宋体" w:hAnsi="Times New Roman" w:cs="Times New Roman"/>
          <w:bCs/>
          <w:color w:val="000000" w:themeColor="text1"/>
          <w:kern w:val="0"/>
          <w:sz w:val="24"/>
          <w:szCs w:val="24"/>
        </w:rPr>
        <w:t>吸入：迅速脱离现场至空气新鲜处，保持呼吸道通畅。如呼吸困难，给输氧。如呼吸停止，立即进行人工呼吸。就医。</w:t>
      </w:r>
    </w:p>
    <w:p w14:paraId="50EDCFEB"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  </w:t>
      </w:r>
      <w:r>
        <w:rPr>
          <w:rFonts w:ascii="Times New Roman" w:eastAsia="宋体" w:hAnsi="Times New Roman" w:cs="Times New Roman"/>
          <w:bCs/>
          <w:color w:val="000000" w:themeColor="text1"/>
          <w:kern w:val="0"/>
          <w:sz w:val="24"/>
          <w:szCs w:val="24"/>
        </w:rPr>
        <w:t>一旦发生泄漏，应迅速将人员撤离污染区域，应急人员佩戴呼吸机、防护服、手套后尽可能切断泄漏源。</w:t>
      </w:r>
    </w:p>
    <w:p w14:paraId="4E4E4BDA"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  </w:t>
      </w:r>
      <w:r>
        <w:rPr>
          <w:rFonts w:ascii="Times New Roman" w:eastAsia="宋体" w:hAnsi="Times New Roman" w:cs="Times New Roman"/>
          <w:bCs/>
          <w:color w:val="000000" w:themeColor="text1"/>
          <w:kern w:val="0"/>
          <w:sz w:val="24"/>
          <w:szCs w:val="24"/>
        </w:rPr>
        <w:t>少量泄漏</w:t>
      </w:r>
      <w:r>
        <w:rPr>
          <w:rFonts w:ascii="Times New Roman" w:eastAsia="宋体" w:hAnsi="Times New Roman" w:cs="Times New Roman" w:hint="eastAsia"/>
          <w:bCs/>
          <w:color w:val="000000" w:themeColor="text1"/>
          <w:kern w:val="0"/>
          <w:sz w:val="24"/>
          <w:szCs w:val="24"/>
        </w:rPr>
        <w:t>时，</w:t>
      </w:r>
      <w:r>
        <w:rPr>
          <w:rFonts w:ascii="Times New Roman" w:eastAsia="宋体" w:hAnsi="Times New Roman" w:cs="Times New Roman"/>
          <w:bCs/>
          <w:color w:val="000000" w:themeColor="text1"/>
          <w:kern w:val="0"/>
          <w:sz w:val="24"/>
          <w:szCs w:val="24"/>
        </w:rPr>
        <w:t>用砂土或其他惰性材料吸收；</w:t>
      </w:r>
    </w:p>
    <w:p w14:paraId="2CC0D019" w14:textId="77777777" w:rsidR="00E269CD" w:rsidRDefault="00E13E3E">
      <w:pPr>
        <w:spacing w:line="360" w:lineRule="auto"/>
        <w:ind w:firstLineChars="295" w:firstLine="708"/>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6  </w:t>
      </w:r>
      <w:r>
        <w:rPr>
          <w:rFonts w:ascii="Times New Roman" w:eastAsia="宋体" w:hAnsi="Times New Roman" w:cs="Times New Roman"/>
          <w:bCs/>
          <w:color w:val="000000" w:themeColor="text1"/>
          <w:kern w:val="0"/>
          <w:sz w:val="24"/>
          <w:szCs w:val="24"/>
        </w:rPr>
        <w:t>大量泄漏</w:t>
      </w:r>
      <w:r>
        <w:rPr>
          <w:rFonts w:ascii="Times New Roman" w:eastAsia="宋体" w:hAnsi="Times New Roman" w:cs="Times New Roman" w:hint="eastAsia"/>
          <w:bCs/>
          <w:color w:val="000000" w:themeColor="text1"/>
          <w:kern w:val="0"/>
          <w:sz w:val="24"/>
          <w:szCs w:val="24"/>
        </w:rPr>
        <w:t>时，</w:t>
      </w:r>
      <w:r>
        <w:rPr>
          <w:rFonts w:ascii="Times New Roman" w:eastAsia="宋体" w:hAnsi="Times New Roman" w:cs="Times New Roman"/>
          <w:bCs/>
          <w:color w:val="000000" w:themeColor="text1"/>
          <w:kern w:val="0"/>
          <w:sz w:val="24"/>
          <w:szCs w:val="24"/>
        </w:rPr>
        <w:t>挖坑收容，并用泡沫覆盖，降低蒸气灾害。</w:t>
      </w:r>
    </w:p>
    <w:p w14:paraId="7BFC2A1E" w14:textId="77777777" w:rsidR="00E269CD" w:rsidRDefault="00E269CD">
      <w:pPr>
        <w:spacing w:line="360" w:lineRule="auto"/>
        <w:ind w:firstLineChars="413" w:firstLine="991"/>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p>
    <w:p w14:paraId="13E8B557" w14:textId="77777777" w:rsidR="00E269CD" w:rsidRDefault="00E13E3E">
      <w:pPr>
        <w:keepNext/>
        <w:keepLines/>
        <w:spacing w:line="360" w:lineRule="auto"/>
        <w:jc w:val="center"/>
        <w:outlineLvl w:val="0"/>
        <w:rPr>
          <w:rFonts w:ascii="Times New Roman" w:hAnsi="Times New Roman" w:cs="Times New Roman"/>
          <w:color w:val="000000" w:themeColor="text1"/>
        </w:rPr>
      </w:pPr>
      <w:bookmarkStart w:id="37" w:name="_Toc127171772"/>
      <w:r>
        <w:rPr>
          <w:rFonts w:ascii="Times New Roman" w:hAnsi="Times New Roman" w:cs="Times New Roman"/>
          <w:b/>
          <w:bCs/>
          <w:color w:val="000000" w:themeColor="text1"/>
          <w:kern w:val="44"/>
          <w:sz w:val="30"/>
          <w:szCs w:val="44"/>
        </w:rPr>
        <w:lastRenderedPageBreak/>
        <w:t>用词说明</w:t>
      </w:r>
      <w:bookmarkEnd w:id="37"/>
    </w:p>
    <w:p w14:paraId="61818892" w14:textId="77777777" w:rsidR="00E269CD" w:rsidRDefault="00E269CD">
      <w:pPr>
        <w:adjustRightInd w:val="0"/>
        <w:spacing w:line="360" w:lineRule="auto"/>
        <w:ind w:firstLineChars="200" w:firstLine="560"/>
        <w:jc w:val="left"/>
        <w:textAlignment w:val="baseline"/>
        <w:rPr>
          <w:rFonts w:ascii="Times New Roman" w:eastAsia="宋体" w:hAnsi="Times New Roman" w:cs="Times New Roman"/>
          <w:color w:val="000000" w:themeColor="text1"/>
          <w:kern w:val="0"/>
          <w:sz w:val="28"/>
          <w:szCs w:val="20"/>
        </w:rPr>
      </w:pPr>
    </w:p>
    <w:p w14:paraId="41612B32"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为便于在执行本规程条文时区别对待，对要求严格程度不同的用词说明如下：</w:t>
      </w:r>
    </w:p>
    <w:p w14:paraId="47C2F50E"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  </w:t>
      </w:r>
      <w:r>
        <w:rPr>
          <w:rFonts w:ascii="Times New Roman" w:eastAsia="宋体" w:hAnsi="Times New Roman" w:cs="Times New Roman"/>
          <w:bCs/>
          <w:color w:val="000000" w:themeColor="text1"/>
          <w:kern w:val="0"/>
          <w:sz w:val="24"/>
          <w:szCs w:val="24"/>
        </w:rPr>
        <w:t>表示很严格，非这样做不可的：</w:t>
      </w:r>
    </w:p>
    <w:p w14:paraId="1D3FF666"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正面词采用</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必须</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，反面词采用</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严禁</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w:t>
      </w:r>
    </w:p>
    <w:p w14:paraId="39DC7881"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2  </w:t>
      </w:r>
      <w:r>
        <w:rPr>
          <w:rFonts w:ascii="Times New Roman" w:eastAsia="宋体" w:hAnsi="Times New Roman" w:cs="Times New Roman"/>
          <w:bCs/>
          <w:color w:val="000000" w:themeColor="text1"/>
          <w:kern w:val="0"/>
          <w:sz w:val="24"/>
          <w:szCs w:val="24"/>
        </w:rPr>
        <w:t>表示严格，在正常情况下均应这样做的：</w:t>
      </w:r>
    </w:p>
    <w:p w14:paraId="5A07B159"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正面词采用</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应</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，反面词采用</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不应</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或</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不得</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w:t>
      </w:r>
    </w:p>
    <w:p w14:paraId="742B7DEB"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  </w:t>
      </w:r>
      <w:r>
        <w:rPr>
          <w:rFonts w:ascii="Times New Roman" w:eastAsia="宋体" w:hAnsi="Times New Roman" w:cs="Times New Roman"/>
          <w:bCs/>
          <w:color w:val="000000" w:themeColor="text1"/>
          <w:kern w:val="0"/>
          <w:sz w:val="24"/>
          <w:szCs w:val="24"/>
        </w:rPr>
        <w:t>表示允许稍有选择，在条件许可时首先应这样做的：</w:t>
      </w:r>
    </w:p>
    <w:p w14:paraId="438A915D"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正面词采用</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宜</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，反面词采用</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不宜</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w:t>
      </w:r>
    </w:p>
    <w:p w14:paraId="35F77354"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  </w:t>
      </w:r>
      <w:r>
        <w:rPr>
          <w:rFonts w:ascii="Times New Roman" w:eastAsia="宋体" w:hAnsi="Times New Roman" w:cs="Times New Roman"/>
          <w:bCs/>
          <w:color w:val="000000" w:themeColor="text1"/>
          <w:kern w:val="0"/>
          <w:sz w:val="24"/>
          <w:szCs w:val="24"/>
        </w:rPr>
        <w:t>表示有选择，在一定条件下可以这样做的，采用</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可</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w:t>
      </w:r>
    </w:p>
    <w:p w14:paraId="71102F7C" w14:textId="77777777" w:rsidR="00E269CD" w:rsidRDefault="00E269CD">
      <w:pPr>
        <w:spacing w:line="360" w:lineRule="auto"/>
        <w:jc w:val="left"/>
        <w:rPr>
          <w:rFonts w:ascii="Times New Roman" w:hAnsi="Times New Roman" w:cs="Times New Roman"/>
          <w:color w:val="000000" w:themeColor="text1"/>
          <w:sz w:val="24"/>
        </w:rPr>
        <w:sectPr w:rsidR="00E269CD">
          <w:footerReference w:type="default" r:id="rId10"/>
          <w:pgSz w:w="11906" w:h="16838"/>
          <w:pgMar w:top="1440" w:right="1800" w:bottom="1440" w:left="1800" w:header="851" w:footer="992" w:gutter="0"/>
          <w:cols w:space="425"/>
          <w:docGrid w:type="lines" w:linePitch="312"/>
        </w:sectPr>
      </w:pPr>
    </w:p>
    <w:p w14:paraId="14FA9D50" w14:textId="77777777" w:rsidR="00E269CD" w:rsidRDefault="00E13E3E">
      <w:pPr>
        <w:keepNext/>
        <w:keepLines/>
        <w:spacing w:line="360" w:lineRule="auto"/>
        <w:jc w:val="center"/>
        <w:outlineLvl w:val="0"/>
        <w:rPr>
          <w:rFonts w:ascii="Times New Roman" w:hAnsi="Times New Roman" w:cs="Times New Roman"/>
          <w:b/>
          <w:color w:val="000000" w:themeColor="text1"/>
        </w:rPr>
      </w:pPr>
      <w:bookmarkStart w:id="38" w:name="_Toc127171773"/>
      <w:r>
        <w:rPr>
          <w:rFonts w:ascii="Times New Roman" w:hAnsi="Times New Roman" w:cs="Times New Roman"/>
          <w:b/>
          <w:bCs/>
          <w:color w:val="000000" w:themeColor="text1"/>
          <w:kern w:val="44"/>
          <w:sz w:val="30"/>
          <w:szCs w:val="44"/>
        </w:rPr>
        <w:lastRenderedPageBreak/>
        <w:t>引用标准名录</w:t>
      </w:r>
      <w:bookmarkEnd w:id="38"/>
    </w:p>
    <w:p w14:paraId="6D71C3E0"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本导则引用下列标准。其中注日期的，仅对该日期对应的版本适用本导则；不注日期的，其最新版适用于本导则。</w:t>
      </w:r>
    </w:p>
    <w:p w14:paraId="407462F5"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hint="eastAsia"/>
          <w:bCs/>
          <w:color w:val="000000" w:themeColor="text1"/>
          <w:kern w:val="0"/>
          <w:sz w:val="24"/>
          <w:szCs w:val="24"/>
        </w:rPr>
        <w:t>《室外给水设计标准》</w:t>
      </w:r>
      <w:r>
        <w:rPr>
          <w:rFonts w:ascii="Times New Roman" w:eastAsia="宋体" w:hAnsi="Times New Roman" w:cs="Times New Roman" w:hint="eastAsia"/>
          <w:bCs/>
          <w:color w:val="000000" w:themeColor="text1"/>
          <w:kern w:val="0"/>
          <w:sz w:val="24"/>
          <w:szCs w:val="24"/>
        </w:rPr>
        <w:t>GB50013</w:t>
      </w:r>
    </w:p>
    <w:p w14:paraId="4C053123"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hint="eastAsia"/>
          <w:bCs/>
          <w:color w:val="000000" w:themeColor="text1"/>
          <w:kern w:val="0"/>
          <w:sz w:val="24"/>
          <w:szCs w:val="24"/>
        </w:rPr>
        <w:t>《给水排水管道工程施工及验收规范》</w:t>
      </w:r>
      <w:r>
        <w:rPr>
          <w:rFonts w:ascii="Times New Roman" w:eastAsia="宋体" w:hAnsi="Times New Roman" w:cs="Times New Roman" w:hint="eastAsia"/>
          <w:bCs/>
          <w:color w:val="000000" w:themeColor="text1"/>
          <w:kern w:val="0"/>
          <w:sz w:val="24"/>
          <w:szCs w:val="24"/>
        </w:rPr>
        <w:t>GB50268</w:t>
      </w:r>
    </w:p>
    <w:p w14:paraId="7E3AE746"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hint="eastAsia"/>
          <w:bCs/>
          <w:color w:val="000000" w:themeColor="text1"/>
          <w:kern w:val="0"/>
          <w:sz w:val="24"/>
          <w:szCs w:val="24"/>
        </w:rPr>
        <w:t>《危险货物品名表》</w:t>
      </w:r>
      <w:r>
        <w:rPr>
          <w:rFonts w:ascii="Times New Roman" w:eastAsia="宋体" w:hAnsi="Times New Roman" w:cs="Times New Roman" w:hint="eastAsia"/>
          <w:bCs/>
          <w:color w:val="000000" w:themeColor="text1"/>
          <w:kern w:val="0"/>
          <w:sz w:val="24"/>
          <w:szCs w:val="24"/>
        </w:rPr>
        <w:t>GB12268</w:t>
      </w:r>
    </w:p>
    <w:p w14:paraId="34C76749"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hint="eastAsia"/>
          <w:bCs/>
          <w:color w:val="000000" w:themeColor="text1"/>
          <w:kern w:val="0"/>
          <w:sz w:val="24"/>
          <w:szCs w:val="24"/>
        </w:rPr>
        <w:t>《常用化学危险品贮存通则》</w:t>
      </w:r>
      <w:r>
        <w:rPr>
          <w:rFonts w:ascii="Times New Roman" w:eastAsia="宋体" w:hAnsi="Times New Roman" w:cs="Times New Roman" w:hint="eastAsia"/>
          <w:bCs/>
          <w:color w:val="000000" w:themeColor="text1"/>
          <w:kern w:val="0"/>
          <w:sz w:val="24"/>
          <w:szCs w:val="24"/>
        </w:rPr>
        <w:t>GB15603</w:t>
      </w:r>
    </w:p>
    <w:p w14:paraId="60D222ED"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hint="eastAsia"/>
          <w:bCs/>
          <w:color w:val="000000" w:themeColor="text1"/>
          <w:kern w:val="0"/>
          <w:sz w:val="24"/>
          <w:szCs w:val="24"/>
        </w:rPr>
        <w:t>《生活饮用水输配水设备及防护材料的安全性评价标准》</w:t>
      </w:r>
      <w:r>
        <w:rPr>
          <w:rFonts w:ascii="Times New Roman" w:eastAsia="宋体" w:hAnsi="Times New Roman" w:cs="Times New Roman" w:hint="eastAsia"/>
          <w:bCs/>
          <w:color w:val="000000" w:themeColor="text1"/>
          <w:kern w:val="0"/>
          <w:sz w:val="24"/>
          <w:szCs w:val="24"/>
        </w:rPr>
        <w:t>GB17219</w:t>
      </w:r>
    </w:p>
    <w:p w14:paraId="7892BBE8"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hint="eastAsia"/>
          <w:bCs/>
          <w:color w:val="000000" w:themeColor="text1"/>
          <w:kern w:val="0"/>
          <w:sz w:val="24"/>
          <w:szCs w:val="24"/>
        </w:rPr>
        <w:t>《次氯酸钠溶液》</w:t>
      </w:r>
      <w:r>
        <w:rPr>
          <w:rFonts w:ascii="Times New Roman" w:eastAsia="宋体" w:hAnsi="Times New Roman" w:cs="Times New Roman" w:hint="eastAsia"/>
          <w:bCs/>
          <w:color w:val="000000" w:themeColor="text1"/>
          <w:kern w:val="0"/>
          <w:sz w:val="24"/>
          <w:szCs w:val="24"/>
        </w:rPr>
        <w:t>GB19106</w:t>
      </w:r>
    </w:p>
    <w:p w14:paraId="303F9D02"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hint="eastAsia"/>
          <w:bCs/>
          <w:color w:val="000000" w:themeColor="text1"/>
          <w:kern w:val="0"/>
          <w:sz w:val="24"/>
          <w:szCs w:val="24"/>
        </w:rPr>
        <w:t>《次氯酸钠发生器安全与卫生标准》</w:t>
      </w:r>
      <w:r>
        <w:rPr>
          <w:rFonts w:ascii="Times New Roman" w:eastAsia="宋体" w:hAnsi="Times New Roman" w:cs="Times New Roman" w:hint="eastAsia"/>
          <w:bCs/>
          <w:color w:val="000000" w:themeColor="text1"/>
          <w:kern w:val="0"/>
          <w:sz w:val="24"/>
          <w:szCs w:val="24"/>
        </w:rPr>
        <w:t>GB28233-2011</w:t>
      </w:r>
    </w:p>
    <w:p w14:paraId="13771498"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hint="eastAsia"/>
          <w:bCs/>
          <w:color w:val="000000" w:themeColor="text1"/>
          <w:kern w:val="0"/>
          <w:sz w:val="24"/>
          <w:szCs w:val="24"/>
        </w:rPr>
        <w:t>《食用盐国家标准》</w:t>
      </w:r>
      <w:r>
        <w:rPr>
          <w:rFonts w:ascii="Times New Roman" w:eastAsia="宋体" w:hAnsi="Times New Roman" w:cs="Times New Roman" w:hint="eastAsia"/>
          <w:bCs/>
          <w:color w:val="000000" w:themeColor="text1"/>
          <w:kern w:val="0"/>
          <w:sz w:val="24"/>
          <w:szCs w:val="24"/>
        </w:rPr>
        <w:t>GB5461</w:t>
      </w:r>
    </w:p>
    <w:p w14:paraId="5A5DCDE7"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hint="eastAsia"/>
          <w:bCs/>
          <w:color w:val="000000" w:themeColor="text1"/>
          <w:kern w:val="0"/>
          <w:sz w:val="24"/>
          <w:szCs w:val="24"/>
        </w:rPr>
        <w:t>《城镇供水厂运行、维护及安全技术规程》</w:t>
      </w:r>
      <w:r>
        <w:rPr>
          <w:rFonts w:ascii="Times New Roman" w:eastAsia="宋体" w:hAnsi="Times New Roman" w:cs="Times New Roman" w:hint="eastAsia"/>
          <w:bCs/>
          <w:color w:val="000000" w:themeColor="text1"/>
          <w:kern w:val="0"/>
          <w:sz w:val="24"/>
          <w:szCs w:val="24"/>
        </w:rPr>
        <w:t>CJJ58</w:t>
      </w:r>
    </w:p>
    <w:p w14:paraId="5BB10A15" w14:textId="77777777" w:rsidR="00E269CD" w:rsidRDefault="00E13E3E">
      <w:pPr>
        <w:spacing w:line="360" w:lineRule="auto"/>
        <w:ind w:firstLineChars="236" w:firstLine="566"/>
        <w:rPr>
          <w:rFonts w:ascii="Times New Roman" w:eastAsia="宋体" w:hAnsi="Times New Roman" w:cs="Times New Roman"/>
          <w:bCs/>
          <w:color w:val="000000" w:themeColor="text1"/>
          <w:kern w:val="0"/>
          <w:sz w:val="24"/>
          <w:szCs w:val="24"/>
        </w:rPr>
      </w:pPr>
      <w:r>
        <w:rPr>
          <w:rFonts w:ascii="Times New Roman" w:eastAsia="宋体" w:hAnsi="Times New Roman" w:cs="Times New Roman" w:hint="eastAsia"/>
          <w:bCs/>
          <w:color w:val="000000" w:themeColor="text1"/>
          <w:kern w:val="0"/>
          <w:sz w:val="24"/>
          <w:szCs w:val="24"/>
        </w:rPr>
        <w:t>《危险化学品仓库建设及储存安全规范》</w:t>
      </w:r>
      <w:r>
        <w:rPr>
          <w:rFonts w:ascii="Times New Roman" w:eastAsia="宋体" w:hAnsi="Times New Roman" w:cs="Times New Roman" w:hint="eastAsia"/>
          <w:bCs/>
          <w:color w:val="000000" w:themeColor="text1"/>
          <w:kern w:val="0"/>
          <w:sz w:val="24"/>
          <w:szCs w:val="24"/>
        </w:rPr>
        <w:t>DB11/755</w:t>
      </w:r>
    </w:p>
    <w:p w14:paraId="31DCA870"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79369E3C"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3F6163ED"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164345F4"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2DDF66BA"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6E74B32D"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0E0ABBBD"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4CD0F4D6"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074D91E8"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45E334CB"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386D1C79"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4CEA27CC"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4E058EC8"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4643680C"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22FB6296" w14:textId="77777777" w:rsidR="00E269CD" w:rsidRDefault="00E269CD">
      <w:pPr>
        <w:spacing w:line="360" w:lineRule="auto"/>
        <w:ind w:firstLineChars="236" w:firstLine="566"/>
        <w:rPr>
          <w:rFonts w:ascii="Times New Roman" w:eastAsia="宋体" w:hAnsi="Times New Roman" w:cs="Times New Roman"/>
          <w:bCs/>
          <w:color w:val="000000" w:themeColor="text1"/>
          <w:kern w:val="0"/>
          <w:sz w:val="24"/>
          <w:szCs w:val="24"/>
        </w:rPr>
      </w:pPr>
    </w:p>
    <w:p w14:paraId="2101E03F" w14:textId="77777777" w:rsidR="00E269CD" w:rsidRDefault="00E269CD">
      <w:pPr>
        <w:adjustRightInd w:val="0"/>
        <w:spacing w:line="360" w:lineRule="auto"/>
        <w:ind w:left="568"/>
        <w:jc w:val="center"/>
        <w:textAlignment w:val="baseline"/>
        <w:rPr>
          <w:rFonts w:ascii="Times New Roman" w:eastAsia="宋体" w:hAnsi="Times New Roman" w:cs="Times New Roman"/>
          <w:b/>
          <w:color w:val="000000" w:themeColor="text1"/>
          <w:kern w:val="0"/>
          <w:sz w:val="30"/>
          <w:szCs w:val="30"/>
        </w:rPr>
      </w:pPr>
    </w:p>
    <w:p w14:paraId="60049CDD" w14:textId="77777777" w:rsidR="00E269CD" w:rsidRDefault="00E13E3E">
      <w:pPr>
        <w:spacing w:line="360" w:lineRule="auto"/>
        <w:jc w:val="center"/>
        <w:rPr>
          <w:rFonts w:ascii="Times New Roman" w:eastAsia="黑体" w:hAnsi="Times New Roman" w:cs="Times New Roman"/>
          <w:color w:val="000000" w:themeColor="text1"/>
          <w:sz w:val="36"/>
          <w:szCs w:val="36"/>
        </w:rPr>
      </w:pPr>
      <w:r>
        <w:rPr>
          <w:rFonts w:ascii="Times New Roman" w:eastAsia="黑体" w:hAnsi="Times New Roman" w:cs="Times New Roman"/>
          <w:color w:val="000000" w:themeColor="text1"/>
          <w:sz w:val="36"/>
          <w:szCs w:val="36"/>
        </w:rPr>
        <w:lastRenderedPageBreak/>
        <w:t>中国工程建设标准化协会标准</w:t>
      </w:r>
    </w:p>
    <w:p w14:paraId="2C02AB2B" w14:textId="77777777" w:rsidR="00E269CD" w:rsidRDefault="00E269CD">
      <w:pPr>
        <w:adjustRightInd w:val="0"/>
        <w:spacing w:line="360" w:lineRule="auto"/>
        <w:ind w:left="568"/>
        <w:jc w:val="left"/>
        <w:textAlignment w:val="baseline"/>
        <w:rPr>
          <w:rFonts w:ascii="Times New Roman" w:eastAsia="宋体" w:hAnsi="Times New Roman" w:cs="Times New Roman"/>
          <w:color w:val="000000" w:themeColor="text1"/>
          <w:kern w:val="0"/>
          <w:sz w:val="28"/>
          <w:szCs w:val="20"/>
        </w:rPr>
      </w:pPr>
    </w:p>
    <w:p w14:paraId="7D6D6523" w14:textId="77777777" w:rsidR="00E269CD" w:rsidRDefault="00E13E3E">
      <w:pPr>
        <w:widowControl/>
        <w:spacing w:line="360" w:lineRule="auto"/>
        <w:jc w:val="center"/>
        <w:rPr>
          <w:rFonts w:ascii="Times New Roman" w:eastAsia="黑体" w:hAnsi="Times New Roman" w:cs="Times New Roman"/>
          <w:b/>
          <w:color w:val="000000" w:themeColor="text1"/>
          <w:sz w:val="48"/>
          <w:szCs w:val="48"/>
        </w:rPr>
      </w:pPr>
      <w:r>
        <w:rPr>
          <w:rFonts w:ascii="Times New Roman" w:eastAsia="黑体" w:hAnsi="Times New Roman" w:cs="Times New Roman"/>
          <w:b/>
          <w:color w:val="000000" w:themeColor="text1"/>
          <w:sz w:val="48"/>
          <w:szCs w:val="48"/>
        </w:rPr>
        <w:t>次氯酸钠消毒技术规程</w:t>
      </w:r>
    </w:p>
    <w:p w14:paraId="68CDEBB8" w14:textId="77777777" w:rsidR="00E269CD" w:rsidRDefault="00E13E3E">
      <w:pPr>
        <w:adjustRightInd w:val="0"/>
        <w:spacing w:line="360" w:lineRule="auto"/>
        <w:jc w:val="center"/>
        <w:textAlignment w:val="baseline"/>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Technical specification for sodium hypochlorite disinfection</w:t>
      </w:r>
    </w:p>
    <w:p w14:paraId="3ED8E35C" w14:textId="77777777" w:rsidR="00E269CD" w:rsidRDefault="00E13E3E">
      <w:pPr>
        <w:adjustRightInd w:val="0"/>
        <w:spacing w:line="360" w:lineRule="auto"/>
        <w:ind w:left="568"/>
        <w:jc w:val="center"/>
        <w:textAlignment w:val="baseline"/>
        <w:rPr>
          <w:rFonts w:ascii="Times New Roman" w:eastAsia="宋体" w:hAnsi="Times New Roman" w:cs="Times New Roman"/>
          <w:color w:val="000000" w:themeColor="text1"/>
          <w:kern w:val="0"/>
          <w:sz w:val="28"/>
          <w:szCs w:val="20"/>
        </w:rPr>
      </w:pPr>
      <w:r>
        <w:rPr>
          <w:rFonts w:ascii="Times New Roman" w:eastAsia="宋体" w:hAnsi="Times New Roman" w:cs="Times New Roman"/>
          <w:color w:val="000000" w:themeColor="text1"/>
          <w:kern w:val="0"/>
          <w:sz w:val="28"/>
          <w:szCs w:val="20"/>
        </w:rPr>
        <w:t>（征求意见稿）</w:t>
      </w:r>
    </w:p>
    <w:p w14:paraId="21972162" w14:textId="77777777" w:rsidR="00E269CD" w:rsidRDefault="00E13E3E">
      <w:pPr>
        <w:adjustRightInd w:val="0"/>
        <w:spacing w:line="360" w:lineRule="auto"/>
        <w:ind w:left="568"/>
        <w:jc w:val="center"/>
        <w:textAlignment w:val="baseline"/>
        <w:rPr>
          <w:rFonts w:ascii="Times New Roman" w:eastAsia="宋体" w:hAnsi="Times New Roman" w:cs="Times New Roman"/>
          <w:color w:val="000000" w:themeColor="text1"/>
          <w:kern w:val="0"/>
          <w:sz w:val="32"/>
          <w:szCs w:val="20"/>
        </w:rPr>
      </w:pPr>
      <w:r>
        <w:rPr>
          <w:rFonts w:ascii="Times New Roman" w:hAnsi="Times New Roman" w:cs="Times New Roman"/>
          <w:color w:val="000000" w:themeColor="text1"/>
          <w:sz w:val="28"/>
        </w:rPr>
        <w:t>T/CECS  xxx-2023</w:t>
      </w:r>
    </w:p>
    <w:p w14:paraId="3DE861BA" w14:textId="77777777" w:rsidR="00E269CD" w:rsidRDefault="00E269CD">
      <w:pPr>
        <w:adjustRightInd w:val="0"/>
        <w:spacing w:line="360" w:lineRule="auto"/>
        <w:ind w:left="568"/>
        <w:jc w:val="center"/>
        <w:textAlignment w:val="baseline"/>
        <w:rPr>
          <w:rFonts w:ascii="Times New Roman" w:eastAsia="宋体" w:hAnsi="Times New Roman" w:cs="Times New Roman"/>
          <w:b/>
          <w:color w:val="000000" w:themeColor="text1"/>
          <w:kern w:val="0"/>
          <w:sz w:val="28"/>
          <w:szCs w:val="20"/>
        </w:rPr>
      </w:pPr>
    </w:p>
    <w:p w14:paraId="16F9EE18" w14:textId="77777777" w:rsidR="00E269CD" w:rsidRDefault="00E13E3E">
      <w:pPr>
        <w:tabs>
          <w:tab w:val="left" w:pos="900"/>
        </w:tabs>
        <w:adjustRightInd w:val="0"/>
        <w:snapToGrid w:val="0"/>
        <w:spacing w:line="360" w:lineRule="auto"/>
        <w:jc w:val="center"/>
        <w:rPr>
          <w:rFonts w:ascii="Times New Roman" w:hAnsi="Times New Roman" w:cs="Times New Roman"/>
          <w:color w:val="000000" w:themeColor="text1"/>
          <w:spacing w:val="40"/>
          <w:szCs w:val="30"/>
        </w:rPr>
      </w:pPr>
      <w:r>
        <w:rPr>
          <w:rFonts w:ascii="Times New Roman" w:hAnsi="Times New Roman" w:cs="Times New Roman"/>
          <w:b/>
          <w:color w:val="000000" w:themeColor="text1"/>
          <w:spacing w:val="40"/>
          <w:sz w:val="30"/>
          <w:szCs w:val="30"/>
        </w:rPr>
        <w:t>条文说明</w:t>
      </w:r>
    </w:p>
    <w:p w14:paraId="0D2FDA2D" w14:textId="77777777" w:rsidR="00E269CD" w:rsidRDefault="00E269CD">
      <w:pPr>
        <w:spacing w:line="360" w:lineRule="auto"/>
        <w:rPr>
          <w:rFonts w:ascii="Times New Roman" w:hAnsi="Times New Roman" w:cs="Times New Roman"/>
          <w:color w:val="000000" w:themeColor="text1"/>
        </w:rPr>
      </w:pPr>
    </w:p>
    <w:p w14:paraId="7FD1A073" w14:textId="77777777" w:rsidR="00E269CD" w:rsidRDefault="00E269CD">
      <w:pPr>
        <w:spacing w:line="360" w:lineRule="auto"/>
        <w:rPr>
          <w:rFonts w:ascii="Times New Roman" w:hAnsi="Times New Roman" w:cs="Times New Roman"/>
          <w:color w:val="000000" w:themeColor="text1"/>
        </w:rPr>
      </w:pPr>
    </w:p>
    <w:p w14:paraId="28054D25" w14:textId="77777777" w:rsidR="00E269CD" w:rsidRDefault="00E269CD">
      <w:pPr>
        <w:keepNext/>
        <w:keepLines/>
        <w:spacing w:line="360" w:lineRule="auto"/>
        <w:ind w:left="420" w:hanging="420"/>
        <w:jc w:val="center"/>
        <w:outlineLvl w:val="0"/>
        <w:rPr>
          <w:rFonts w:ascii="Times New Roman" w:eastAsia="宋体" w:hAnsi="Times New Roman" w:cs="Times New Roman"/>
          <w:b/>
          <w:bCs/>
          <w:color w:val="000000" w:themeColor="text1"/>
          <w:kern w:val="44"/>
          <w:sz w:val="32"/>
          <w:szCs w:val="44"/>
        </w:rPr>
        <w:sectPr w:rsidR="00E269CD">
          <w:pgSz w:w="11906" w:h="16838"/>
          <w:pgMar w:top="1440" w:right="1800" w:bottom="1440" w:left="1800" w:header="851" w:footer="992" w:gutter="0"/>
          <w:cols w:space="425"/>
          <w:docGrid w:type="lines" w:linePitch="312"/>
        </w:sectPr>
      </w:pPr>
    </w:p>
    <w:p w14:paraId="6E6D5789" w14:textId="77777777" w:rsidR="00E269CD" w:rsidRDefault="00E13E3E">
      <w:pPr>
        <w:keepNext/>
        <w:keepLines/>
        <w:spacing w:line="360" w:lineRule="auto"/>
        <w:ind w:left="420" w:hanging="420"/>
        <w:jc w:val="center"/>
        <w:outlineLvl w:val="0"/>
        <w:rPr>
          <w:rFonts w:ascii="Times New Roman" w:eastAsia="黑体" w:hAnsi="Times New Roman" w:cs="Times New Roman"/>
          <w:b/>
          <w:bCs/>
          <w:color w:val="000000" w:themeColor="text1"/>
          <w:kern w:val="44"/>
          <w:sz w:val="36"/>
          <w:szCs w:val="36"/>
        </w:rPr>
      </w:pPr>
      <w:bookmarkStart w:id="39" w:name="_Toc123229220"/>
      <w:bookmarkStart w:id="40" w:name="_Toc127171774"/>
      <w:r>
        <w:rPr>
          <w:rFonts w:ascii="Times New Roman" w:eastAsia="黑体" w:hAnsi="Times New Roman" w:cs="Times New Roman"/>
          <w:b/>
          <w:bCs/>
          <w:color w:val="000000" w:themeColor="text1"/>
          <w:kern w:val="44"/>
          <w:sz w:val="36"/>
          <w:szCs w:val="36"/>
        </w:rPr>
        <w:lastRenderedPageBreak/>
        <w:t>目</w:t>
      </w:r>
      <w:r>
        <w:rPr>
          <w:rFonts w:ascii="Times New Roman" w:eastAsia="黑体" w:hAnsi="Times New Roman" w:cs="Times New Roman"/>
          <w:b/>
          <w:bCs/>
          <w:color w:val="000000" w:themeColor="text1"/>
          <w:kern w:val="44"/>
          <w:sz w:val="36"/>
          <w:szCs w:val="36"/>
        </w:rPr>
        <w:t xml:space="preserve">  </w:t>
      </w:r>
      <w:r>
        <w:rPr>
          <w:rFonts w:ascii="Times New Roman" w:eastAsia="黑体" w:hAnsi="Times New Roman" w:cs="Times New Roman"/>
          <w:b/>
          <w:bCs/>
          <w:color w:val="000000" w:themeColor="text1"/>
          <w:kern w:val="44"/>
          <w:sz w:val="36"/>
          <w:szCs w:val="36"/>
        </w:rPr>
        <w:t>次</w:t>
      </w:r>
      <w:bookmarkEnd w:id="39"/>
      <w:bookmarkEnd w:id="40"/>
    </w:p>
    <w:p w14:paraId="73C40D77" w14:textId="77777777" w:rsidR="00E269CD" w:rsidRDefault="00E13E3E">
      <w:pPr>
        <w:tabs>
          <w:tab w:val="right" w:leader="dot" w:pos="8296"/>
        </w:tabs>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TOC \o "1-3" \h \z \u </w:instrText>
      </w:r>
      <w:r>
        <w:rPr>
          <w:rFonts w:ascii="Times New Roman" w:hAnsi="Times New Roman" w:cs="Times New Roman"/>
          <w:color w:val="000000" w:themeColor="text1"/>
          <w:sz w:val="24"/>
          <w:szCs w:val="24"/>
        </w:rPr>
        <w:fldChar w:fldCharType="separate"/>
      </w:r>
    </w:p>
    <w:p w14:paraId="4345813F" w14:textId="77777777" w:rsidR="00E269CD" w:rsidRDefault="00E13E3E">
      <w:pPr>
        <w:tabs>
          <w:tab w:val="right" w:leader="dot" w:pos="8296"/>
        </w:tabs>
        <w:spacing w:line="360" w:lineRule="auto"/>
        <w:rPr>
          <w:rFonts w:ascii="Times New Roman" w:hAnsi="Times New Roman" w:cs="Times New Roman"/>
          <w:b/>
          <w:color w:val="000000" w:themeColor="text1"/>
          <w:sz w:val="24"/>
          <w:szCs w:val="24"/>
        </w:rPr>
      </w:pPr>
      <w:hyperlink w:anchor="_Toc34929033" w:history="1">
        <w:r>
          <w:rPr>
            <w:rFonts w:ascii="Times New Roman" w:hAnsi="Times New Roman" w:cs="Times New Roman"/>
            <w:b/>
            <w:color w:val="000000" w:themeColor="text1"/>
            <w:sz w:val="24"/>
            <w:szCs w:val="24"/>
          </w:rPr>
          <w:t xml:space="preserve">1  </w:t>
        </w:r>
        <w:r>
          <w:rPr>
            <w:rFonts w:ascii="Times New Roman" w:hAnsi="Times New Roman" w:cs="Times New Roman"/>
            <w:b/>
            <w:color w:val="000000" w:themeColor="text1"/>
            <w:sz w:val="24"/>
            <w:szCs w:val="24"/>
          </w:rPr>
          <w:t>总则</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fldChar w:fldCharType="begin"/>
        </w:r>
        <w:r>
          <w:rPr>
            <w:rFonts w:ascii="Times New Roman" w:hAnsi="Times New Roman" w:cs="Times New Roman"/>
            <w:b/>
            <w:color w:val="000000" w:themeColor="text1"/>
            <w:sz w:val="24"/>
            <w:szCs w:val="24"/>
          </w:rPr>
          <w:instrText xml:space="preserve"> PAGEREF _Toc34929033 \h </w:instrText>
        </w:r>
        <w:r>
          <w:rPr>
            <w:rFonts w:ascii="Times New Roman" w:hAnsi="Times New Roman" w:cs="Times New Roman"/>
            <w:b/>
            <w:color w:val="000000" w:themeColor="text1"/>
            <w:sz w:val="24"/>
            <w:szCs w:val="24"/>
          </w:rPr>
        </w:r>
        <w:r>
          <w:rPr>
            <w:rFonts w:ascii="Times New Roman" w:hAnsi="Times New Roman" w:cs="Times New Roman"/>
            <w:b/>
            <w:color w:val="000000" w:themeColor="text1"/>
            <w:sz w:val="24"/>
            <w:szCs w:val="24"/>
          </w:rPr>
          <w:fldChar w:fldCharType="separate"/>
        </w:r>
        <w:r>
          <w:rPr>
            <w:rFonts w:ascii="Times New Roman" w:hAnsi="Times New Roman" w:cs="Times New Roman"/>
            <w:b/>
            <w:color w:val="000000" w:themeColor="text1"/>
            <w:sz w:val="24"/>
            <w:szCs w:val="24"/>
          </w:rPr>
          <w:t>27</w:t>
        </w:r>
        <w:r>
          <w:rPr>
            <w:rFonts w:ascii="Times New Roman" w:hAnsi="Times New Roman" w:cs="Times New Roman"/>
            <w:b/>
            <w:color w:val="000000" w:themeColor="text1"/>
            <w:sz w:val="24"/>
            <w:szCs w:val="24"/>
          </w:rPr>
          <w:fldChar w:fldCharType="end"/>
        </w:r>
      </w:hyperlink>
    </w:p>
    <w:p w14:paraId="5C7C20D5" w14:textId="77777777" w:rsidR="00E269CD" w:rsidRDefault="00E13E3E">
      <w:pPr>
        <w:tabs>
          <w:tab w:val="right" w:leader="dot" w:pos="8296"/>
        </w:tabs>
        <w:spacing w:line="360" w:lineRule="auto"/>
        <w:rPr>
          <w:rFonts w:ascii="Times New Roman" w:hAnsi="Times New Roman" w:cs="Times New Roman"/>
          <w:b/>
          <w:color w:val="000000" w:themeColor="text1"/>
          <w:sz w:val="24"/>
          <w:szCs w:val="24"/>
        </w:rPr>
      </w:pPr>
      <w:hyperlink w:anchor="_Toc34929034" w:history="1">
        <w:r>
          <w:rPr>
            <w:rFonts w:ascii="Times New Roman" w:hAnsi="Times New Roman" w:cs="Times New Roman"/>
            <w:b/>
            <w:color w:val="000000" w:themeColor="text1"/>
            <w:sz w:val="24"/>
            <w:szCs w:val="24"/>
          </w:rPr>
          <w:t xml:space="preserve">3  </w:t>
        </w:r>
        <w:r>
          <w:rPr>
            <w:rFonts w:ascii="Times New Roman" w:hAnsi="Times New Roman" w:cs="Times New Roman"/>
            <w:b/>
            <w:color w:val="000000" w:themeColor="text1"/>
            <w:sz w:val="24"/>
            <w:szCs w:val="24"/>
          </w:rPr>
          <w:t>基本规定</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fldChar w:fldCharType="begin"/>
        </w:r>
        <w:r>
          <w:rPr>
            <w:rFonts w:ascii="Times New Roman" w:hAnsi="Times New Roman" w:cs="Times New Roman"/>
            <w:b/>
            <w:color w:val="000000" w:themeColor="text1"/>
            <w:sz w:val="24"/>
            <w:szCs w:val="24"/>
          </w:rPr>
          <w:instrText xml:space="preserve"> PAGEREF _Toc34929034 \h </w:instrText>
        </w:r>
        <w:r>
          <w:rPr>
            <w:rFonts w:ascii="Times New Roman" w:hAnsi="Times New Roman" w:cs="Times New Roman"/>
            <w:b/>
            <w:color w:val="000000" w:themeColor="text1"/>
            <w:sz w:val="24"/>
            <w:szCs w:val="24"/>
          </w:rPr>
        </w:r>
        <w:r>
          <w:rPr>
            <w:rFonts w:ascii="Times New Roman" w:hAnsi="Times New Roman" w:cs="Times New Roman"/>
            <w:b/>
            <w:color w:val="000000" w:themeColor="text1"/>
            <w:sz w:val="24"/>
            <w:szCs w:val="24"/>
          </w:rPr>
          <w:fldChar w:fldCharType="separate"/>
        </w:r>
        <w:r>
          <w:rPr>
            <w:rFonts w:ascii="Times New Roman" w:hAnsi="Times New Roman" w:cs="Times New Roman"/>
            <w:b/>
            <w:color w:val="000000" w:themeColor="text1"/>
            <w:sz w:val="24"/>
            <w:szCs w:val="24"/>
          </w:rPr>
          <w:t>28</w:t>
        </w:r>
        <w:r>
          <w:rPr>
            <w:rFonts w:ascii="Times New Roman" w:hAnsi="Times New Roman" w:cs="Times New Roman"/>
            <w:b/>
            <w:color w:val="000000" w:themeColor="text1"/>
            <w:sz w:val="24"/>
            <w:szCs w:val="24"/>
          </w:rPr>
          <w:fldChar w:fldCharType="end"/>
        </w:r>
      </w:hyperlink>
    </w:p>
    <w:p w14:paraId="21046824"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35" w:history="1">
        <w:r>
          <w:rPr>
            <w:rFonts w:ascii="Times New Roman" w:hAnsi="Times New Roman" w:cs="Times New Roman"/>
            <w:color w:val="000000" w:themeColor="text1"/>
            <w:sz w:val="24"/>
            <w:szCs w:val="24"/>
          </w:rPr>
          <w:t>3.1</w:t>
        </w:r>
        <w:r>
          <w:rPr>
            <w:rFonts w:ascii="Times New Roman" w:hAnsi="Times New Roman" w:cs="Times New Roman"/>
            <w:color w:val="000000" w:themeColor="text1"/>
            <w:sz w:val="24"/>
            <w:szCs w:val="24"/>
          </w:rPr>
          <w:t>一般要求</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_Toc34929035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28</w:t>
        </w:r>
        <w:r>
          <w:rPr>
            <w:rFonts w:ascii="Times New Roman" w:hAnsi="Times New Roman" w:cs="Times New Roman"/>
            <w:color w:val="000000" w:themeColor="text1"/>
            <w:sz w:val="24"/>
            <w:szCs w:val="24"/>
          </w:rPr>
          <w:fldChar w:fldCharType="end"/>
        </w:r>
      </w:hyperlink>
    </w:p>
    <w:p w14:paraId="411C01F9"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36" w:history="1">
        <w:r>
          <w:rPr>
            <w:rFonts w:ascii="Times New Roman" w:hAnsi="Times New Roman" w:cs="Times New Roman"/>
            <w:color w:val="000000" w:themeColor="text1"/>
            <w:sz w:val="24"/>
            <w:szCs w:val="24"/>
          </w:rPr>
          <w:t>3.2</w:t>
        </w:r>
        <w:r>
          <w:rPr>
            <w:rFonts w:ascii="Times New Roman" w:hAnsi="Times New Roman" w:cs="Times New Roman"/>
            <w:color w:val="000000" w:themeColor="text1"/>
            <w:sz w:val="24"/>
            <w:szCs w:val="24"/>
          </w:rPr>
          <w:t>工艺选择</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_Toc34929036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29</w:t>
        </w:r>
        <w:r>
          <w:rPr>
            <w:rFonts w:ascii="Times New Roman" w:hAnsi="Times New Roman" w:cs="Times New Roman"/>
            <w:color w:val="000000" w:themeColor="text1"/>
            <w:sz w:val="24"/>
            <w:szCs w:val="24"/>
          </w:rPr>
          <w:fldChar w:fldCharType="end"/>
        </w:r>
      </w:hyperlink>
    </w:p>
    <w:p w14:paraId="6A847F93" w14:textId="77777777" w:rsidR="00E269CD" w:rsidRDefault="00E13E3E">
      <w:pPr>
        <w:tabs>
          <w:tab w:val="right" w:leader="dot" w:pos="8296"/>
        </w:tabs>
        <w:spacing w:line="360" w:lineRule="auto"/>
        <w:rPr>
          <w:rFonts w:ascii="Times New Roman" w:hAnsi="Times New Roman" w:cs="Times New Roman"/>
          <w:b/>
          <w:color w:val="000000" w:themeColor="text1"/>
          <w:sz w:val="24"/>
          <w:szCs w:val="24"/>
        </w:rPr>
      </w:pPr>
      <w:hyperlink w:anchor="_Toc34929037" w:history="1">
        <w:r>
          <w:rPr>
            <w:rFonts w:ascii="Times New Roman" w:hAnsi="Times New Roman" w:cs="Times New Roman"/>
            <w:b/>
            <w:color w:val="000000" w:themeColor="text1"/>
            <w:sz w:val="24"/>
            <w:szCs w:val="24"/>
          </w:rPr>
          <w:t xml:space="preserve">4  </w:t>
        </w:r>
        <w:r>
          <w:rPr>
            <w:rFonts w:ascii="Times New Roman" w:hAnsi="Times New Roman" w:cs="Times New Roman"/>
            <w:b/>
            <w:color w:val="000000" w:themeColor="text1"/>
            <w:sz w:val="24"/>
            <w:szCs w:val="24"/>
          </w:rPr>
          <w:t>商品次氯酸钠消毒系统</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fldChar w:fldCharType="begin"/>
        </w:r>
        <w:r>
          <w:rPr>
            <w:rFonts w:ascii="Times New Roman" w:hAnsi="Times New Roman" w:cs="Times New Roman"/>
            <w:b/>
            <w:color w:val="000000" w:themeColor="text1"/>
            <w:sz w:val="24"/>
            <w:szCs w:val="24"/>
          </w:rPr>
          <w:instrText xml:space="preserve"> PAGEREF _Toc34929037 \h </w:instrText>
        </w:r>
        <w:r>
          <w:rPr>
            <w:rFonts w:ascii="Times New Roman" w:hAnsi="Times New Roman" w:cs="Times New Roman"/>
            <w:b/>
            <w:color w:val="000000" w:themeColor="text1"/>
            <w:sz w:val="24"/>
            <w:szCs w:val="24"/>
          </w:rPr>
        </w:r>
        <w:r>
          <w:rPr>
            <w:rFonts w:ascii="Times New Roman" w:hAnsi="Times New Roman" w:cs="Times New Roman"/>
            <w:b/>
            <w:color w:val="000000" w:themeColor="text1"/>
            <w:sz w:val="24"/>
            <w:szCs w:val="24"/>
          </w:rPr>
          <w:fldChar w:fldCharType="separate"/>
        </w:r>
        <w:r>
          <w:rPr>
            <w:rFonts w:ascii="Times New Roman" w:hAnsi="Times New Roman" w:cs="Times New Roman"/>
            <w:b/>
            <w:color w:val="000000" w:themeColor="text1"/>
            <w:sz w:val="24"/>
            <w:szCs w:val="24"/>
          </w:rPr>
          <w:t>31</w:t>
        </w:r>
        <w:r>
          <w:rPr>
            <w:rFonts w:ascii="Times New Roman" w:hAnsi="Times New Roman" w:cs="Times New Roman"/>
            <w:b/>
            <w:color w:val="000000" w:themeColor="text1"/>
            <w:sz w:val="24"/>
            <w:szCs w:val="24"/>
          </w:rPr>
          <w:fldChar w:fldCharType="end"/>
        </w:r>
      </w:hyperlink>
    </w:p>
    <w:p w14:paraId="781F2D99"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38" w:history="1">
        <w:r>
          <w:rPr>
            <w:rFonts w:ascii="Times New Roman" w:hAnsi="Times New Roman" w:cs="Times New Roman"/>
            <w:color w:val="000000" w:themeColor="text1"/>
            <w:sz w:val="24"/>
            <w:szCs w:val="24"/>
          </w:rPr>
          <w:t>4.1</w:t>
        </w:r>
        <w:r>
          <w:rPr>
            <w:rFonts w:ascii="Times New Roman" w:hAnsi="Times New Roman" w:cs="Times New Roman"/>
            <w:color w:val="000000" w:themeColor="text1"/>
            <w:sz w:val="24"/>
            <w:szCs w:val="24"/>
          </w:rPr>
          <w:t>基本组成与形式</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_Toc34929038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31</w:t>
        </w:r>
        <w:r>
          <w:rPr>
            <w:rFonts w:ascii="Times New Roman" w:hAnsi="Times New Roman" w:cs="Times New Roman"/>
            <w:color w:val="000000" w:themeColor="text1"/>
            <w:sz w:val="24"/>
            <w:szCs w:val="24"/>
          </w:rPr>
          <w:fldChar w:fldCharType="end"/>
        </w:r>
      </w:hyperlink>
    </w:p>
    <w:p w14:paraId="5F2548CE"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39" w:history="1">
        <w:r>
          <w:rPr>
            <w:rFonts w:ascii="Times New Roman" w:hAnsi="Times New Roman" w:cs="Times New Roman"/>
            <w:color w:val="000000" w:themeColor="text1"/>
            <w:sz w:val="24"/>
            <w:szCs w:val="24"/>
          </w:rPr>
          <w:t>4.2</w:t>
        </w:r>
        <w:r>
          <w:rPr>
            <w:rFonts w:ascii="Times New Roman" w:hAnsi="Times New Roman" w:cs="Times New Roman"/>
            <w:color w:val="000000" w:themeColor="text1"/>
            <w:sz w:val="24"/>
            <w:szCs w:val="24"/>
          </w:rPr>
          <w:t>进料</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_Toc34929039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31</w:t>
        </w:r>
        <w:r>
          <w:rPr>
            <w:rFonts w:ascii="Times New Roman" w:hAnsi="Times New Roman" w:cs="Times New Roman"/>
            <w:color w:val="000000" w:themeColor="text1"/>
            <w:sz w:val="24"/>
            <w:szCs w:val="24"/>
          </w:rPr>
          <w:fldChar w:fldCharType="end"/>
        </w:r>
      </w:hyperlink>
    </w:p>
    <w:p w14:paraId="3466FB5A"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40" w:history="1">
        <w:r>
          <w:rPr>
            <w:rFonts w:ascii="Times New Roman" w:hAnsi="Times New Roman" w:cs="Times New Roman"/>
            <w:color w:val="000000" w:themeColor="text1"/>
            <w:sz w:val="24"/>
            <w:szCs w:val="24"/>
          </w:rPr>
          <w:t>4.3</w:t>
        </w:r>
        <w:r>
          <w:rPr>
            <w:rFonts w:ascii="Times New Roman" w:hAnsi="Times New Roman" w:cs="Times New Roman"/>
            <w:color w:val="000000" w:themeColor="text1"/>
            <w:sz w:val="24"/>
            <w:szCs w:val="24"/>
          </w:rPr>
          <w:t>待检、储存</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w:instrText>
        </w:r>
        <w:r>
          <w:rPr>
            <w:rFonts w:ascii="Times New Roman" w:hAnsi="Times New Roman" w:cs="Times New Roman"/>
            <w:color w:val="000000" w:themeColor="text1"/>
            <w:sz w:val="24"/>
            <w:szCs w:val="24"/>
          </w:rPr>
          <w:instrText xml:space="preserve">40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32</w:t>
        </w:r>
        <w:r>
          <w:rPr>
            <w:rFonts w:ascii="Times New Roman" w:hAnsi="Times New Roman" w:cs="Times New Roman"/>
            <w:color w:val="000000" w:themeColor="text1"/>
            <w:sz w:val="24"/>
            <w:szCs w:val="24"/>
          </w:rPr>
          <w:fldChar w:fldCharType="end"/>
        </w:r>
      </w:hyperlink>
    </w:p>
    <w:p w14:paraId="6DC5707A"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41" w:history="1">
        <w:r>
          <w:rPr>
            <w:rFonts w:ascii="Times New Roman" w:hAnsi="Times New Roman" w:cs="Times New Roman"/>
            <w:color w:val="000000" w:themeColor="text1"/>
            <w:sz w:val="24"/>
            <w:szCs w:val="24"/>
          </w:rPr>
          <w:t>4.4</w:t>
        </w:r>
        <w:r>
          <w:rPr>
            <w:rFonts w:ascii="Times New Roman" w:hAnsi="Times New Roman" w:cs="Times New Roman"/>
            <w:color w:val="000000" w:themeColor="text1"/>
            <w:sz w:val="24"/>
            <w:szCs w:val="24"/>
          </w:rPr>
          <w:t>加注</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_Toc34929041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34</w:t>
        </w:r>
        <w:r>
          <w:rPr>
            <w:rFonts w:ascii="Times New Roman" w:hAnsi="Times New Roman" w:cs="Times New Roman"/>
            <w:color w:val="000000" w:themeColor="text1"/>
            <w:sz w:val="24"/>
            <w:szCs w:val="24"/>
          </w:rPr>
          <w:fldChar w:fldCharType="end"/>
        </w:r>
      </w:hyperlink>
    </w:p>
    <w:p w14:paraId="4A78EEC8"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42" w:history="1">
        <w:r>
          <w:rPr>
            <w:rFonts w:ascii="Times New Roman" w:hAnsi="Times New Roman" w:cs="Times New Roman"/>
            <w:color w:val="000000" w:themeColor="text1"/>
            <w:sz w:val="24"/>
            <w:szCs w:val="24"/>
          </w:rPr>
          <w:t>4.5</w:t>
        </w:r>
        <w:r>
          <w:rPr>
            <w:rFonts w:ascii="Times New Roman" w:hAnsi="Times New Roman" w:cs="Times New Roman"/>
            <w:color w:val="000000" w:themeColor="text1"/>
            <w:sz w:val="24"/>
            <w:szCs w:val="24"/>
          </w:rPr>
          <w:t>检测和控制</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_Toc34929042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35</w:t>
        </w:r>
        <w:r>
          <w:rPr>
            <w:rFonts w:ascii="Times New Roman" w:hAnsi="Times New Roman" w:cs="Times New Roman"/>
            <w:color w:val="000000" w:themeColor="text1"/>
            <w:sz w:val="24"/>
            <w:szCs w:val="24"/>
          </w:rPr>
          <w:fldChar w:fldCharType="end"/>
        </w:r>
      </w:hyperlink>
    </w:p>
    <w:p w14:paraId="1C6D4F3E" w14:textId="77777777" w:rsidR="00E269CD" w:rsidRDefault="00E13E3E">
      <w:pPr>
        <w:tabs>
          <w:tab w:val="right" w:leader="dot" w:pos="8296"/>
        </w:tabs>
        <w:spacing w:line="360" w:lineRule="auto"/>
        <w:rPr>
          <w:rFonts w:ascii="Times New Roman" w:hAnsi="Times New Roman" w:cs="Times New Roman"/>
          <w:b/>
          <w:color w:val="000000" w:themeColor="text1"/>
          <w:sz w:val="24"/>
          <w:szCs w:val="24"/>
        </w:rPr>
      </w:pPr>
      <w:hyperlink w:anchor="_Toc34929043" w:history="1">
        <w:r>
          <w:rPr>
            <w:rFonts w:ascii="Times New Roman" w:hAnsi="Times New Roman" w:cs="Times New Roman"/>
            <w:b/>
            <w:color w:val="000000" w:themeColor="text1"/>
            <w:sz w:val="24"/>
            <w:szCs w:val="24"/>
          </w:rPr>
          <w:t xml:space="preserve">5  </w:t>
        </w:r>
        <w:r>
          <w:rPr>
            <w:rFonts w:ascii="Times New Roman" w:hAnsi="Times New Roman" w:cs="Times New Roman"/>
            <w:b/>
            <w:color w:val="000000" w:themeColor="text1"/>
            <w:sz w:val="24"/>
            <w:szCs w:val="24"/>
          </w:rPr>
          <w:t>次氯酸钠现场制备消毒系统</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fldChar w:fldCharType="begin"/>
        </w:r>
        <w:r>
          <w:rPr>
            <w:rFonts w:ascii="Times New Roman" w:hAnsi="Times New Roman" w:cs="Times New Roman"/>
            <w:b/>
            <w:color w:val="000000" w:themeColor="text1"/>
            <w:sz w:val="24"/>
            <w:szCs w:val="24"/>
          </w:rPr>
          <w:instrText xml:space="preserve"> PAGEREF _Toc34929043 \h </w:instrText>
        </w:r>
        <w:r>
          <w:rPr>
            <w:rFonts w:ascii="Times New Roman" w:hAnsi="Times New Roman" w:cs="Times New Roman"/>
            <w:b/>
            <w:color w:val="000000" w:themeColor="text1"/>
            <w:sz w:val="24"/>
            <w:szCs w:val="24"/>
          </w:rPr>
        </w:r>
        <w:r>
          <w:rPr>
            <w:rFonts w:ascii="Times New Roman" w:hAnsi="Times New Roman" w:cs="Times New Roman"/>
            <w:b/>
            <w:color w:val="000000" w:themeColor="text1"/>
            <w:sz w:val="24"/>
            <w:szCs w:val="24"/>
          </w:rPr>
          <w:fldChar w:fldCharType="separate"/>
        </w:r>
        <w:r>
          <w:rPr>
            <w:rFonts w:ascii="Times New Roman" w:hAnsi="Times New Roman" w:cs="Times New Roman"/>
            <w:b/>
            <w:color w:val="000000" w:themeColor="text1"/>
            <w:sz w:val="24"/>
            <w:szCs w:val="24"/>
          </w:rPr>
          <w:t>36</w:t>
        </w:r>
        <w:r>
          <w:rPr>
            <w:rFonts w:ascii="Times New Roman" w:hAnsi="Times New Roman" w:cs="Times New Roman"/>
            <w:b/>
            <w:color w:val="000000" w:themeColor="text1"/>
            <w:sz w:val="24"/>
            <w:szCs w:val="24"/>
          </w:rPr>
          <w:fldChar w:fldCharType="end"/>
        </w:r>
      </w:hyperlink>
    </w:p>
    <w:p w14:paraId="2885B62C"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44" w:history="1">
        <w:r>
          <w:rPr>
            <w:rFonts w:ascii="Times New Roman" w:hAnsi="Times New Roman" w:cs="Times New Roman"/>
            <w:color w:val="000000" w:themeColor="text1"/>
            <w:sz w:val="24"/>
            <w:szCs w:val="24"/>
          </w:rPr>
          <w:t>5.1</w:t>
        </w:r>
        <w:r>
          <w:rPr>
            <w:rFonts w:ascii="Times New Roman" w:hAnsi="Times New Roman" w:cs="Times New Roman"/>
            <w:color w:val="000000" w:themeColor="text1"/>
            <w:sz w:val="24"/>
            <w:szCs w:val="24"/>
          </w:rPr>
          <w:t>储盐</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_Toc34929044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36</w:t>
        </w:r>
        <w:r>
          <w:rPr>
            <w:rFonts w:ascii="Times New Roman" w:hAnsi="Times New Roman" w:cs="Times New Roman"/>
            <w:color w:val="000000" w:themeColor="text1"/>
            <w:sz w:val="24"/>
            <w:szCs w:val="24"/>
          </w:rPr>
          <w:fldChar w:fldCharType="end"/>
        </w:r>
      </w:hyperlink>
    </w:p>
    <w:p w14:paraId="2CAA75C0"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45" w:history="1">
        <w:r>
          <w:rPr>
            <w:rFonts w:ascii="Times New Roman" w:hAnsi="Times New Roman" w:cs="Times New Roman"/>
            <w:color w:val="000000" w:themeColor="text1"/>
            <w:sz w:val="24"/>
            <w:szCs w:val="24"/>
          </w:rPr>
          <w:t xml:space="preserve">5.2 </w:t>
        </w:r>
        <w:r>
          <w:rPr>
            <w:rFonts w:ascii="Times New Roman" w:hAnsi="Times New Roman" w:cs="Times New Roman"/>
            <w:color w:val="000000" w:themeColor="text1"/>
            <w:sz w:val="24"/>
            <w:szCs w:val="24"/>
          </w:rPr>
          <w:t>溶盐</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_Toc34929045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36</w:t>
        </w:r>
        <w:r>
          <w:rPr>
            <w:rFonts w:ascii="Times New Roman" w:hAnsi="Times New Roman" w:cs="Times New Roman"/>
            <w:color w:val="000000" w:themeColor="text1"/>
            <w:sz w:val="24"/>
            <w:szCs w:val="24"/>
          </w:rPr>
          <w:fldChar w:fldCharType="end"/>
        </w:r>
      </w:hyperlink>
    </w:p>
    <w:p w14:paraId="22741055"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46" w:history="1">
        <w:r>
          <w:rPr>
            <w:rFonts w:ascii="Times New Roman" w:hAnsi="Times New Roman" w:cs="Times New Roman"/>
            <w:color w:val="000000" w:themeColor="text1"/>
            <w:sz w:val="24"/>
            <w:szCs w:val="24"/>
          </w:rPr>
          <w:t xml:space="preserve">5.3 </w:t>
        </w:r>
        <w:r>
          <w:rPr>
            <w:rFonts w:ascii="Times New Roman" w:hAnsi="Times New Roman" w:cs="Times New Roman"/>
            <w:color w:val="000000" w:themeColor="text1"/>
            <w:sz w:val="24"/>
            <w:szCs w:val="24"/>
          </w:rPr>
          <w:t>发生</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_Toc34929046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37</w:t>
        </w:r>
        <w:r>
          <w:rPr>
            <w:rFonts w:ascii="Times New Roman" w:hAnsi="Times New Roman" w:cs="Times New Roman"/>
            <w:color w:val="000000" w:themeColor="text1"/>
            <w:sz w:val="24"/>
            <w:szCs w:val="24"/>
          </w:rPr>
          <w:fldChar w:fldCharType="end"/>
        </w:r>
      </w:hyperlink>
    </w:p>
    <w:p w14:paraId="59A34E97"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47" w:history="1">
        <w:r>
          <w:rPr>
            <w:rFonts w:ascii="Times New Roman" w:hAnsi="Times New Roman" w:cs="Times New Roman"/>
            <w:color w:val="000000" w:themeColor="text1"/>
            <w:sz w:val="24"/>
            <w:szCs w:val="24"/>
          </w:rPr>
          <w:t xml:space="preserve">5.4 </w:t>
        </w:r>
        <w:r>
          <w:rPr>
            <w:rFonts w:ascii="Times New Roman" w:hAnsi="Times New Roman" w:cs="Times New Roman"/>
            <w:color w:val="000000" w:themeColor="text1"/>
            <w:sz w:val="24"/>
            <w:szCs w:val="24"/>
          </w:rPr>
          <w:t>储存</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_Toc34929047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38</w:t>
        </w:r>
        <w:r>
          <w:rPr>
            <w:rFonts w:ascii="Times New Roman" w:hAnsi="Times New Roman" w:cs="Times New Roman"/>
            <w:color w:val="000000" w:themeColor="text1"/>
            <w:sz w:val="24"/>
            <w:szCs w:val="24"/>
          </w:rPr>
          <w:fldChar w:fldCharType="end"/>
        </w:r>
      </w:hyperlink>
    </w:p>
    <w:p w14:paraId="690ADC28" w14:textId="77777777" w:rsidR="00E269CD" w:rsidRDefault="00E13E3E">
      <w:pPr>
        <w:tabs>
          <w:tab w:val="right" w:leader="dot" w:pos="8296"/>
        </w:tabs>
        <w:spacing w:line="360" w:lineRule="auto"/>
        <w:ind w:leftChars="200" w:left="420"/>
        <w:rPr>
          <w:rFonts w:ascii="Times New Roman" w:hAnsi="Times New Roman" w:cs="Times New Roman"/>
          <w:color w:val="000000" w:themeColor="text1"/>
          <w:sz w:val="24"/>
          <w:szCs w:val="24"/>
        </w:rPr>
      </w:pPr>
      <w:hyperlink w:anchor="_Toc34929048" w:history="1">
        <w:r>
          <w:rPr>
            <w:rFonts w:ascii="Times New Roman" w:hAnsi="Times New Roman" w:cs="Times New Roman"/>
            <w:color w:val="000000" w:themeColor="text1"/>
            <w:sz w:val="24"/>
            <w:szCs w:val="24"/>
          </w:rPr>
          <w:t xml:space="preserve">5.6 </w:t>
        </w:r>
        <w:r>
          <w:rPr>
            <w:rFonts w:ascii="Times New Roman" w:hAnsi="Times New Roman" w:cs="Times New Roman"/>
            <w:color w:val="000000" w:themeColor="text1"/>
            <w:sz w:val="24"/>
            <w:szCs w:val="24"/>
          </w:rPr>
          <w:t>检测和控制</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_Toc34929048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39</w:t>
        </w:r>
        <w:r>
          <w:rPr>
            <w:rFonts w:ascii="Times New Roman" w:hAnsi="Times New Roman" w:cs="Times New Roman"/>
            <w:color w:val="000000" w:themeColor="text1"/>
            <w:sz w:val="24"/>
            <w:szCs w:val="24"/>
          </w:rPr>
          <w:fldChar w:fldCharType="end"/>
        </w:r>
      </w:hyperlink>
    </w:p>
    <w:p w14:paraId="60ACDA8C" w14:textId="77777777" w:rsidR="00E269CD" w:rsidRDefault="00E13E3E">
      <w:pPr>
        <w:tabs>
          <w:tab w:val="right" w:leader="dot" w:pos="8296"/>
        </w:tabs>
        <w:spacing w:line="360" w:lineRule="auto"/>
        <w:rPr>
          <w:rFonts w:ascii="Times New Roman" w:hAnsi="Times New Roman" w:cs="Times New Roman"/>
          <w:b/>
          <w:bCs/>
          <w:color w:val="000000" w:themeColor="text1"/>
          <w:kern w:val="44"/>
          <w:sz w:val="24"/>
          <w:szCs w:val="24"/>
        </w:rPr>
      </w:pPr>
      <w:hyperlink w:anchor="_Toc34929049" w:history="1">
        <w:r>
          <w:rPr>
            <w:rFonts w:ascii="Times New Roman" w:hAnsi="Times New Roman" w:cs="Times New Roman"/>
            <w:b/>
            <w:bCs/>
            <w:color w:val="000000" w:themeColor="text1"/>
            <w:kern w:val="44"/>
            <w:sz w:val="24"/>
            <w:szCs w:val="24"/>
          </w:rPr>
          <w:t xml:space="preserve">6  </w:t>
        </w:r>
        <w:r>
          <w:rPr>
            <w:rFonts w:ascii="Times New Roman" w:hAnsi="Times New Roman" w:cs="Times New Roman"/>
            <w:b/>
            <w:bCs/>
            <w:color w:val="000000" w:themeColor="text1"/>
            <w:kern w:val="44"/>
            <w:sz w:val="24"/>
            <w:szCs w:val="24"/>
          </w:rPr>
          <w:t>排放</w:t>
        </w:r>
        <w:r>
          <w:rPr>
            <w:rFonts w:ascii="Times New Roman" w:hAnsi="Times New Roman" w:cs="Times New Roman"/>
            <w:b/>
            <w:bCs/>
            <w:color w:val="000000" w:themeColor="text1"/>
            <w:kern w:val="44"/>
            <w:sz w:val="24"/>
            <w:szCs w:val="24"/>
          </w:rPr>
          <w:tab/>
        </w:r>
        <w:r>
          <w:rPr>
            <w:rFonts w:ascii="Times New Roman" w:hAnsi="Times New Roman" w:cs="Times New Roman"/>
            <w:b/>
            <w:bCs/>
            <w:color w:val="000000" w:themeColor="text1"/>
            <w:kern w:val="44"/>
            <w:sz w:val="24"/>
            <w:szCs w:val="24"/>
          </w:rPr>
          <w:fldChar w:fldCharType="begin"/>
        </w:r>
        <w:r>
          <w:rPr>
            <w:rFonts w:ascii="Times New Roman" w:hAnsi="Times New Roman" w:cs="Times New Roman"/>
            <w:b/>
            <w:bCs/>
            <w:color w:val="000000" w:themeColor="text1"/>
            <w:kern w:val="44"/>
            <w:sz w:val="24"/>
            <w:szCs w:val="24"/>
          </w:rPr>
          <w:instrText xml:space="preserve"> PAGEREF _Toc34929049 \h </w:instrText>
        </w:r>
        <w:r>
          <w:rPr>
            <w:rFonts w:ascii="Times New Roman" w:hAnsi="Times New Roman" w:cs="Times New Roman"/>
            <w:b/>
            <w:bCs/>
            <w:color w:val="000000" w:themeColor="text1"/>
            <w:kern w:val="44"/>
            <w:sz w:val="24"/>
            <w:szCs w:val="24"/>
          </w:rPr>
        </w:r>
        <w:r>
          <w:rPr>
            <w:rFonts w:ascii="Times New Roman" w:hAnsi="Times New Roman" w:cs="Times New Roman"/>
            <w:b/>
            <w:bCs/>
            <w:color w:val="000000" w:themeColor="text1"/>
            <w:kern w:val="44"/>
            <w:sz w:val="24"/>
            <w:szCs w:val="24"/>
          </w:rPr>
          <w:fldChar w:fldCharType="separate"/>
        </w:r>
        <w:r>
          <w:rPr>
            <w:rFonts w:ascii="Times New Roman" w:hAnsi="Times New Roman" w:cs="Times New Roman"/>
            <w:b/>
            <w:bCs/>
            <w:color w:val="000000" w:themeColor="text1"/>
            <w:kern w:val="44"/>
            <w:sz w:val="24"/>
            <w:szCs w:val="24"/>
          </w:rPr>
          <w:t>40</w:t>
        </w:r>
        <w:r>
          <w:rPr>
            <w:rFonts w:ascii="Times New Roman" w:hAnsi="Times New Roman" w:cs="Times New Roman"/>
            <w:b/>
            <w:bCs/>
            <w:color w:val="000000" w:themeColor="text1"/>
            <w:kern w:val="44"/>
            <w:sz w:val="24"/>
            <w:szCs w:val="24"/>
          </w:rPr>
          <w:fldChar w:fldCharType="end"/>
        </w:r>
      </w:hyperlink>
    </w:p>
    <w:p w14:paraId="62491BE7" w14:textId="77777777" w:rsidR="00E269CD" w:rsidRDefault="00E13E3E">
      <w:pPr>
        <w:tabs>
          <w:tab w:val="right" w:leader="dot" w:pos="8296"/>
        </w:tabs>
        <w:spacing w:line="360" w:lineRule="auto"/>
        <w:rPr>
          <w:rFonts w:ascii="Times New Roman" w:hAnsi="Times New Roman" w:cs="Times New Roman"/>
          <w:b/>
          <w:bCs/>
          <w:color w:val="000000" w:themeColor="text1"/>
          <w:kern w:val="44"/>
          <w:sz w:val="24"/>
          <w:szCs w:val="24"/>
        </w:rPr>
      </w:pPr>
      <w:hyperlink w:anchor="_Toc34929050" w:history="1">
        <w:r>
          <w:rPr>
            <w:rFonts w:ascii="Times New Roman" w:hAnsi="Times New Roman" w:cs="Times New Roman"/>
            <w:b/>
            <w:bCs/>
            <w:color w:val="000000" w:themeColor="text1"/>
            <w:kern w:val="44"/>
            <w:sz w:val="24"/>
            <w:szCs w:val="24"/>
          </w:rPr>
          <w:t xml:space="preserve">7  </w:t>
        </w:r>
        <w:r>
          <w:rPr>
            <w:rFonts w:ascii="Times New Roman" w:hAnsi="Times New Roman" w:cs="Times New Roman"/>
            <w:b/>
            <w:bCs/>
            <w:color w:val="000000" w:themeColor="text1"/>
            <w:kern w:val="44"/>
            <w:sz w:val="24"/>
            <w:szCs w:val="24"/>
          </w:rPr>
          <w:t>施工和验收</w:t>
        </w:r>
        <w:r>
          <w:rPr>
            <w:rFonts w:ascii="Times New Roman" w:hAnsi="Times New Roman" w:cs="Times New Roman"/>
            <w:b/>
            <w:bCs/>
            <w:color w:val="000000" w:themeColor="text1"/>
            <w:kern w:val="44"/>
            <w:sz w:val="24"/>
            <w:szCs w:val="24"/>
          </w:rPr>
          <w:tab/>
        </w:r>
        <w:r>
          <w:rPr>
            <w:rFonts w:ascii="Times New Roman" w:hAnsi="Times New Roman" w:cs="Times New Roman"/>
            <w:b/>
            <w:bCs/>
            <w:color w:val="000000" w:themeColor="text1"/>
            <w:kern w:val="44"/>
            <w:sz w:val="24"/>
            <w:szCs w:val="24"/>
          </w:rPr>
          <w:fldChar w:fldCharType="begin"/>
        </w:r>
        <w:r>
          <w:rPr>
            <w:rFonts w:ascii="Times New Roman" w:hAnsi="Times New Roman" w:cs="Times New Roman"/>
            <w:b/>
            <w:bCs/>
            <w:color w:val="000000" w:themeColor="text1"/>
            <w:kern w:val="44"/>
            <w:sz w:val="24"/>
            <w:szCs w:val="24"/>
          </w:rPr>
          <w:instrText xml:space="preserve"> PAGEREF _Toc34929050 \h </w:instrText>
        </w:r>
        <w:r>
          <w:rPr>
            <w:rFonts w:ascii="Times New Roman" w:hAnsi="Times New Roman" w:cs="Times New Roman"/>
            <w:b/>
            <w:bCs/>
            <w:color w:val="000000" w:themeColor="text1"/>
            <w:kern w:val="44"/>
            <w:sz w:val="24"/>
            <w:szCs w:val="24"/>
          </w:rPr>
        </w:r>
        <w:r>
          <w:rPr>
            <w:rFonts w:ascii="Times New Roman" w:hAnsi="Times New Roman" w:cs="Times New Roman"/>
            <w:b/>
            <w:bCs/>
            <w:color w:val="000000" w:themeColor="text1"/>
            <w:kern w:val="44"/>
            <w:sz w:val="24"/>
            <w:szCs w:val="24"/>
          </w:rPr>
          <w:fldChar w:fldCharType="separate"/>
        </w:r>
        <w:r>
          <w:rPr>
            <w:rFonts w:ascii="Times New Roman" w:hAnsi="Times New Roman" w:cs="Times New Roman"/>
            <w:b/>
            <w:bCs/>
            <w:color w:val="000000" w:themeColor="text1"/>
            <w:kern w:val="44"/>
            <w:sz w:val="24"/>
            <w:szCs w:val="24"/>
          </w:rPr>
          <w:t>40</w:t>
        </w:r>
        <w:r>
          <w:rPr>
            <w:rFonts w:ascii="Times New Roman" w:hAnsi="Times New Roman" w:cs="Times New Roman"/>
            <w:b/>
            <w:bCs/>
            <w:color w:val="000000" w:themeColor="text1"/>
            <w:kern w:val="44"/>
            <w:sz w:val="24"/>
            <w:szCs w:val="24"/>
          </w:rPr>
          <w:fldChar w:fldCharType="end"/>
        </w:r>
      </w:hyperlink>
    </w:p>
    <w:p w14:paraId="29C04E1A" w14:textId="77777777" w:rsidR="00E269CD" w:rsidRDefault="00E13E3E">
      <w:pPr>
        <w:tabs>
          <w:tab w:val="right" w:leader="dot" w:pos="8296"/>
        </w:tabs>
        <w:spacing w:line="360" w:lineRule="auto"/>
        <w:rPr>
          <w:rFonts w:ascii="Times New Roman" w:hAnsi="Times New Roman" w:cs="Times New Roman"/>
          <w:b/>
          <w:bCs/>
          <w:color w:val="000000" w:themeColor="text1"/>
          <w:kern w:val="44"/>
          <w:sz w:val="24"/>
          <w:szCs w:val="24"/>
        </w:rPr>
      </w:pPr>
      <w:hyperlink w:anchor="_Toc34929051" w:history="1">
        <w:r>
          <w:rPr>
            <w:rFonts w:ascii="Times New Roman" w:hAnsi="Times New Roman" w:cs="Times New Roman"/>
            <w:b/>
            <w:bCs/>
            <w:color w:val="000000" w:themeColor="text1"/>
            <w:kern w:val="44"/>
            <w:sz w:val="24"/>
            <w:szCs w:val="24"/>
          </w:rPr>
          <w:t xml:space="preserve">8  </w:t>
        </w:r>
        <w:r>
          <w:rPr>
            <w:rFonts w:ascii="Times New Roman" w:hAnsi="Times New Roman" w:cs="Times New Roman"/>
            <w:b/>
            <w:bCs/>
            <w:color w:val="000000" w:themeColor="text1"/>
            <w:kern w:val="44"/>
            <w:sz w:val="24"/>
            <w:szCs w:val="24"/>
          </w:rPr>
          <w:t>运行管理</w:t>
        </w:r>
        <w:r>
          <w:rPr>
            <w:rFonts w:ascii="Times New Roman" w:hAnsi="Times New Roman" w:cs="Times New Roman"/>
            <w:b/>
            <w:bCs/>
            <w:color w:val="000000" w:themeColor="text1"/>
            <w:kern w:val="44"/>
            <w:sz w:val="24"/>
            <w:szCs w:val="24"/>
          </w:rPr>
          <w:tab/>
        </w:r>
        <w:r>
          <w:rPr>
            <w:rFonts w:ascii="Times New Roman" w:hAnsi="Times New Roman" w:cs="Times New Roman"/>
            <w:b/>
            <w:bCs/>
            <w:color w:val="000000" w:themeColor="text1"/>
            <w:kern w:val="44"/>
            <w:sz w:val="24"/>
            <w:szCs w:val="24"/>
          </w:rPr>
          <w:fldChar w:fldCharType="begin"/>
        </w:r>
        <w:r>
          <w:rPr>
            <w:rFonts w:ascii="Times New Roman" w:hAnsi="Times New Roman" w:cs="Times New Roman"/>
            <w:b/>
            <w:bCs/>
            <w:color w:val="000000" w:themeColor="text1"/>
            <w:kern w:val="44"/>
            <w:sz w:val="24"/>
            <w:szCs w:val="24"/>
          </w:rPr>
          <w:instrText xml:space="preserve"> PAGEREF _Toc349</w:instrText>
        </w:r>
        <w:r>
          <w:rPr>
            <w:rFonts w:ascii="Times New Roman" w:hAnsi="Times New Roman" w:cs="Times New Roman"/>
            <w:b/>
            <w:bCs/>
            <w:color w:val="000000" w:themeColor="text1"/>
            <w:kern w:val="44"/>
            <w:sz w:val="24"/>
            <w:szCs w:val="24"/>
          </w:rPr>
          <w:instrText xml:space="preserve">29051 \h </w:instrText>
        </w:r>
        <w:r>
          <w:rPr>
            <w:rFonts w:ascii="Times New Roman" w:hAnsi="Times New Roman" w:cs="Times New Roman"/>
            <w:b/>
            <w:bCs/>
            <w:color w:val="000000" w:themeColor="text1"/>
            <w:kern w:val="44"/>
            <w:sz w:val="24"/>
            <w:szCs w:val="24"/>
          </w:rPr>
        </w:r>
        <w:r>
          <w:rPr>
            <w:rFonts w:ascii="Times New Roman" w:hAnsi="Times New Roman" w:cs="Times New Roman"/>
            <w:b/>
            <w:bCs/>
            <w:color w:val="000000" w:themeColor="text1"/>
            <w:kern w:val="44"/>
            <w:sz w:val="24"/>
            <w:szCs w:val="24"/>
          </w:rPr>
          <w:fldChar w:fldCharType="separate"/>
        </w:r>
        <w:r>
          <w:rPr>
            <w:rFonts w:ascii="Times New Roman" w:hAnsi="Times New Roman" w:cs="Times New Roman"/>
            <w:b/>
            <w:bCs/>
            <w:color w:val="000000" w:themeColor="text1"/>
            <w:kern w:val="44"/>
            <w:sz w:val="24"/>
            <w:szCs w:val="24"/>
          </w:rPr>
          <w:t>41</w:t>
        </w:r>
        <w:r>
          <w:rPr>
            <w:rFonts w:ascii="Times New Roman" w:hAnsi="Times New Roman" w:cs="Times New Roman"/>
            <w:b/>
            <w:bCs/>
            <w:color w:val="000000" w:themeColor="text1"/>
            <w:kern w:val="44"/>
            <w:sz w:val="24"/>
            <w:szCs w:val="24"/>
          </w:rPr>
          <w:fldChar w:fldCharType="end"/>
        </w:r>
      </w:hyperlink>
    </w:p>
    <w:p w14:paraId="51810579" w14:textId="77777777" w:rsidR="00E269CD" w:rsidRDefault="00E13E3E">
      <w:pPr>
        <w:tabs>
          <w:tab w:val="right" w:leader="dot" w:pos="8296"/>
        </w:tabs>
        <w:spacing w:line="360" w:lineRule="auto"/>
        <w:rPr>
          <w:rFonts w:ascii="Times New Roman" w:hAnsi="Times New Roman" w:cs="Times New Roman"/>
          <w:b/>
          <w:bCs/>
          <w:color w:val="000000" w:themeColor="text1"/>
          <w:kern w:val="44"/>
          <w:sz w:val="24"/>
          <w:szCs w:val="24"/>
        </w:rPr>
      </w:pPr>
      <w:hyperlink w:anchor="_Toc34929052" w:history="1">
        <w:r>
          <w:rPr>
            <w:rFonts w:ascii="Times New Roman" w:hAnsi="Times New Roman" w:cs="Times New Roman"/>
            <w:b/>
            <w:bCs/>
            <w:color w:val="000000" w:themeColor="text1"/>
            <w:kern w:val="44"/>
            <w:sz w:val="24"/>
            <w:szCs w:val="24"/>
          </w:rPr>
          <w:t xml:space="preserve">9  </w:t>
        </w:r>
        <w:r>
          <w:rPr>
            <w:rFonts w:ascii="Times New Roman" w:hAnsi="Times New Roman" w:cs="Times New Roman"/>
            <w:b/>
            <w:bCs/>
            <w:color w:val="000000" w:themeColor="text1"/>
            <w:kern w:val="44"/>
            <w:sz w:val="24"/>
            <w:szCs w:val="24"/>
          </w:rPr>
          <w:t>维护管理</w:t>
        </w:r>
        <w:r>
          <w:rPr>
            <w:rFonts w:ascii="Times New Roman" w:hAnsi="Times New Roman" w:cs="Times New Roman"/>
            <w:b/>
            <w:bCs/>
            <w:color w:val="000000" w:themeColor="text1"/>
            <w:kern w:val="44"/>
            <w:sz w:val="24"/>
            <w:szCs w:val="24"/>
          </w:rPr>
          <w:tab/>
        </w:r>
        <w:r>
          <w:rPr>
            <w:rFonts w:ascii="Times New Roman" w:hAnsi="Times New Roman" w:cs="Times New Roman"/>
            <w:b/>
            <w:bCs/>
            <w:color w:val="000000" w:themeColor="text1"/>
            <w:kern w:val="44"/>
            <w:sz w:val="24"/>
            <w:szCs w:val="24"/>
          </w:rPr>
          <w:fldChar w:fldCharType="begin"/>
        </w:r>
        <w:r>
          <w:rPr>
            <w:rFonts w:ascii="Times New Roman" w:hAnsi="Times New Roman" w:cs="Times New Roman"/>
            <w:b/>
            <w:bCs/>
            <w:color w:val="000000" w:themeColor="text1"/>
            <w:kern w:val="44"/>
            <w:sz w:val="24"/>
            <w:szCs w:val="24"/>
          </w:rPr>
          <w:instrText xml:space="preserve"> PAGEREF _Toc34929052 \h </w:instrText>
        </w:r>
        <w:r>
          <w:rPr>
            <w:rFonts w:ascii="Times New Roman" w:hAnsi="Times New Roman" w:cs="Times New Roman"/>
            <w:b/>
            <w:bCs/>
            <w:color w:val="000000" w:themeColor="text1"/>
            <w:kern w:val="44"/>
            <w:sz w:val="24"/>
            <w:szCs w:val="24"/>
          </w:rPr>
        </w:r>
        <w:r>
          <w:rPr>
            <w:rFonts w:ascii="Times New Roman" w:hAnsi="Times New Roman" w:cs="Times New Roman"/>
            <w:b/>
            <w:bCs/>
            <w:color w:val="000000" w:themeColor="text1"/>
            <w:kern w:val="44"/>
            <w:sz w:val="24"/>
            <w:szCs w:val="24"/>
          </w:rPr>
          <w:fldChar w:fldCharType="separate"/>
        </w:r>
        <w:r>
          <w:rPr>
            <w:rFonts w:ascii="Times New Roman" w:hAnsi="Times New Roman" w:cs="Times New Roman"/>
            <w:b/>
            <w:bCs/>
            <w:color w:val="000000" w:themeColor="text1"/>
            <w:kern w:val="44"/>
            <w:sz w:val="24"/>
            <w:szCs w:val="24"/>
          </w:rPr>
          <w:t>42</w:t>
        </w:r>
        <w:r>
          <w:rPr>
            <w:rFonts w:ascii="Times New Roman" w:hAnsi="Times New Roman" w:cs="Times New Roman"/>
            <w:b/>
            <w:bCs/>
            <w:color w:val="000000" w:themeColor="text1"/>
            <w:kern w:val="44"/>
            <w:sz w:val="24"/>
            <w:szCs w:val="24"/>
          </w:rPr>
          <w:fldChar w:fldCharType="end"/>
        </w:r>
      </w:hyperlink>
    </w:p>
    <w:p w14:paraId="5DBBDE7A" w14:textId="77777777" w:rsidR="00E269CD" w:rsidRDefault="00E13E3E">
      <w:pPr>
        <w:tabs>
          <w:tab w:val="right" w:leader="dot" w:pos="8296"/>
        </w:tabs>
        <w:spacing w:line="360" w:lineRule="auto"/>
        <w:rPr>
          <w:rFonts w:ascii="Times New Roman" w:hAnsi="Times New Roman" w:cs="Times New Roman"/>
          <w:color w:val="000000" w:themeColor="text1"/>
          <w:sz w:val="24"/>
          <w:szCs w:val="24"/>
        </w:rPr>
      </w:pPr>
      <w:hyperlink w:anchor="_Toc34929053" w:history="1">
        <w:r>
          <w:rPr>
            <w:rFonts w:ascii="Times New Roman" w:hAnsi="Times New Roman" w:cs="Times New Roman"/>
            <w:b/>
            <w:bCs/>
            <w:color w:val="000000" w:themeColor="text1"/>
            <w:kern w:val="44"/>
            <w:sz w:val="24"/>
            <w:szCs w:val="24"/>
          </w:rPr>
          <w:t xml:space="preserve">10 </w:t>
        </w:r>
        <w:r>
          <w:rPr>
            <w:rFonts w:ascii="Times New Roman" w:hAnsi="Times New Roman" w:cs="Times New Roman"/>
            <w:b/>
            <w:bCs/>
            <w:color w:val="000000" w:themeColor="text1"/>
            <w:kern w:val="44"/>
            <w:sz w:val="24"/>
            <w:szCs w:val="24"/>
          </w:rPr>
          <w:t>安全管理</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PAGEREF _Toc34929053 \h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43</w:t>
        </w:r>
        <w:r>
          <w:rPr>
            <w:rFonts w:ascii="Times New Roman" w:hAnsi="Times New Roman" w:cs="Times New Roman"/>
            <w:color w:val="000000" w:themeColor="text1"/>
            <w:sz w:val="24"/>
            <w:szCs w:val="24"/>
          </w:rPr>
          <w:fldChar w:fldCharType="end"/>
        </w:r>
      </w:hyperlink>
    </w:p>
    <w:p w14:paraId="0B52E144" w14:textId="77777777" w:rsidR="00E269CD" w:rsidRDefault="00E13E3E">
      <w:pPr>
        <w:spacing w:line="360" w:lineRule="auto"/>
        <w:rPr>
          <w:rFonts w:ascii="Times New Roman" w:hAnsi="Times New Roman" w:cs="Times New Roman"/>
          <w:b/>
          <w:bCs/>
          <w:color w:val="000000" w:themeColor="text1"/>
          <w:lang w:val="zh-CN"/>
        </w:rPr>
      </w:pPr>
      <w:r>
        <w:rPr>
          <w:rFonts w:ascii="Times New Roman" w:hAnsi="Times New Roman" w:cs="Times New Roman"/>
          <w:b/>
          <w:bCs/>
          <w:color w:val="000000" w:themeColor="text1"/>
          <w:sz w:val="24"/>
          <w:szCs w:val="24"/>
          <w:lang w:val="zh-CN"/>
        </w:rPr>
        <w:fldChar w:fldCharType="end"/>
      </w:r>
    </w:p>
    <w:p w14:paraId="0598933F" w14:textId="77777777" w:rsidR="00E269CD" w:rsidRDefault="00E269CD">
      <w:pPr>
        <w:spacing w:line="360" w:lineRule="auto"/>
        <w:rPr>
          <w:rFonts w:ascii="Times New Roman" w:hAnsi="Times New Roman" w:cs="Times New Roman"/>
          <w:color w:val="000000" w:themeColor="text1"/>
        </w:rPr>
        <w:sectPr w:rsidR="00E269CD">
          <w:pgSz w:w="11906" w:h="16838"/>
          <w:pgMar w:top="1440" w:right="1800" w:bottom="1440" w:left="1800" w:header="851" w:footer="992" w:gutter="0"/>
          <w:cols w:space="425"/>
          <w:docGrid w:type="lines" w:linePitch="312"/>
        </w:sectPr>
      </w:pPr>
    </w:p>
    <w:p w14:paraId="49558B70" w14:textId="77777777" w:rsidR="00E269CD" w:rsidRDefault="00E269CD">
      <w:pPr>
        <w:spacing w:line="360" w:lineRule="auto"/>
        <w:rPr>
          <w:rFonts w:ascii="Times New Roman" w:hAnsi="Times New Roman" w:cs="Times New Roman"/>
          <w:color w:val="000000" w:themeColor="text1"/>
        </w:rPr>
      </w:pPr>
    </w:p>
    <w:p w14:paraId="71D32053" w14:textId="77777777" w:rsidR="00E269CD" w:rsidRDefault="00E13E3E">
      <w:pPr>
        <w:keepNext/>
        <w:keepLines/>
        <w:spacing w:line="360" w:lineRule="auto"/>
        <w:jc w:val="center"/>
        <w:outlineLvl w:val="0"/>
        <w:rPr>
          <w:rFonts w:ascii="Times New Roman" w:eastAsia="黑体" w:hAnsi="Times New Roman" w:cs="Times New Roman"/>
          <w:color w:val="000000" w:themeColor="text1"/>
          <w:sz w:val="36"/>
          <w:szCs w:val="36"/>
        </w:rPr>
      </w:pPr>
      <w:bookmarkStart w:id="41" w:name="_Toc127171775"/>
      <w:bookmarkStart w:id="42" w:name="_Toc123229221"/>
      <w:r>
        <w:rPr>
          <w:rFonts w:ascii="Times New Roman" w:eastAsia="黑体" w:hAnsi="Times New Roman" w:cs="Times New Roman"/>
          <w:b/>
          <w:bCs/>
          <w:color w:val="000000" w:themeColor="text1"/>
          <w:kern w:val="44"/>
          <w:sz w:val="36"/>
          <w:szCs w:val="36"/>
        </w:rPr>
        <w:t>制定说明</w:t>
      </w:r>
      <w:bookmarkEnd w:id="41"/>
      <w:bookmarkEnd w:id="42"/>
    </w:p>
    <w:p w14:paraId="4B8C0BC9" w14:textId="77777777" w:rsidR="00E269CD" w:rsidRDefault="00E13E3E">
      <w:pPr>
        <w:adjustRightInd w:val="0"/>
        <w:spacing w:line="360" w:lineRule="auto"/>
        <w:ind w:firstLineChars="177" w:firstLine="425"/>
        <w:jc w:val="left"/>
        <w:textAlignment w:val="baseline"/>
        <w:rPr>
          <w:rFonts w:ascii="Times New Roman" w:eastAsia="宋体" w:hAnsi="Times New Roman" w:cs="Times New Roman"/>
          <w:color w:val="000000" w:themeColor="text1"/>
          <w:kern w:val="0"/>
          <w:sz w:val="24"/>
          <w:szCs w:val="20"/>
        </w:rPr>
      </w:pPr>
      <w:r>
        <w:rPr>
          <w:rFonts w:ascii="Times New Roman" w:eastAsia="宋体" w:hAnsi="Times New Roman" w:cs="Times New Roman"/>
          <w:color w:val="000000" w:themeColor="text1"/>
          <w:kern w:val="0"/>
          <w:sz w:val="24"/>
          <w:szCs w:val="20"/>
        </w:rPr>
        <w:t>为进一步提高次氯酸钠的使用在城镇供水系统中的安全性，加强城市供水安全保障力度，针对次氯酸钠特点及生产使用过程可能存在的安全隐患，总结城镇供水行业中次氯酸钠工程设计、施工、验收及运行管理的成功经验，同时参考相关技术法规、技术标准，如</w:t>
      </w:r>
      <w:r>
        <w:rPr>
          <w:rFonts w:ascii="Times New Roman" w:eastAsia="宋体" w:hAnsi="Times New Roman" w:cs="Times New Roman"/>
          <w:bCs/>
          <w:color w:val="000000" w:themeColor="text1"/>
          <w:kern w:val="0"/>
          <w:sz w:val="24"/>
          <w:szCs w:val="24"/>
        </w:rPr>
        <w:t>《常用化学危险品贮存通则》、《危险化学品仓库建设及储存安全规范》等</w:t>
      </w:r>
      <w:r>
        <w:rPr>
          <w:rFonts w:ascii="Times New Roman" w:eastAsia="宋体" w:hAnsi="Times New Roman" w:cs="Times New Roman"/>
          <w:color w:val="000000" w:themeColor="text1"/>
          <w:kern w:val="0"/>
          <w:sz w:val="24"/>
          <w:szCs w:val="20"/>
        </w:rPr>
        <w:t>，对于商品次氯酸钠、次氯酸钠现场制备在供水行业较为常用的消毒系统，本规程在储存、加注、发生、排放和处置、检测和控制等使用环节，提出设计、施工和验收、运行和管理等要求。</w:t>
      </w:r>
    </w:p>
    <w:p w14:paraId="56ACECC5" w14:textId="77777777" w:rsidR="00E269CD" w:rsidRDefault="00E13E3E">
      <w:pPr>
        <w:adjustRightInd w:val="0"/>
        <w:spacing w:line="360" w:lineRule="auto"/>
        <w:ind w:firstLineChars="177" w:firstLine="425"/>
        <w:jc w:val="left"/>
        <w:textAlignment w:val="baseline"/>
        <w:rPr>
          <w:rFonts w:ascii="Times New Roman" w:eastAsia="宋体" w:hAnsi="Times New Roman" w:cs="Times New Roman"/>
          <w:color w:val="000000" w:themeColor="text1"/>
          <w:kern w:val="0"/>
          <w:sz w:val="24"/>
          <w:szCs w:val="20"/>
        </w:rPr>
        <w:sectPr w:rsidR="00E269CD">
          <w:pgSz w:w="11906" w:h="16838"/>
          <w:pgMar w:top="1440" w:right="1800" w:bottom="1440" w:left="1800" w:header="851" w:footer="992" w:gutter="0"/>
          <w:cols w:space="425"/>
          <w:docGrid w:type="lines" w:linePitch="312"/>
        </w:sectPr>
      </w:pPr>
      <w:r>
        <w:rPr>
          <w:rFonts w:ascii="Times New Roman" w:eastAsia="宋体" w:hAnsi="Times New Roman" w:cs="Times New Roman"/>
          <w:color w:val="000000" w:themeColor="text1"/>
          <w:kern w:val="0"/>
          <w:sz w:val="24"/>
          <w:szCs w:val="20"/>
        </w:rPr>
        <w:t>为便于广大设计、施工、科研、学校等单位有关人员在使用本规程时能正确理解和执行条文规定，《次氯酸钠消毒技术规程》编制组按章、节、条顺序编制了本规程的条文说明，对条文规定的目的、依据以及执行中需注意的有关事项进行了说明。但是，本条文说明不具备与标准正文</w:t>
      </w:r>
      <w:r>
        <w:rPr>
          <w:rFonts w:ascii="Times New Roman" w:eastAsia="宋体" w:hAnsi="Times New Roman" w:cs="Times New Roman"/>
          <w:color w:val="000000" w:themeColor="text1"/>
          <w:kern w:val="0"/>
          <w:sz w:val="24"/>
          <w:szCs w:val="20"/>
        </w:rPr>
        <w:t>同等的法律效力，仅供使用者作为理解和把握标准规定的参考。</w:t>
      </w:r>
    </w:p>
    <w:p w14:paraId="430417BC" w14:textId="77777777" w:rsidR="00E269CD" w:rsidRDefault="00E13E3E">
      <w:pPr>
        <w:keepNext/>
        <w:keepLines/>
        <w:spacing w:line="360" w:lineRule="auto"/>
        <w:jc w:val="center"/>
        <w:outlineLvl w:val="0"/>
        <w:rPr>
          <w:rFonts w:ascii="Times New Roman" w:hAnsi="Times New Roman" w:cs="Times New Roman"/>
          <w:color w:val="000000" w:themeColor="text1"/>
        </w:rPr>
      </w:pPr>
      <w:bookmarkStart w:id="43" w:name="_Toc127171776"/>
      <w:bookmarkStart w:id="44" w:name="_Toc123229222"/>
      <w:r>
        <w:rPr>
          <w:rFonts w:ascii="Times New Roman" w:hAnsi="Times New Roman" w:cs="Times New Roman"/>
          <w:b/>
          <w:bCs/>
          <w:color w:val="000000" w:themeColor="text1"/>
          <w:kern w:val="44"/>
          <w:sz w:val="30"/>
          <w:szCs w:val="44"/>
        </w:rPr>
        <w:lastRenderedPageBreak/>
        <w:t xml:space="preserve">1  </w:t>
      </w:r>
      <w:r>
        <w:rPr>
          <w:rFonts w:ascii="Times New Roman" w:hAnsi="Times New Roman" w:cs="Times New Roman"/>
          <w:b/>
          <w:bCs/>
          <w:color w:val="000000" w:themeColor="text1"/>
          <w:kern w:val="44"/>
          <w:sz w:val="30"/>
          <w:szCs w:val="44"/>
        </w:rPr>
        <w:t>总</w:t>
      </w:r>
      <w:r>
        <w:rPr>
          <w:rFonts w:ascii="Times New Roman" w:hAnsi="Times New Roman" w:cs="Times New Roman"/>
          <w:b/>
          <w:bCs/>
          <w:color w:val="000000" w:themeColor="text1"/>
          <w:kern w:val="44"/>
          <w:sz w:val="30"/>
          <w:szCs w:val="44"/>
        </w:rPr>
        <w:t xml:space="preserve"> </w:t>
      </w:r>
      <w:r>
        <w:rPr>
          <w:rFonts w:ascii="Times New Roman" w:hAnsi="Times New Roman" w:cs="Times New Roman"/>
          <w:b/>
          <w:bCs/>
          <w:color w:val="000000" w:themeColor="text1"/>
          <w:kern w:val="44"/>
          <w:sz w:val="30"/>
          <w:szCs w:val="44"/>
        </w:rPr>
        <w:t>则</w:t>
      </w:r>
      <w:bookmarkEnd w:id="43"/>
      <w:bookmarkEnd w:id="44"/>
    </w:p>
    <w:p w14:paraId="0F0F5CC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1.0.4  </w:t>
      </w:r>
      <w:r>
        <w:rPr>
          <w:rFonts w:ascii="Times New Roman" w:eastAsia="宋体" w:hAnsi="Times New Roman" w:cs="Times New Roman"/>
          <w:bCs/>
          <w:color w:val="000000" w:themeColor="text1"/>
          <w:kern w:val="0"/>
          <w:sz w:val="24"/>
          <w:szCs w:val="24"/>
        </w:rPr>
        <w:t>次氯酸钠溶液，微黄色溶液，有似氯气的气味，具有强氧化性，可致人体灼伤，具致敏性。在《危险化学品名录（</w:t>
      </w:r>
      <w:r>
        <w:rPr>
          <w:rFonts w:ascii="Times New Roman" w:eastAsia="宋体" w:hAnsi="Times New Roman" w:cs="Times New Roman"/>
          <w:bCs/>
          <w:color w:val="000000" w:themeColor="text1"/>
          <w:kern w:val="0"/>
          <w:sz w:val="24"/>
          <w:szCs w:val="24"/>
        </w:rPr>
        <w:t>2018</w:t>
      </w:r>
      <w:r>
        <w:rPr>
          <w:rFonts w:ascii="Times New Roman" w:eastAsia="宋体" w:hAnsi="Times New Roman" w:cs="Times New Roman"/>
          <w:bCs/>
          <w:color w:val="000000" w:themeColor="text1"/>
          <w:kern w:val="0"/>
          <w:sz w:val="24"/>
          <w:szCs w:val="24"/>
        </w:rPr>
        <w:t>版）》中，含有效氯＞</w:t>
      </w:r>
      <w:r>
        <w:rPr>
          <w:rFonts w:ascii="Times New Roman" w:eastAsia="宋体" w:hAnsi="Times New Roman" w:cs="Times New Roman"/>
          <w:bCs/>
          <w:color w:val="000000" w:themeColor="text1"/>
          <w:kern w:val="0"/>
          <w:sz w:val="24"/>
          <w:szCs w:val="24"/>
        </w:rPr>
        <w:t>5%</w:t>
      </w:r>
      <w:r>
        <w:rPr>
          <w:rFonts w:ascii="Times New Roman" w:eastAsia="宋体" w:hAnsi="Times New Roman" w:cs="Times New Roman"/>
          <w:bCs/>
          <w:color w:val="000000" w:themeColor="text1"/>
          <w:kern w:val="0"/>
          <w:sz w:val="24"/>
          <w:szCs w:val="24"/>
        </w:rPr>
        <w:t>的次氯酸钠溶液，</w:t>
      </w:r>
      <w:r>
        <w:rPr>
          <w:rFonts w:ascii="Times New Roman" w:eastAsia="宋体" w:hAnsi="Times New Roman" w:cs="Times New Roman"/>
          <w:bCs/>
          <w:color w:val="000000" w:themeColor="text1"/>
          <w:kern w:val="0"/>
          <w:sz w:val="24"/>
          <w:szCs w:val="24"/>
        </w:rPr>
        <w:t>CAS</w:t>
      </w:r>
      <w:r>
        <w:rPr>
          <w:rFonts w:ascii="Times New Roman" w:eastAsia="宋体" w:hAnsi="Times New Roman" w:cs="Times New Roman"/>
          <w:bCs/>
          <w:color w:val="000000" w:themeColor="text1"/>
          <w:kern w:val="0"/>
          <w:sz w:val="24"/>
          <w:szCs w:val="24"/>
        </w:rPr>
        <w:t>号：</w:t>
      </w:r>
      <w:r>
        <w:rPr>
          <w:rFonts w:ascii="Times New Roman" w:eastAsia="宋体" w:hAnsi="Times New Roman" w:cs="Times New Roman"/>
          <w:bCs/>
          <w:color w:val="000000" w:themeColor="text1"/>
          <w:kern w:val="0"/>
          <w:sz w:val="24"/>
          <w:szCs w:val="24"/>
        </w:rPr>
        <w:t>7681-52-9</w:t>
      </w:r>
      <w:r>
        <w:rPr>
          <w:rFonts w:ascii="Times New Roman" w:eastAsia="宋体" w:hAnsi="Times New Roman" w:cs="Times New Roman"/>
          <w:bCs/>
          <w:color w:val="000000" w:themeColor="text1"/>
          <w:kern w:val="0"/>
          <w:sz w:val="24"/>
          <w:szCs w:val="24"/>
        </w:rPr>
        <w:t>。危险性类别：腐蚀品。危险性符号：</w:t>
      </w:r>
      <w:r>
        <w:rPr>
          <w:rFonts w:ascii="Times New Roman" w:eastAsia="宋体" w:hAnsi="Times New Roman" w:cs="Times New Roman"/>
          <w:bCs/>
          <w:color w:val="000000" w:themeColor="text1"/>
          <w:kern w:val="0"/>
          <w:sz w:val="24"/>
          <w:szCs w:val="24"/>
        </w:rPr>
        <w:t>C</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Xi</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N</w:t>
      </w:r>
      <w:r>
        <w:rPr>
          <w:rFonts w:ascii="Times New Roman" w:eastAsia="宋体" w:hAnsi="Times New Roman" w:cs="Times New Roman"/>
          <w:bCs/>
          <w:color w:val="000000" w:themeColor="text1"/>
          <w:kern w:val="0"/>
          <w:sz w:val="24"/>
          <w:szCs w:val="24"/>
        </w:rPr>
        <w:t>。危险特性：受高热分解产生有毒的腐蚀性烟气。因此，在使用有效氯＞</w:t>
      </w:r>
      <w:r>
        <w:rPr>
          <w:rFonts w:ascii="Times New Roman" w:eastAsia="宋体" w:hAnsi="Times New Roman" w:cs="Times New Roman"/>
          <w:bCs/>
          <w:color w:val="000000" w:themeColor="text1"/>
          <w:kern w:val="0"/>
          <w:sz w:val="24"/>
          <w:szCs w:val="24"/>
        </w:rPr>
        <w:t>5%</w:t>
      </w:r>
      <w:r>
        <w:rPr>
          <w:rFonts w:ascii="Times New Roman" w:eastAsia="宋体" w:hAnsi="Times New Roman" w:cs="Times New Roman"/>
          <w:bCs/>
          <w:color w:val="000000" w:themeColor="text1"/>
          <w:kern w:val="0"/>
          <w:sz w:val="24"/>
          <w:szCs w:val="24"/>
        </w:rPr>
        <w:t>的次氯酸钠溶液时，需要按照危险化学品安全管理相关条例执行。</w:t>
      </w:r>
    </w:p>
    <w:p w14:paraId="5B6794E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和盐酸反应：</w:t>
      </w:r>
      <w:r>
        <w:rPr>
          <w:rFonts w:ascii="Times New Roman" w:eastAsia="宋体" w:hAnsi="Times New Roman" w:cs="Times New Roman"/>
          <w:bCs/>
          <w:color w:val="000000" w:themeColor="text1"/>
          <w:kern w:val="0"/>
          <w:sz w:val="24"/>
          <w:szCs w:val="24"/>
        </w:rPr>
        <w:t>NaClO+HCl=NaCl+Cl</w:t>
      </w:r>
      <w:r>
        <w:rPr>
          <w:rFonts w:ascii="Times New Roman" w:eastAsia="宋体" w:hAnsi="Times New Roman" w:cs="Times New Roman"/>
          <w:bCs/>
          <w:color w:val="000000" w:themeColor="text1"/>
          <w:kern w:val="0"/>
          <w:sz w:val="24"/>
          <w:szCs w:val="24"/>
          <w:vertAlign w:val="subscript"/>
        </w:rPr>
        <w:t>2</w:t>
      </w:r>
      <w:r>
        <w:rPr>
          <w:rFonts w:ascii="Times New Roman" w:eastAsia="宋体" w:hAnsi="Times New Roman" w:cs="Times New Roman"/>
          <w:bCs/>
          <w:color w:val="000000" w:themeColor="text1"/>
          <w:kern w:val="0"/>
          <w:sz w:val="24"/>
          <w:szCs w:val="24"/>
        </w:rPr>
        <w:t>↑+H</w:t>
      </w:r>
      <w:r>
        <w:rPr>
          <w:rFonts w:ascii="Times New Roman" w:eastAsia="宋体" w:hAnsi="Times New Roman" w:cs="Times New Roman"/>
          <w:bCs/>
          <w:color w:val="000000" w:themeColor="text1"/>
          <w:kern w:val="0"/>
          <w:sz w:val="24"/>
          <w:szCs w:val="24"/>
          <w:vertAlign w:val="subscript"/>
        </w:rPr>
        <w:t>2</w:t>
      </w:r>
      <w:r>
        <w:rPr>
          <w:rFonts w:ascii="Times New Roman" w:eastAsia="宋体" w:hAnsi="Times New Roman" w:cs="Times New Roman"/>
          <w:bCs/>
          <w:color w:val="000000" w:themeColor="text1"/>
          <w:kern w:val="0"/>
          <w:sz w:val="24"/>
          <w:szCs w:val="24"/>
        </w:rPr>
        <w:t>O</w:t>
      </w:r>
    </w:p>
    <w:p w14:paraId="2FC7AAB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分解产物：</w:t>
      </w:r>
      <w:r>
        <w:rPr>
          <w:rFonts w:ascii="Times New Roman" w:eastAsia="宋体" w:hAnsi="Times New Roman" w:cs="Times New Roman"/>
          <w:bCs/>
          <w:color w:val="000000" w:themeColor="text1"/>
          <w:kern w:val="0"/>
          <w:sz w:val="24"/>
          <w:szCs w:val="24"/>
        </w:rPr>
        <w:t>2HC</w:t>
      </w:r>
      <w:r>
        <w:rPr>
          <w:rFonts w:ascii="Times New Roman" w:eastAsia="宋体" w:hAnsi="Times New Roman" w:cs="Times New Roman"/>
          <w:bCs/>
          <w:color w:val="000000" w:themeColor="text1"/>
          <w:kern w:val="0"/>
          <w:sz w:val="24"/>
          <w:szCs w:val="24"/>
        </w:rPr>
        <w:t>lO=2HCl+O₂↑</w:t>
      </w:r>
    </w:p>
    <w:p w14:paraId="19EC4D87" w14:textId="77777777" w:rsidR="00E269CD" w:rsidRDefault="00E269CD">
      <w:pPr>
        <w:spacing w:line="360" w:lineRule="auto"/>
        <w:ind w:firstLineChars="200" w:firstLine="560"/>
        <w:rPr>
          <w:rFonts w:ascii="Times New Roman" w:eastAsia="宋体" w:hAnsi="Times New Roman" w:cs="Times New Roman"/>
          <w:bCs/>
          <w:color w:val="000000" w:themeColor="text1"/>
          <w:kern w:val="0"/>
          <w:sz w:val="28"/>
          <w:szCs w:val="24"/>
        </w:rPr>
      </w:pPr>
    </w:p>
    <w:p w14:paraId="1966E5DF" w14:textId="77777777" w:rsidR="00E269CD" w:rsidRDefault="00E269CD">
      <w:pPr>
        <w:spacing w:line="360" w:lineRule="auto"/>
        <w:ind w:firstLineChars="200" w:firstLine="560"/>
        <w:rPr>
          <w:rFonts w:ascii="Times New Roman" w:eastAsia="宋体" w:hAnsi="Times New Roman" w:cs="Times New Roman"/>
          <w:bCs/>
          <w:color w:val="000000" w:themeColor="text1"/>
          <w:kern w:val="0"/>
          <w:sz w:val="28"/>
          <w:szCs w:val="24"/>
        </w:rPr>
        <w:sectPr w:rsidR="00E269CD">
          <w:pgSz w:w="11906" w:h="16838"/>
          <w:pgMar w:top="1440" w:right="1800" w:bottom="1440" w:left="1800" w:header="851" w:footer="992" w:gutter="0"/>
          <w:cols w:space="425"/>
          <w:docGrid w:type="lines" w:linePitch="312"/>
        </w:sectPr>
      </w:pPr>
    </w:p>
    <w:p w14:paraId="1B8D6DD6" w14:textId="77777777" w:rsidR="00E269CD" w:rsidRDefault="00E13E3E">
      <w:pPr>
        <w:keepNext/>
        <w:keepLines/>
        <w:spacing w:line="360" w:lineRule="auto"/>
        <w:jc w:val="center"/>
        <w:outlineLvl w:val="0"/>
        <w:rPr>
          <w:rFonts w:ascii="Times New Roman" w:hAnsi="Times New Roman" w:cs="Times New Roman"/>
          <w:bCs/>
          <w:color w:val="000000" w:themeColor="text1"/>
        </w:rPr>
      </w:pPr>
      <w:bookmarkStart w:id="45" w:name="_Toc123229223"/>
      <w:bookmarkStart w:id="46" w:name="_Toc127171777"/>
      <w:r>
        <w:rPr>
          <w:rFonts w:ascii="Times New Roman" w:hAnsi="Times New Roman" w:cs="Times New Roman"/>
          <w:b/>
          <w:bCs/>
          <w:color w:val="000000" w:themeColor="text1"/>
          <w:kern w:val="44"/>
          <w:sz w:val="30"/>
          <w:szCs w:val="44"/>
        </w:rPr>
        <w:lastRenderedPageBreak/>
        <w:t xml:space="preserve">3  </w:t>
      </w:r>
      <w:r>
        <w:rPr>
          <w:rFonts w:ascii="Times New Roman" w:hAnsi="Times New Roman" w:cs="Times New Roman"/>
          <w:b/>
          <w:bCs/>
          <w:color w:val="000000" w:themeColor="text1"/>
          <w:kern w:val="44"/>
          <w:sz w:val="30"/>
          <w:szCs w:val="44"/>
        </w:rPr>
        <w:t>基</w:t>
      </w:r>
      <w:r>
        <w:rPr>
          <w:rFonts w:ascii="Times New Roman" w:hAnsi="Times New Roman" w:cs="Times New Roman"/>
          <w:b/>
          <w:bCs/>
          <w:color w:val="000000" w:themeColor="text1"/>
          <w:kern w:val="44"/>
          <w:sz w:val="30"/>
          <w:szCs w:val="44"/>
        </w:rPr>
        <w:t xml:space="preserve"> </w:t>
      </w:r>
      <w:r>
        <w:rPr>
          <w:rFonts w:ascii="Times New Roman" w:hAnsi="Times New Roman" w:cs="Times New Roman"/>
          <w:b/>
          <w:bCs/>
          <w:color w:val="000000" w:themeColor="text1"/>
          <w:kern w:val="44"/>
          <w:sz w:val="30"/>
          <w:szCs w:val="44"/>
        </w:rPr>
        <w:t>本</w:t>
      </w:r>
      <w:r>
        <w:rPr>
          <w:rFonts w:ascii="Times New Roman" w:hAnsi="Times New Roman" w:cs="Times New Roman"/>
          <w:b/>
          <w:bCs/>
          <w:color w:val="000000" w:themeColor="text1"/>
          <w:kern w:val="44"/>
          <w:sz w:val="30"/>
          <w:szCs w:val="44"/>
        </w:rPr>
        <w:t xml:space="preserve"> </w:t>
      </w:r>
      <w:r>
        <w:rPr>
          <w:rFonts w:ascii="Times New Roman" w:hAnsi="Times New Roman" w:cs="Times New Roman"/>
          <w:b/>
          <w:bCs/>
          <w:color w:val="000000" w:themeColor="text1"/>
          <w:kern w:val="44"/>
          <w:sz w:val="30"/>
          <w:szCs w:val="44"/>
        </w:rPr>
        <w:t>规</w:t>
      </w:r>
      <w:r>
        <w:rPr>
          <w:rFonts w:ascii="Times New Roman" w:hAnsi="Times New Roman" w:cs="Times New Roman"/>
          <w:b/>
          <w:bCs/>
          <w:color w:val="000000" w:themeColor="text1"/>
          <w:kern w:val="44"/>
          <w:sz w:val="30"/>
          <w:szCs w:val="44"/>
        </w:rPr>
        <w:t xml:space="preserve"> </w:t>
      </w:r>
      <w:r>
        <w:rPr>
          <w:rFonts w:ascii="Times New Roman" w:hAnsi="Times New Roman" w:cs="Times New Roman"/>
          <w:b/>
          <w:bCs/>
          <w:color w:val="000000" w:themeColor="text1"/>
          <w:kern w:val="44"/>
          <w:sz w:val="30"/>
          <w:szCs w:val="44"/>
        </w:rPr>
        <w:t>定</w:t>
      </w:r>
      <w:bookmarkEnd w:id="45"/>
      <w:bookmarkEnd w:id="46"/>
    </w:p>
    <w:p w14:paraId="1BBB6BB5" w14:textId="77777777" w:rsidR="00E269CD" w:rsidRDefault="00E13E3E">
      <w:pPr>
        <w:keepNext/>
        <w:keepLines/>
        <w:spacing w:line="360" w:lineRule="auto"/>
        <w:jc w:val="center"/>
        <w:outlineLvl w:val="1"/>
        <w:rPr>
          <w:rFonts w:ascii="Times New Roman" w:eastAsia="黑体" w:hAnsi="Times New Roman" w:cs="Times New Roman"/>
          <w:color w:val="000000" w:themeColor="text1"/>
        </w:rPr>
      </w:pPr>
      <w:bookmarkStart w:id="47" w:name="_Toc123229224"/>
      <w:bookmarkStart w:id="48" w:name="_Toc127171778"/>
      <w:r>
        <w:rPr>
          <w:rFonts w:ascii="Times New Roman" w:eastAsia="黑体" w:hAnsi="Times New Roman" w:cs="Times New Roman"/>
          <w:b/>
          <w:bCs/>
          <w:color w:val="000000" w:themeColor="text1"/>
          <w:sz w:val="28"/>
          <w:szCs w:val="32"/>
        </w:rPr>
        <w:t xml:space="preserve">3.1  </w:t>
      </w:r>
      <w:r>
        <w:rPr>
          <w:rFonts w:ascii="Times New Roman" w:eastAsia="黑体" w:hAnsi="Times New Roman" w:cs="Times New Roman"/>
          <w:b/>
          <w:bCs/>
          <w:color w:val="000000" w:themeColor="text1"/>
          <w:sz w:val="28"/>
          <w:szCs w:val="32"/>
        </w:rPr>
        <w:t>一般</w:t>
      </w:r>
      <w:bookmarkEnd w:id="47"/>
      <w:r>
        <w:rPr>
          <w:rFonts w:ascii="Times New Roman" w:eastAsia="黑体" w:hAnsi="Times New Roman" w:cs="Times New Roman"/>
          <w:b/>
          <w:bCs/>
          <w:color w:val="000000" w:themeColor="text1"/>
          <w:sz w:val="28"/>
          <w:szCs w:val="32"/>
        </w:rPr>
        <w:t>规定</w:t>
      </w:r>
      <w:bookmarkEnd w:id="48"/>
    </w:p>
    <w:p w14:paraId="001FC4B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3.1.1  </w:t>
      </w:r>
      <w:r>
        <w:rPr>
          <w:rFonts w:ascii="Times New Roman" w:eastAsia="宋体" w:hAnsi="Times New Roman" w:cs="Times New Roman"/>
          <w:bCs/>
          <w:color w:val="000000" w:themeColor="text1"/>
          <w:kern w:val="0"/>
          <w:sz w:val="24"/>
          <w:szCs w:val="24"/>
        </w:rPr>
        <w:t>次氯酸钠的消毒原理如下：次氯酸钠溶液投入水中，水解形成次氯酸（</w:t>
      </w:r>
      <w:r>
        <w:rPr>
          <w:rFonts w:ascii="Times New Roman" w:eastAsia="宋体" w:hAnsi="Times New Roman" w:cs="Times New Roman"/>
          <w:bCs/>
          <w:color w:val="000000" w:themeColor="text1"/>
          <w:kern w:val="0"/>
          <w:sz w:val="24"/>
          <w:szCs w:val="24"/>
        </w:rPr>
        <w:t>HClO</w:t>
      </w:r>
      <w:r>
        <w:rPr>
          <w:rFonts w:ascii="Times New Roman" w:eastAsia="宋体" w:hAnsi="Times New Roman" w:cs="Times New Roman"/>
          <w:bCs/>
          <w:color w:val="000000" w:themeColor="text1"/>
          <w:kern w:val="0"/>
          <w:sz w:val="24"/>
          <w:szCs w:val="24"/>
        </w:rPr>
        <w:t>）和次氯酸根</w:t>
      </w:r>
      <w:r>
        <w:rPr>
          <w:rFonts w:ascii="Times New Roman" w:eastAsia="宋体" w:hAnsi="Times New Roman" w:cs="Times New Roman"/>
          <w:bCs/>
          <w:color w:val="000000" w:themeColor="text1"/>
          <w:kern w:val="0"/>
          <w:sz w:val="24"/>
          <w:szCs w:val="24"/>
        </w:rPr>
        <w:t>(ClO-)</w:t>
      </w:r>
      <w:r>
        <w:rPr>
          <w:rFonts w:ascii="Times New Roman" w:eastAsia="宋体" w:hAnsi="Times New Roman" w:cs="Times New Roman"/>
          <w:bCs/>
          <w:color w:val="000000" w:themeColor="text1"/>
          <w:kern w:val="0"/>
          <w:sz w:val="24"/>
          <w:szCs w:val="24"/>
        </w:rPr>
        <w:t>，因次氯酸是很小的中性分子，不带电荷，能迅速扩散到带负电荷的菌（病毒）体表面，并通过细菌的细胞壁，穿透到细菌内，用其极强的氧化性破坏菌体和病毒上的蛋白质等酶系统，从而杀死病原微生物。因此，次氯酸钠溶液常常在自来水厂和水库增压泵站中作消毒剂使用。</w:t>
      </w:r>
    </w:p>
    <w:p w14:paraId="5DCB532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同时，次氯酸钠具有强氧化性，可氧化</w:t>
      </w:r>
      <w:r>
        <w:rPr>
          <w:rFonts w:ascii="Times New Roman" w:eastAsia="宋体" w:hAnsi="Times New Roman" w:cs="Times New Roman"/>
          <w:bCs/>
          <w:color w:val="000000" w:themeColor="text1"/>
          <w:kern w:val="0"/>
          <w:sz w:val="24"/>
          <w:szCs w:val="24"/>
        </w:rPr>
        <w:t>Fe</w:t>
      </w:r>
      <w:r>
        <w:rPr>
          <w:rFonts w:ascii="Times New Roman" w:eastAsia="宋体" w:hAnsi="Times New Roman" w:cs="Times New Roman"/>
          <w:bCs/>
          <w:color w:val="000000" w:themeColor="text1"/>
          <w:kern w:val="0"/>
          <w:sz w:val="24"/>
          <w:szCs w:val="24"/>
          <w:vertAlign w:val="superscript"/>
        </w:rPr>
        <w:t>2+</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CN-</w:t>
      </w:r>
      <w:r>
        <w:rPr>
          <w:rFonts w:ascii="Times New Roman" w:eastAsia="宋体" w:hAnsi="Times New Roman" w:cs="Times New Roman"/>
          <w:bCs/>
          <w:color w:val="000000" w:themeColor="text1"/>
          <w:kern w:val="0"/>
          <w:sz w:val="24"/>
          <w:szCs w:val="24"/>
        </w:rPr>
        <w:t>等离子，次氯酸钠溶液可投加在自来水厂沉淀池前和原水泵站中作为预氧化剂，用于助凝和杀藻、去除嗅味等。</w:t>
      </w:r>
    </w:p>
    <w:p w14:paraId="5C42373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3.1.2  </w:t>
      </w:r>
      <w:r>
        <w:rPr>
          <w:rFonts w:ascii="Times New Roman" w:eastAsia="宋体" w:hAnsi="Times New Roman" w:cs="Times New Roman"/>
          <w:bCs/>
          <w:color w:val="000000" w:themeColor="text1"/>
          <w:kern w:val="0"/>
          <w:sz w:val="24"/>
          <w:szCs w:val="24"/>
        </w:rPr>
        <w:t>商品次氯酸钠溶液或次氯酸钠发生器因其用于城镇饮用水，需要取得我国卫生部门颁发的相关涉及饮用水卫生安全产品卫生许可批件。</w:t>
      </w:r>
      <w:r>
        <w:rPr>
          <w:rFonts w:ascii="Times New Roman" w:eastAsia="宋体" w:hAnsi="Times New Roman" w:cs="Times New Roman"/>
          <w:bCs/>
          <w:color w:val="000000" w:themeColor="text1"/>
          <w:kern w:val="0"/>
          <w:sz w:val="24"/>
          <w:szCs w:val="24"/>
        </w:rPr>
        <w:t>2018</w:t>
      </w:r>
      <w:r>
        <w:rPr>
          <w:rFonts w:ascii="Times New Roman" w:eastAsia="宋体" w:hAnsi="Times New Roman" w:cs="Times New Roman"/>
          <w:bCs/>
          <w:color w:val="000000" w:themeColor="text1"/>
          <w:kern w:val="0"/>
          <w:sz w:val="24"/>
          <w:szCs w:val="24"/>
        </w:rPr>
        <w:t>年</w:t>
      </w:r>
      <w:r>
        <w:rPr>
          <w:rFonts w:ascii="Times New Roman" w:eastAsia="宋体" w:hAnsi="Times New Roman" w:cs="Times New Roman"/>
          <w:bCs/>
          <w:color w:val="000000" w:themeColor="text1"/>
          <w:kern w:val="0"/>
          <w:sz w:val="24"/>
          <w:szCs w:val="24"/>
        </w:rPr>
        <w:t>11</w:t>
      </w:r>
      <w:r>
        <w:rPr>
          <w:rFonts w:ascii="Times New Roman" w:eastAsia="宋体" w:hAnsi="Times New Roman" w:cs="Times New Roman"/>
          <w:bCs/>
          <w:color w:val="000000" w:themeColor="text1"/>
          <w:kern w:val="0"/>
          <w:sz w:val="24"/>
          <w:szCs w:val="24"/>
        </w:rPr>
        <w:t>月，国家卫生健康委办公厅发布《省级涉及饮用水卫生安全产品卫生行政许可规定的通知》，进一步明确了省级卫生健康行政部门的主体作用。</w:t>
      </w:r>
    </w:p>
    <w:p w14:paraId="734C3F3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3.1.3  </w:t>
      </w:r>
      <w:r>
        <w:rPr>
          <w:rFonts w:ascii="Times New Roman" w:eastAsia="宋体" w:hAnsi="Times New Roman" w:cs="Times New Roman"/>
          <w:bCs/>
          <w:color w:val="000000" w:themeColor="text1"/>
          <w:kern w:val="0"/>
          <w:sz w:val="24"/>
          <w:szCs w:val="24"/>
        </w:rPr>
        <w:t>食盐作为现场制备次氯酸钠溶液所用的原材料，涉及城镇饮用水卫生安全，提出该要求。</w:t>
      </w:r>
    </w:p>
    <w:p w14:paraId="4F22412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3.1.4  </w:t>
      </w:r>
      <w:r>
        <w:rPr>
          <w:rFonts w:ascii="Times New Roman" w:eastAsia="宋体" w:hAnsi="Times New Roman" w:cs="Times New Roman"/>
          <w:bCs/>
          <w:color w:val="000000" w:themeColor="text1"/>
          <w:kern w:val="0"/>
          <w:sz w:val="24"/>
          <w:szCs w:val="24"/>
        </w:rPr>
        <w:t>生活饮用水输配水设备是指与生活</w:t>
      </w:r>
      <w:r>
        <w:rPr>
          <w:rFonts w:ascii="Times New Roman" w:eastAsia="宋体" w:hAnsi="Times New Roman" w:cs="Times New Roman"/>
          <w:bCs/>
          <w:color w:val="000000" w:themeColor="text1"/>
          <w:kern w:val="0"/>
          <w:sz w:val="24"/>
          <w:szCs w:val="24"/>
        </w:rPr>
        <w:t>饮用水接触的输配水管、蓄水容器、供水设备、机械部件</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如阀门、水泵、水处理剂加入器等</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；防护材料是指与生活饮用水接触的涂料、内衬等。</w:t>
      </w:r>
    </w:p>
    <w:p w14:paraId="702B42AC"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本规定中涉水产品主要是指在次氯酸钠消毒系统中，用于储存、投加、输送等环节，并直接与次氯酸钠溶液接触的管道、容器、阀门、泵及其涂料、内衬等。</w:t>
      </w:r>
    </w:p>
    <w:p w14:paraId="46A9ACD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3.1.5  </w:t>
      </w:r>
      <w:r>
        <w:rPr>
          <w:rFonts w:ascii="Times New Roman" w:eastAsia="宋体" w:hAnsi="Times New Roman" w:cs="Times New Roman"/>
          <w:bCs/>
          <w:color w:val="000000" w:themeColor="text1"/>
          <w:kern w:val="0"/>
          <w:sz w:val="24"/>
          <w:szCs w:val="24"/>
        </w:rPr>
        <w:t>由于商品次氯酸钠原液为危化品，具有强氧化性，可致人体灼伤，具致敏性。次氯酸钠发生器则在制备过程中产生氢气，为甲类气体。因此，次氯酸钠消毒系统要配有相关的安全保障措施。</w:t>
      </w:r>
    </w:p>
    <w:p w14:paraId="7658340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3.1.6  </w:t>
      </w:r>
      <w:r>
        <w:rPr>
          <w:rFonts w:ascii="Times New Roman" w:eastAsia="宋体" w:hAnsi="Times New Roman" w:cs="Times New Roman"/>
          <w:bCs/>
          <w:color w:val="000000" w:themeColor="text1"/>
          <w:kern w:val="0"/>
          <w:sz w:val="24"/>
          <w:szCs w:val="24"/>
        </w:rPr>
        <w:t>次氯酸钠为强碱，能够腐蚀金属类、纤维类的几乎</w:t>
      </w:r>
      <w:r>
        <w:rPr>
          <w:rFonts w:ascii="Times New Roman" w:eastAsia="宋体" w:hAnsi="Times New Roman" w:cs="Times New Roman"/>
          <w:bCs/>
          <w:color w:val="000000" w:themeColor="text1"/>
          <w:kern w:val="0"/>
          <w:sz w:val="24"/>
          <w:szCs w:val="24"/>
        </w:rPr>
        <w:t>所有物品。因此，储存罐或容器的材质建议使用抗腐蚀性良好的聚乙烯（</w:t>
      </w:r>
      <w:r>
        <w:rPr>
          <w:rFonts w:ascii="Times New Roman" w:eastAsia="宋体" w:hAnsi="Times New Roman" w:cs="Times New Roman"/>
          <w:bCs/>
          <w:color w:val="000000" w:themeColor="text1"/>
          <w:kern w:val="0"/>
          <w:sz w:val="24"/>
          <w:szCs w:val="24"/>
        </w:rPr>
        <w:t>PE</w:t>
      </w:r>
      <w:r>
        <w:rPr>
          <w:rFonts w:ascii="Times New Roman" w:eastAsia="宋体" w:hAnsi="Times New Roman" w:cs="Times New Roman"/>
          <w:bCs/>
          <w:color w:val="000000" w:themeColor="text1"/>
          <w:kern w:val="0"/>
          <w:sz w:val="24"/>
          <w:szCs w:val="24"/>
        </w:rPr>
        <w:t>）、聚氯乙烯（</w:t>
      </w:r>
      <w:r>
        <w:rPr>
          <w:rFonts w:ascii="Times New Roman" w:eastAsia="宋体" w:hAnsi="Times New Roman" w:cs="Times New Roman"/>
          <w:bCs/>
          <w:color w:val="000000" w:themeColor="text1"/>
          <w:kern w:val="0"/>
          <w:sz w:val="24"/>
          <w:szCs w:val="24"/>
        </w:rPr>
        <w:t>PVC</w:t>
      </w:r>
      <w:r>
        <w:rPr>
          <w:rFonts w:ascii="Times New Roman" w:eastAsia="宋体" w:hAnsi="Times New Roman" w:cs="Times New Roman"/>
          <w:bCs/>
          <w:color w:val="000000" w:themeColor="text1"/>
          <w:kern w:val="0"/>
          <w:sz w:val="24"/>
          <w:szCs w:val="24"/>
        </w:rPr>
        <w:t>）、钛等。</w:t>
      </w:r>
    </w:p>
    <w:p w14:paraId="30D0E9C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3.1.7  </w:t>
      </w:r>
      <w:r>
        <w:rPr>
          <w:rFonts w:ascii="Times New Roman" w:eastAsia="宋体" w:hAnsi="Times New Roman" w:cs="Times New Roman"/>
          <w:bCs/>
          <w:color w:val="000000" w:themeColor="text1"/>
          <w:kern w:val="0"/>
          <w:sz w:val="24"/>
          <w:szCs w:val="24"/>
        </w:rPr>
        <w:t>商品次氯酸钠溶液作为强氧化性，在与有机物或还原剂混合时，反应激烈，释放大量热。</w:t>
      </w:r>
    </w:p>
    <w:p w14:paraId="59A54D3C" w14:textId="77777777" w:rsidR="00E269CD" w:rsidRDefault="00E13E3E">
      <w:pPr>
        <w:keepNext/>
        <w:keepLines/>
        <w:spacing w:line="360" w:lineRule="auto"/>
        <w:jc w:val="center"/>
        <w:outlineLvl w:val="1"/>
        <w:rPr>
          <w:rFonts w:ascii="Times New Roman" w:eastAsia="黑体" w:hAnsi="Times New Roman" w:cs="Times New Roman"/>
          <w:color w:val="000000" w:themeColor="text1"/>
        </w:rPr>
      </w:pPr>
      <w:bookmarkStart w:id="49" w:name="_Toc127171779"/>
      <w:bookmarkStart w:id="50" w:name="_Toc123229225"/>
      <w:r>
        <w:rPr>
          <w:rFonts w:ascii="Times New Roman" w:eastAsia="黑体" w:hAnsi="Times New Roman" w:cs="Times New Roman"/>
          <w:b/>
          <w:bCs/>
          <w:color w:val="000000" w:themeColor="text1"/>
          <w:sz w:val="28"/>
          <w:szCs w:val="32"/>
        </w:rPr>
        <w:lastRenderedPageBreak/>
        <w:t xml:space="preserve">3.2  </w:t>
      </w:r>
      <w:r>
        <w:rPr>
          <w:rFonts w:ascii="Times New Roman" w:eastAsia="黑体" w:hAnsi="Times New Roman" w:cs="Times New Roman"/>
          <w:b/>
          <w:bCs/>
          <w:color w:val="000000" w:themeColor="text1"/>
          <w:sz w:val="28"/>
          <w:szCs w:val="32"/>
        </w:rPr>
        <w:t>工艺选择</w:t>
      </w:r>
      <w:bookmarkEnd w:id="49"/>
      <w:bookmarkEnd w:id="50"/>
    </w:p>
    <w:p w14:paraId="3590DDC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3.2.1  </w:t>
      </w:r>
      <w:r>
        <w:rPr>
          <w:rFonts w:ascii="Times New Roman" w:eastAsia="宋体" w:hAnsi="Times New Roman" w:cs="Times New Roman"/>
          <w:bCs/>
          <w:color w:val="000000" w:themeColor="text1"/>
          <w:kern w:val="0"/>
          <w:sz w:val="24"/>
          <w:szCs w:val="24"/>
        </w:rPr>
        <w:t>关于加氯点位置和剂量设置的规定。</w:t>
      </w:r>
    </w:p>
    <w:p w14:paraId="1197D84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根据《室外给水设计标准》，次氯酸钠作为常用的化学消毒剂，加氯点设置首先要以满足消毒为主要目标，其次要兼顾对消毒副产物的控制。当水源水质优良且稳定时，通常仅在滤后</w:t>
      </w:r>
      <w:r>
        <w:rPr>
          <w:rFonts w:ascii="Times New Roman" w:eastAsia="宋体" w:hAnsi="Times New Roman" w:cs="Times New Roman"/>
          <w:bCs/>
          <w:color w:val="000000" w:themeColor="text1"/>
          <w:kern w:val="0"/>
          <w:sz w:val="24"/>
          <w:szCs w:val="24"/>
        </w:rPr>
        <w:t>设置消毒工艺即可，而水源水质较差且不稳定时，采用多点投加消毒剂既可保障消毒效果，又可有效控制消毒副产物的生成。多点投加时，可结合不同的原水水质和工艺流程需要，于取水泵站、原水泵站、沉淀池进水、砂滤池出水、炭滤池出水、吸水井等处设置投加点。</w:t>
      </w:r>
    </w:p>
    <w:p w14:paraId="095016B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对于水质较好水源的净水厂可按相似条件下的运行经验确定；对多水源和原水水质较差的净水厂，原水水质变化使化学消毒剂投加点目的不同而使投加量相差悬殊，因此，有必要按出厂水与投加消毒剂相关的水质控制指标，通过试验确定各投加点的最大消毒剂投加量作为设计投加量。</w:t>
      </w:r>
    </w:p>
    <w:p w14:paraId="60847A4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3.2.2  </w:t>
      </w:r>
      <w:r>
        <w:rPr>
          <w:rFonts w:ascii="Times New Roman" w:eastAsia="宋体" w:hAnsi="Times New Roman" w:cs="Times New Roman"/>
          <w:bCs/>
          <w:color w:val="000000" w:themeColor="text1"/>
          <w:kern w:val="0"/>
          <w:sz w:val="24"/>
          <w:szCs w:val="24"/>
        </w:rPr>
        <w:t>根据</w:t>
      </w:r>
      <w:r>
        <w:rPr>
          <w:rFonts w:ascii="Times New Roman" w:eastAsia="宋体" w:hAnsi="Times New Roman" w:cs="Times New Roman" w:hint="eastAsia"/>
          <w:bCs/>
          <w:color w:val="000000" w:themeColor="text1"/>
          <w:kern w:val="0"/>
          <w:sz w:val="24"/>
          <w:szCs w:val="24"/>
        </w:rPr>
        <w:t>现</w:t>
      </w:r>
      <w:r>
        <w:rPr>
          <w:rFonts w:ascii="Times New Roman" w:eastAsia="宋体" w:hAnsi="Times New Roman" w:cs="Times New Roman" w:hint="eastAsia"/>
          <w:bCs/>
          <w:color w:val="000000" w:themeColor="text1"/>
          <w:kern w:val="0"/>
          <w:sz w:val="24"/>
          <w:szCs w:val="24"/>
        </w:rPr>
        <w:t>行国家标准</w:t>
      </w:r>
      <w:r>
        <w:rPr>
          <w:rFonts w:ascii="Times New Roman" w:eastAsia="宋体" w:hAnsi="Times New Roman" w:cs="Times New Roman"/>
          <w:bCs/>
          <w:color w:val="000000" w:themeColor="text1"/>
          <w:kern w:val="0"/>
          <w:sz w:val="24"/>
          <w:szCs w:val="24"/>
        </w:rPr>
        <w:t>《次氯酸钠溶液》</w:t>
      </w:r>
      <w:r>
        <w:rPr>
          <w:rFonts w:ascii="Times New Roman" w:eastAsia="宋体" w:hAnsi="Times New Roman" w:cs="Times New Roman"/>
          <w:bCs/>
          <w:color w:val="000000" w:themeColor="text1"/>
          <w:kern w:val="0"/>
          <w:sz w:val="24"/>
          <w:szCs w:val="24"/>
        </w:rPr>
        <w:t>GB19106</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A</w:t>
      </w:r>
      <w:r>
        <w:rPr>
          <w:rFonts w:ascii="Times New Roman" w:eastAsia="宋体" w:hAnsi="Times New Roman" w:cs="Times New Roman"/>
          <w:bCs/>
          <w:color w:val="000000" w:themeColor="text1"/>
          <w:kern w:val="0"/>
          <w:sz w:val="24"/>
          <w:szCs w:val="24"/>
        </w:rPr>
        <w:t>型次氯酸钠溶液适用于消毒、杀菌和水处理；</w:t>
      </w:r>
      <w:r>
        <w:rPr>
          <w:rFonts w:ascii="Times New Roman" w:eastAsia="宋体" w:hAnsi="Times New Roman" w:cs="Times New Roman"/>
          <w:bCs/>
          <w:color w:val="000000" w:themeColor="text1"/>
          <w:kern w:val="0"/>
          <w:sz w:val="24"/>
          <w:szCs w:val="24"/>
        </w:rPr>
        <w:t>B</w:t>
      </w:r>
      <w:r>
        <w:rPr>
          <w:rFonts w:ascii="Times New Roman" w:eastAsia="宋体" w:hAnsi="Times New Roman" w:cs="Times New Roman"/>
          <w:bCs/>
          <w:color w:val="000000" w:themeColor="text1"/>
          <w:kern w:val="0"/>
          <w:sz w:val="24"/>
          <w:szCs w:val="24"/>
        </w:rPr>
        <w:t>型次氯酸钠溶液仅适用于一般工业用。作为城镇供水用的商品次氯酸钠，故选择</w:t>
      </w:r>
      <w:r>
        <w:rPr>
          <w:rFonts w:ascii="Times New Roman" w:eastAsia="宋体" w:hAnsi="Times New Roman" w:cs="Times New Roman"/>
          <w:bCs/>
          <w:color w:val="000000" w:themeColor="text1"/>
          <w:kern w:val="0"/>
          <w:sz w:val="24"/>
          <w:szCs w:val="24"/>
        </w:rPr>
        <w:t>A</w:t>
      </w:r>
      <w:r>
        <w:rPr>
          <w:rFonts w:ascii="Times New Roman" w:eastAsia="宋体" w:hAnsi="Times New Roman" w:cs="Times New Roman"/>
          <w:bCs/>
          <w:color w:val="000000" w:themeColor="text1"/>
          <w:kern w:val="0"/>
          <w:sz w:val="24"/>
          <w:szCs w:val="24"/>
        </w:rPr>
        <w:t>型。</w:t>
      </w:r>
      <w:r>
        <w:rPr>
          <w:rFonts w:ascii="Times New Roman" w:eastAsia="宋体" w:hAnsi="Times New Roman" w:cs="Times New Roman"/>
          <w:bCs/>
          <w:color w:val="000000" w:themeColor="text1"/>
          <w:kern w:val="0"/>
          <w:sz w:val="24"/>
          <w:szCs w:val="24"/>
        </w:rPr>
        <w:t>A</w:t>
      </w:r>
      <w:r>
        <w:rPr>
          <w:rFonts w:ascii="Times New Roman" w:eastAsia="宋体" w:hAnsi="Times New Roman" w:cs="Times New Roman"/>
          <w:bCs/>
          <w:color w:val="000000" w:themeColor="text1"/>
          <w:kern w:val="0"/>
          <w:sz w:val="24"/>
          <w:szCs w:val="24"/>
        </w:rPr>
        <w:t>型商品次氯酸钠的有效氯含量不小于</w:t>
      </w:r>
      <w:r>
        <w:rPr>
          <w:rFonts w:ascii="Times New Roman" w:eastAsia="宋体" w:hAnsi="Times New Roman" w:cs="Times New Roman"/>
          <w:bCs/>
          <w:color w:val="000000" w:themeColor="text1"/>
          <w:kern w:val="0"/>
          <w:sz w:val="24"/>
          <w:szCs w:val="24"/>
        </w:rPr>
        <w:t>10</w:t>
      </w:r>
      <w:r>
        <w:rPr>
          <w:rFonts w:ascii="Times New Roman" w:eastAsia="宋体" w:hAnsi="Times New Roman" w:cs="Times New Roman"/>
          <w:bCs/>
          <w:color w:val="000000" w:themeColor="text1"/>
          <w:kern w:val="0"/>
          <w:sz w:val="24"/>
          <w:szCs w:val="24"/>
        </w:rPr>
        <w:t>％。</w:t>
      </w:r>
    </w:p>
    <w:p w14:paraId="5553725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商品次氯酸钠溶液使用方便，可原液直接投加。但商品次氯酸钠原液（有效氯大于</w:t>
      </w:r>
      <w:r>
        <w:rPr>
          <w:rFonts w:ascii="Times New Roman" w:eastAsia="宋体" w:hAnsi="Times New Roman" w:cs="Times New Roman"/>
          <w:bCs/>
          <w:color w:val="000000" w:themeColor="text1"/>
          <w:kern w:val="0"/>
          <w:sz w:val="24"/>
          <w:szCs w:val="24"/>
        </w:rPr>
        <w:t>5%</w:t>
      </w:r>
      <w:r>
        <w:rPr>
          <w:rFonts w:ascii="Times New Roman" w:eastAsia="宋体" w:hAnsi="Times New Roman" w:cs="Times New Roman"/>
          <w:bCs/>
          <w:color w:val="000000" w:themeColor="text1"/>
          <w:kern w:val="0"/>
          <w:sz w:val="24"/>
          <w:szCs w:val="24"/>
        </w:rPr>
        <w:t>）属于危险化学品，使用需要符合《危险化学品安全管理条例》以及当地的危险化学品安全管理要求，其运输受到一定条件的限制。另外，商品次氯酸钠原液具有不稳定性，受光照和温度影响，有效氯易衰减。</w:t>
      </w:r>
    </w:p>
    <w:p w14:paraId="7D568C8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次氯酸钠发生器电解食盐水现场制取，产出次氯酸</w:t>
      </w:r>
      <w:r>
        <w:rPr>
          <w:rFonts w:ascii="Times New Roman" w:eastAsia="宋体" w:hAnsi="Times New Roman" w:cs="Times New Roman"/>
          <w:bCs/>
          <w:color w:val="000000" w:themeColor="text1"/>
          <w:kern w:val="0"/>
          <w:sz w:val="24"/>
          <w:szCs w:val="24"/>
        </w:rPr>
        <w:t>钠浓度低，且边制备，边使用，基本不存在氯的衰减。但系统配置较为复杂，耗电量高。</w:t>
      </w:r>
    </w:p>
    <w:p w14:paraId="7C5A333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3.2.3  </w:t>
      </w:r>
      <w:r>
        <w:rPr>
          <w:rFonts w:ascii="Times New Roman" w:eastAsia="宋体" w:hAnsi="Times New Roman" w:cs="Times New Roman"/>
          <w:bCs/>
          <w:color w:val="000000" w:themeColor="text1"/>
          <w:kern w:val="0"/>
          <w:sz w:val="24"/>
          <w:szCs w:val="24"/>
        </w:rPr>
        <w:t>目前，国内次氯酸钠溶液投加方式主要为计量泵投加。但在杨树浦、长桥等大型水厂中，因投加点多，而采用调流阀投加形式。该形式出流平稳，大大改善了计量泵原有脉冲投加引起的加注量波动、管道震动等现象。但该系统对压力泵稳定性要求较高，多常用进口离心泵或磁力泵，设备价格高。</w:t>
      </w:r>
    </w:p>
    <w:p w14:paraId="2B6ACD5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3.2.4  </w:t>
      </w:r>
      <w:r>
        <w:rPr>
          <w:rFonts w:ascii="Times New Roman" w:eastAsia="宋体" w:hAnsi="Times New Roman" w:cs="Times New Roman"/>
          <w:bCs/>
          <w:color w:val="000000" w:themeColor="text1"/>
          <w:kern w:val="0"/>
          <w:sz w:val="24"/>
          <w:szCs w:val="24"/>
        </w:rPr>
        <w:t>为确保出厂水余氯的稳定性，提高投加精准度，次氯酸钠消毒系统一般采用全自动控制模式。</w:t>
      </w:r>
    </w:p>
    <w:p w14:paraId="3B5399A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3.2.5  </w:t>
      </w:r>
      <w:r>
        <w:rPr>
          <w:rFonts w:ascii="Times New Roman" w:eastAsia="宋体" w:hAnsi="Times New Roman" w:cs="Times New Roman"/>
          <w:bCs/>
          <w:color w:val="000000" w:themeColor="text1"/>
          <w:kern w:val="0"/>
          <w:sz w:val="24"/>
          <w:szCs w:val="24"/>
        </w:rPr>
        <w:t>加氯作为水厂重要的环节，关系供水安全和人民的</w:t>
      </w:r>
      <w:r>
        <w:rPr>
          <w:rFonts w:ascii="Times New Roman" w:eastAsia="宋体" w:hAnsi="Times New Roman" w:cs="Times New Roman"/>
          <w:bCs/>
          <w:color w:val="000000" w:themeColor="text1"/>
          <w:kern w:val="0"/>
          <w:sz w:val="24"/>
          <w:szCs w:val="24"/>
        </w:rPr>
        <w:t>身体健康，其安全性和准确性要分重要。加注设备的配置参考现行国家标准《室外给水设计标准》，计</w:t>
      </w:r>
      <w:r>
        <w:rPr>
          <w:rFonts w:ascii="Times New Roman" w:eastAsia="宋体" w:hAnsi="Times New Roman" w:cs="Times New Roman"/>
          <w:bCs/>
          <w:color w:val="000000" w:themeColor="text1"/>
          <w:kern w:val="0"/>
          <w:sz w:val="24"/>
          <w:szCs w:val="24"/>
        </w:rPr>
        <w:lastRenderedPageBreak/>
        <w:t>量泵或调流阀基本按一对一加注配置，且每一种规格的加注设备至少要配置</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套备用设备；当</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台加注设备同时服务</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个以上加注点时，加注点的设计加注量要一致，加注管道建议同程布置，同时服务的加注点不超过</w:t>
      </w:r>
      <w:r>
        <w:rPr>
          <w:rFonts w:ascii="Times New Roman" w:eastAsia="宋体" w:hAnsi="Times New Roman" w:cs="Times New Roman"/>
          <w:bCs/>
          <w:color w:val="000000" w:themeColor="text1"/>
          <w:kern w:val="0"/>
          <w:sz w:val="24"/>
          <w:szCs w:val="24"/>
        </w:rPr>
        <w:t>2</w:t>
      </w:r>
      <w:r>
        <w:rPr>
          <w:rFonts w:ascii="Times New Roman" w:eastAsia="宋体" w:hAnsi="Times New Roman" w:cs="Times New Roman"/>
          <w:bCs/>
          <w:color w:val="000000" w:themeColor="text1"/>
          <w:kern w:val="0"/>
          <w:sz w:val="24"/>
          <w:szCs w:val="24"/>
        </w:rPr>
        <w:t>个。</w:t>
      </w:r>
    </w:p>
    <w:p w14:paraId="1139A356" w14:textId="77777777" w:rsidR="00E269CD" w:rsidRDefault="00E13E3E">
      <w:pPr>
        <w:spacing w:line="360" w:lineRule="auto"/>
        <w:rPr>
          <w:rFonts w:ascii="Times New Roman" w:eastAsia="宋体" w:hAnsi="Times New Roman" w:cs="Times New Roman"/>
          <w:bCs/>
          <w:color w:val="000000" w:themeColor="text1"/>
          <w:kern w:val="0"/>
          <w:sz w:val="24"/>
          <w:szCs w:val="24"/>
        </w:rPr>
        <w:sectPr w:rsidR="00E269CD">
          <w:footerReference w:type="default" r:id="rId11"/>
          <w:pgSz w:w="11906" w:h="16838"/>
          <w:pgMar w:top="1440" w:right="1800" w:bottom="1440" w:left="1800" w:header="851" w:footer="992" w:gutter="0"/>
          <w:cols w:space="425"/>
          <w:docGrid w:type="lines" w:linePitch="312"/>
        </w:sectPr>
      </w:pPr>
      <w:r>
        <w:rPr>
          <w:rFonts w:ascii="Times New Roman" w:eastAsia="宋体" w:hAnsi="Times New Roman" w:cs="Times New Roman"/>
          <w:bCs/>
          <w:color w:val="000000" w:themeColor="text1"/>
          <w:kern w:val="0"/>
          <w:sz w:val="24"/>
          <w:szCs w:val="24"/>
        </w:rPr>
        <w:t>在有条件的情况下，对于较为重要的加氯点，投加设备建议采用</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用</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备或</w:t>
      </w:r>
      <w:r>
        <w:rPr>
          <w:rFonts w:ascii="Times New Roman" w:eastAsia="宋体" w:hAnsi="Times New Roman" w:cs="Times New Roman"/>
          <w:bCs/>
          <w:color w:val="000000" w:themeColor="text1"/>
          <w:kern w:val="0"/>
          <w:sz w:val="24"/>
          <w:szCs w:val="24"/>
        </w:rPr>
        <w:t>2</w:t>
      </w:r>
      <w:r>
        <w:rPr>
          <w:rFonts w:ascii="Times New Roman" w:eastAsia="宋体" w:hAnsi="Times New Roman" w:cs="Times New Roman"/>
          <w:bCs/>
          <w:color w:val="000000" w:themeColor="text1"/>
          <w:kern w:val="0"/>
          <w:sz w:val="24"/>
          <w:szCs w:val="24"/>
        </w:rPr>
        <w:t>用</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备。</w:t>
      </w:r>
    </w:p>
    <w:p w14:paraId="6B3BD8A8" w14:textId="77777777" w:rsidR="00E269CD" w:rsidRDefault="00E13E3E">
      <w:pPr>
        <w:keepNext/>
        <w:keepLines/>
        <w:spacing w:line="360" w:lineRule="auto"/>
        <w:jc w:val="center"/>
        <w:outlineLvl w:val="0"/>
        <w:rPr>
          <w:rFonts w:ascii="Times New Roman" w:hAnsi="Times New Roman" w:cs="Times New Roman"/>
          <w:color w:val="000000" w:themeColor="text1"/>
        </w:rPr>
      </w:pPr>
      <w:bookmarkStart w:id="51" w:name="_Toc123229226"/>
      <w:bookmarkStart w:id="52" w:name="_Toc127171780"/>
      <w:r>
        <w:rPr>
          <w:rFonts w:ascii="Times New Roman" w:hAnsi="Times New Roman" w:cs="Times New Roman"/>
          <w:b/>
          <w:bCs/>
          <w:color w:val="000000" w:themeColor="text1"/>
          <w:kern w:val="44"/>
          <w:sz w:val="30"/>
          <w:szCs w:val="44"/>
        </w:rPr>
        <w:lastRenderedPageBreak/>
        <w:t xml:space="preserve">4  </w:t>
      </w:r>
      <w:r>
        <w:rPr>
          <w:rFonts w:ascii="Times New Roman" w:hAnsi="Times New Roman" w:cs="Times New Roman"/>
          <w:b/>
          <w:bCs/>
          <w:color w:val="000000" w:themeColor="text1"/>
          <w:kern w:val="44"/>
          <w:sz w:val="30"/>
          <w:szCs w:val="44"/>
        </w:rPr>
        <w:t>商品次氯酸钠消毒系统</w:t>
      </w:r>
      <w:bookmarkEnd w:id="51"/>
      <w:bookmarkEnd w:id="52"/>
    </w:p>
    <w:p w14:paraId="71F38AA2" w14:textId="77777777" w:rsidR="00E269CD" w:rsidRDefault="00E13E3E">
      <w:pPr>
        <w:keepNext/>
        <w:keepLines/>
        <w:spacing w:line="360" w:lineRule="auto"/>
        <w:jc w:val="center"/>
        <w:outlineLvl w:val="1"/>
        <w:rPr>
          <w:rFonts w:ascii="Times New Roman" w:eastAsia="黑体" w:hAnsi="Times New Roman" w:cs="Times New Roman"/>
          <w:color w:val="000000" w:themeColor="text1"/>
        </w:rPr>
      </w:pPr>
      <w:bookmarkStart w:id="53" w:name="_Toc127171781"/>
      <w:bookmarkStart w:id="54" w:name="_Toc123229228"/>
      <w:r>
        <w:rPr>
          <w:rFonts w:ascii="Times New Roman" w:eastAsia="黑体" w:hAnsi="Times New Roman" w:cs="Times New Roman"/>
          <w:b/>
          <w:bCs/>
          <w:color w:val="000000" w:themeColor="text1"/>
          <w:sz w:val="28"/>
          <w:szCs w:val="32"/>
        </w:rPr>
        <w:t xml:space="preserve">4.2  </w:t>
      </w:r>
      <w:r>
        <w:rPr>
          <w:rFonts w:ascii="Times New Roman" w:eastAsia="黑体" w:hAnsi="Times New Roman" w:cs="Times New Roman"/>
          <w:b/>
          <w:bCs/>
          <w:color w:val="000000" w:themeColor="text1"/>
          <w:sz w:val="28"/>
          <w:szCs w:val="32"/>
        </w:rPr>
        <w:t>进料</w:t>
      </w:r>
      <w:bookmarkEnd w:id="53"/>
      <w:bookmarkEnd w:id="54"/>
    </w:p>
    <w:p w14:paraId="271A4E6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4.2.1  </w:t>
      </w:r>
      <w:r>
        <w:rPr>
          <w:rFonts w:ascii="Times New Roman" w:eastAsia="宋体" w:hAnsi="Times New Roman" w:cs="Times New Roman"/>
          <w:bCs/>
          <w:color w:val="000000" w:themeColor="text1"/>
          <w:kern w:val="0"/>
          <w:sz w:val="24"/>
          <w:szCs w:val="24"/>
        </w:rPr>
        <w:t>目前，多数地区运送商品次氯酸钠的槽罐车自身基本不配备增压设备。根据</w:t>
      </w:r>
      <w:r>
        <w:rPr>
          <w:rFonts w:ascii="Times New Roman" w:eastAsia="宋体" w:hAnsi="Times New Roman" w:cs="Times New Roman"/>
          <w:bCs/>
          <w:color w:val="000000" w:themeColor="text1"/>
          <w:kern w:val="0"/>
          <w:sz w:val="24"/>
          <w:szCs w:val="24"/>
        </w:rPr>
        <w:t>4.3.3</w:t>
      </w:r>
      <w:r>
        <w:rPr>
          <w:rFonts w:ascii="Times New Roman" w:eastAsia="宋体" w:hAnsi="Times New Roman" w:cs="Times New Roman"/>
          <w:bCs/>
          <w:color w:val="000000" w:themeColor="text1"/>
          <w:kern w:val="0"/>
          <w:sz w:val="24"/>
          <w:szCs w:val="24"/>
        </w:rPr>
        <w:t>条，</w:t>
      </w:r>
      <w:r>
        <w:rPr>
          <w:rFonts w:ascii="Times New Roman" w:eastAsia="宋体" w:hAnsi="Times New Roman" w:cs="Times New Roman"/>
          <w:bCs/>
          <w:color w:val="000000" w:themeColor="text1"/>
          <w:kern w:val="0"/>
          <w:sz w:val="24"/>
          <w:szCs w:val="24"/>
        </w:rPr>
        <w:t>10%</w:t>
      </w:r>
      <w:r>
        <w:rPr>
          <w:rFonts w:ascii="Times New Roman" w:eastAsia="宋体" w:hAnsi="Times New Roman" w:cs="Times New Roman"/>
          <w:bCs/>
          <w:color w:val="000000" w:themeColor="text1"/>
          <w:kern w:val="0"/>
          <w:sz w:val="24"/>
          <w:szCs w:val="24"/>
        </w:rPr>
        <w:t>商品次氯酸钠原液不建议储存于地下室。当储液罐储存于地面时，为减少提升环节，可采用进料泵直接从槽车抽吸后提升至储存设施中。</w:t>
      </w:r>
    </w:p>
    <w:p w14:paraId="373DBDE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4.2.2  </w:t>
      </w:r>
      <w:r>
        <w:rPr>
          <w:rFonts w:ascii="Times New Roman" w:eastAsia="宋体" w:hAnsi="Times New Roman" w:cs="Times New Roman"/>
          <w:bCs/>
          <w:color w:val="000000" w:themeColor="text1"/>
          <w:kern w:val="0"/>
          <w:sz w:val="24"/>
          <w:szCs w:val="24"/>
        </w:rPr>
        <w:t>为防止药剂进料时因误操作引发生产事故，本条例不仅要求进料口独立，并参考现行国家标准《常用化学危险品储存通则》中，对化学危险品贮存安排中</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与禁忌品距离</w:t>
      </w:r>
      <w:r>
        <w:rPr>
          <w:rFonts w:ascii="Times New Roman" w:eastAsia="宋体" w:hAnsi="Times New Roman" w:cs="Times New Roman"/>
          <w:bCs/>
          <w:color w:val="000000" w:themeColor="text1"/>
          <w:kern w:val="0"/>
          <w:sz w:val="24"/>
          <w:szCs w:val="24"/>
        </w:rPr>
        <w:t>10m”</w:t>
      </w:r>
      <w:r>
        <w:rPr>
          <w:rFonts w:ascii="Times New Roman" w:eastAsia="宋体" w:hAnsi="Times New Roman" w:cs="Times New Roman"/>
          <w:bCs/>
          <w:color w:val="000000" w:themeColor="text1"/>
          <w:kern w:val="0"/>
          <w:sz w:val="24"/>
          <w:szCs w:val="24"/>
        </w:rPr>
        <w:t>的规定，提出与其他药剂进料进料口距离。</w:t>
      </w:r>
    </w:p>
    <w:p w14:paraId="56A9FDA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4.2.3  </w:t>
      </w:r>
      <w:r>
        <w:rPr>
          <w:rFonts w:ascii="Times New Roman" w:eastAsia="宋体" w:hAnsi="Times New Roman" w:cs="Times New Roman"/>
          <w:bCs/>
          <w:color w:val="000000" w:themeColor="text1"/>
          <w:kern w:val="0"/>
          <w:sz w:val="24"/>
          <w:szCs w:val="24"/>
        </w:rPr>
        <w:t>根据《市危险化学品安全管理办法》</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中华人民共和国国务院令第</w:t>
      </w:r>
      <w:r>
        <w:rPr>
          <w:rFonts w:ascii="Times New Roman" w:eastAsia="宋体" w:hAnsi="Times New Roman" w:cs="Times New Roman"/>
          <w:bCs/>
          <w:color w:val="000000" w:themeColor="text1"/>
          <w:kern w:val="0"/>
          <w:sz w:val="24"/>
          <w:szCs w:val="24"/>
        </w:rPr>
        <w:t>344</w:t>
      </w:r>
      <w:r>
        <w:rPr>
          <w:rFonts w:ascii="Times New Roman" w:eastAsia="宋体" w:hAnsi="Times New Roman" w:cs="Times New Roman"/>
          <w:bCs/>
          <w:color w:val="000000" w:themeColor="text1"/>
          <w:kern w:val="0"/>
          <w:sz w:val="24"/>
          <w:szCs w:val="24"/>
        </w:rPr>
        <w:t>号</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第二十四条　危险化学品应当储存在专用仓库、专用场地或者专用储存室</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以下统称专用仓库</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内，并由专人负责管理</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的要求，提出本规定。</w:t>
      </w:r>
    </w:p>
    <w:p w14:paraId="52751A9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4.2.4  </w:t>
      </w:r>
      <w:r>
        <w:rPr>
          <w:rFonts w:ascii="Times New Roman" w:eastAsia="宋体" w:hAnsi="Times New Roman" w:cs="Times New Roman"/>
          <w:bCs/>
          <w:color w:val="000000" w:themeColor="text1"/>
          <w:kern w:val="0"/>
          <w:sz w:val="24"/>
          <w:szCs w:val="24"/>
        </w:rPr>
        <w:t>根据《危险化学品安全管理条例》第二要条，提出进料过程中防泄漏措施。</w:t>
      </w:r>
    </w:p>
    <w:p w14:paraId="718985F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4.2.5  </w:t>
      </w:r>
      <w:r>
        <w:rPr>
          <w:rFonts w:ascii="Times New Roman" w:eastAsia="宋体" w:hAnsi="Times New Roman" w:cs="Times New Roman"/>
          <w:bCs/>
          <w:color w:val="000000" w:themeColor="text1"/>
          <w:kern w:val="0"/>
          <w:sz w:val="24"/>
          <w:szCs w:val="24"/>
        </w:rPr>
        <w:t>根据《危险化学品安全管理条例》</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第二要条生产、储存危险化学品的单位，应当在其作业场所和安全设施、设备上设置明显的安全警示标志</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，设置本规定。</w:t>
      </w:r>
    </w:p>
    <w:p w14:paraId="43E54BA4" w14:textId="77777777" w:rsidR="00E269CD" w:rsidRDefault="00E13E3E">
      <w:pPr>
        <w:keepNext/>
        <w:keepLines/>
        <w:spacing w:line="360" w:lineRule="auto"/>
        <w:jc w:val="center"/>
        <w:outlineLvl w:val="1"/>
        <w:rPr>
          <w:rFonts w:ascii="Times New Roman" w:eastAsia="黑体" w:hAnsi="Times New Roman" w:cs="Times New Roman"/>
          <w:color w:val="000000" w:themeColor="text1"/>
        </w:rPr>
      </w:pPr>
      <w:bookmarkStart w:id="55" w:name="_Toc123229229"/>
      <w:bookmarkStart w:id="56" w:name="_Toc127171782"/>
      <w:r>
        <w:rPr>
          <w:rFonts w:ascii="Times New Roman" w:eastAsia="黑体" w:hAnsi="Times New Roman" w:cs="Times New Roman"/>
          <w:b/>
          <w:bCs/>
          <w:color w:val="000000" w:themeColor="text1"/>
          <w:sz w:val="28"/>
          <w:szCs w:val="32"/>
        </w:rPr>
        <w:t xml:space="preserve">4.3  </w:t>
      </w:r>
      <w:r>
        <w:rPr>
          <w:rFonts w:ascii="Times New Roman" w:eastAsia="黑体" w:hAnsi="Times New Roman" w:cs="Times New Roman"/>
          <w:b/>
          <w:bCs/>
          <w:color w:val="000000" w:themeColor="text1"/>
          <w:sz w:val="28"/>
          <w:szCs w:val="32"/>
        </w:rPr>
        <w:t>待检、储存</w:t>
      </w:r>
      <w:bookmarkEnd w:id="55"/>
      <w:bookmarkEnd w:id="56"/>
    </w:p>
    <w:p w14:paraId="4E93B69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4.3.1</w:t>
      </w:r>
      <w:r>
        <w:rPr>
          <w:rFonts w:ascii="Times New Roman" w:eastAsia="宋体" w:hAnsi="Times New Roman" w:cs="Times New Roman"/>
          <w:bCs/>
          <w:color w:val="000000" w:themeColor="text1"/>
          <w:kern w:val="0"/>
          <w:sz w:val="24"/>
          <w:szCs w:val="24"/>
        </w:rPr>
        <w:t>为加强对商品次氯酸钠溶液进料质量控制，便于取样、结算，故提出本要求。</w:t>
      </w:r>
    </w:p>
    <w:p w14:paraId="13D144F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4.3.2  </w:t>
      </w:r>
      <w:r>
        <w:rPr>
          <w:rFonts w:ascii="Times New Roman" w:eastAsia="宋体" w:hAnsi="Times New Roman" w:cs="Times New Roman"/>
          <w:bCs/>
          <w:color w:val="000000" w:themeColor="text1"/>
          <w:kern w:val="0"/>
          <w:sz w:val="24"/>
          <w:szCs w:val="24"/>
        </w:rPr>
        <w:t>参考《上海危险化学品安全管</w:t>
      </w:r>
      <w:r>
        <w:rPr>
          <w:rFonts w:ascii="Times New Roman" w:eastAsia="宋体" w:hAnsi="Times New Roman" w:cs="Times New Roman"/>
          <w:bCs/>
          <w:color w:val="000000" w:themeColor="text1"/>
          <w:kern w:val="0"/>
          <w:sz w:val="24"/>
          <w:szCs w:val="24"/>
        </w:rPr>
        <w:t>理办法》</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第八条（储存管理）危险化学品应当储存在专用仓库、专用场地或者专用储存室（以下统称专用仓库）内，并按照相关技术标准规定的储存方法、储存数量和安全距离，实行分类、分隔储存。禁止将危险化学品与禁忌物品混合储存</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，为进一步加强管理和提高安全性，提出单独密闭储存的要求。</w:t>
      </w:r>
    </w:p>
    <w:p w14:paraId="5E4F2D0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根据《常用化学危险品储存通则》</w:t>
      </w:r>
      <w:r>
        <w:rPr>
          <w:rFonts w:ascii="Times New Roman" w:eastAsia="宋体" w:hAnsi="Times New Roman" w:cs="Times New Roman"/>
          <w:bCs/>
          <w:color w:val="000000" w:themeColor="text1"/>
          <w:kern w:val="0"/>
          <w:sz w:val="24"/>
          <w:szCs w:val="24"/>
        </w:rPr>
        <w:t xml:space="preserve">GB 15603“6.4 </w:t>
      </w:r>
      <w:r>
        <w:rPr>
          <w:rFonts w:ascii="Times New Roman" w:eastAsia="宋体" w:hAnsi="Times New Roman" w:cs="Times New Roman"/>
          <w:bCs/>
          <w:color w:val="000000" w:themeColor="text1"/>
          <w:kern w:val="0"/>
          <w:sz w:val="24"/>
          <w:szCs w:val="24"/>
        </w:rPr>
        <w:t>受日光照射能发生化学反应引起燃烧、爆炸、分解、化合或能产生有毒气体的化学危险品应贮存在一级建筑物中。其包装应采取避光措施。</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，以及《危险化学品仓库建设及储存安全规范》</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危险化学品不得露</w:t>
      </w:r>
      <w:r>
        <w:rPr>
          <w:rFonts w:ascii="Times New Roman" w:eastAsia="宋体" w:hAnsi="Times New Roman" w:cs="Times New Roman"/>
          <w:bCs/>
          <w:color w:val="000000" w:themeColor="text1"/>
          <w:kern w:val="0"/>
          <w:sz w:val="24"/>
          <w:szCs w:val="24"/>
        </w:rPr>
        <w:t>天存放</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的要求，提出储存在密闭的池体或罐体内。</w:t>
      </w:r>
    </w:p>
    <w:p w14:paraId="1E7ECD4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4.3.3  </w:t>
      </w:r>
      <w:r>
        <w:rPr>
          <w:rFonts w:ascii="Times New Roman" w:eastAsia="宋体" w:hAnsi="Times New Roman" w:cs="Times New Roman"/>
          <w:bCs/>
          <w:color w:val="000000" w:themeColor="text1"/>
          <w:kern w:val="0"/>
          <w:sz w:val="24"/>
          <w:szCs w:val="24"/>
        </w:rPr>
        <w:t>根据《常用化学危险品储存通则》</w:t>
      </w:r>
      <w:r>
        <w:rPr>
          <w:rFonts w:ascii="Times New Roman" w:eastAsia="宋体" w:hAnsi="Times New Roman" w:cs="Times New Roman"/>
          <w:bCs/>
          <w:color w:val="000000" w:themeColor="text1"/>
          <w:kern w:val="0"/>
          <w:sz w:val="24"/>
          <w:szCs w:val="24"/>
        </w:rPr>
        <w:t>GB 15603</w:t>
      </w:r>
      <w:r>
        <w:rPr>
          <w:rFonts w:ascii="Times New Roman" w:eastAsia="宋体" w:hAnsi="Times New Roman" w:cs="Times New Roman"/>
          <w:bCs/>
          <w:color w:val="000000" w:themeColor="text1"/>
          <w:kern w:val="0"/>
          <w:sz w:val="24"/>
          <w:szCs w:val="24"/>
        </w:rPr>
        <w:t>中，</w:t>
      </w:r>
      <w:r>
        <w:rPr>
          <w:rFonts w:ascii="Times New Roman" w:eastAsia="宋体" w:hAnsi="Times New Roman" w:cs="Times New Roman"/>
          <w:bCs/>
          <w:color w:val="000000" w:themeColor="text1"/>
          <w:kern w:val="0"/>
          <w:sz w:val="24"/>
          <w:szCs w:val="24"/>
        </w:rPr>
        <w:t xml:space="preserve">“6.4 </w:t>
      </w:r>
      <w:r>
        <w:rPr>
          <w:rFonts w:ascii="Times New Roman" w:eastAsia="宋体" w:hAnsi="Times New Roman" w:cs="Times New Roman"/>
          <w:bCs/>
          <w:color w:val="000000" w:themeColor="text1"/>
          <w:kern w:val="0"/>
          <w:sz w:val="24"/>
          <w:szCs w:val="24"/>
        </w:rPr>
        <w:t>受日光照射能发生</w:t>
      </w:r>
      <w:r>
        <w:rPr>
          <w:rFonts w:ascii="Times New Roman" w:eastAsia="宋体" w:hAnsi="Times New Roman" w:cs="Times New Roman"/>
          <w:bCs/>
          <w:color w:val="000000" w:themeColor="text1"/>
          <w:kern w:val="0"/>
          <w:sz w:val="24"/>
          <w:szCs w:val="24"/>
        </w:rPr>
        <w:lastRenderedPageBreak/>
        <w:t>化学反应引起燃烧、爆炸、分解、化合或能产生有毒气体的化学危险品应贮存在一级建筑物中</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，以及根据《常用化学危险品储存通则》</w:t>
      </w:r>
      <w:r>
        <w:rPr>
          <w:rFonts w:ascii="Times New Roman" w:eastAsia="宋体" w:hAnsi="Times New Roman" w:cs="Times New Roman"/>
          <w:bCs/>
          <w:color w:val="000000" w:themeColor="text1"/>
          <w:kern w:val="0"/>
          <w:sz w:val="24"/>
          <w:szCs w:val="24"/>
        </w:rPr>
        <w:t>GB 15603“</w:t>
      </w:r>
      <w:r>
        <w:rPr>
          <w:rFonts w:ascii="Times New Roman" w:eastAsia="宋体" w:hAnsi="Times New Roman" w:cs="Times New Roman"/>
          <w:bCs/>
          <w:color w:val="000000" w:themeColor="text1"/>
          <w:kern w:val="0"/>
          <w:sz w:val="24"/>
          <w:szCs w:val="24"/>
        </w:rPr>
        <w:t>储存危险化学品建筑物不得有地下室或者其他地下建筑物，其耐火等级、层数、占地面积安全疏散和防火间距，应符合国家有关规定</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，提出本规定。</w:t>
      </w:r>
    </w:p>
    <w:p w14:paraId="0195893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4.3.4  </w:t>
      </w:r>
      <w:r>
        <w:rPr>
          <w:rFonts w:ascii="Times New Roman" w:eastAsia="宋体" w:hAnsi="Times New Roman" w:cs="Times New Roman"/>
          <w:bCs/>
          <w:color w:val="000000" w:themeColor="text1"/>
          <w:kern w:val="0"/>
          <w:sz w:val="24"/>
          <w:szCs w:val="24"/>
        </w:rPr>
        <w:t>在</w:t>
      </w:r>
      <w:r>
        <w:rPr>
          <w:rFonts w:ascii="Times New Roman" w:eastAsia="宋体" w:hAnsi="Times New Roman" w:cs="Times New Roman" w:hint="eastAsia"/>
          <w:bCs/>
          <w:color w:val="000000" w:themeColor="text1"/>
          <w:kern w:val="0"/>
          <w:sz w:val="24"/>
          <w:szCs w:val="24"/>
        </w:rPr>
        <w:t>现行国家标准</w:t>
      </w:r>
      <w:r>
        <w:rPr>
          <w:rFonts w:ascii="Times New Roman" w:eastAsia="宋体" w:hAnsi="Times New Roman" w:cs="Times New Roman"/>
          <w:bCs/>
          <w:color w:val="000000" w:themeColor="text1"/>
          <w:kern w:val="0"/>
          <w:sz w:val="24"/>
          <w:szCs w:val="24"/>
        </w:rPr>
        <w:t>《室外给水设计标准》</w:t>
      </w:r>
      <w:r>
        <w:rPr>
          <w:rFonts w:ascii="Times New Roman" w:eastAsia="宋体" w:hAnsi="Times New Roman" w:cs="Times New Roman"/>
          <w:bCs/>
          <w:color w:val="000000" w:themeColor="text1"/>
          <w:kern w:val="0"/>
          <w:sz w:val="24"/>
          <w:szCs w:val="24"/>
        </w:rPr>
        <w:t>GB50013</w:t>
      </w:r>
      <w:r>
        <w:rPr>
          <w:rFonts w:ascii="Times New Roman" w:eastAsia="宋体" w:hAnsi="Times New Roman" w:cs="Times New Roman"/>
          <w:bCs/>
          <w:color w:val="000000" w:themeColor="text1"/>
          <w:kern w:val="0"/>
          <w:sz w:val="24"/>
          <w:szCs w:val="24"/>
        </w:rPr>
        <w:t>中，从次氯酸钠在光照、受热条件下有效氯易降解以及对分解产物中亚氯酸钠（亚氯酸盐）和氯酸钠（亚氯酸盐）的控制等因素出发，提出</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商品次氯酸钠溶液原液浓度约</w:t>
      </w:r>
      <w:r>
        <w:rPr>
          <w:rFonts w:ascii="Times New Roman" w:eastAsia="宋体" w:hAnsi="Times New Roman" w:cs="Times New Roman"/>
          <w:bCs/>
          <w:color w:val="000000" w:themeColor="text1"/>
          <w:kern w:val="0"/>
          <w:sz w:val="24"/>
          <w:szCs w:val="24"/>
        </w:rPr>
        <w:t>10%</w:t>
      </w:r>
      <w:r>
        <w:rPr>
          <w:rFonts w:ascii="Times New Roman" w:eastAsia="宋体" w:hAnsi="Times New Roman" w:cs="Times New Roman"/>
          <w:bCs/>
          <w:color w:val="000000" w:themeColor="text1"/>
          <w:kern w:val="0"/>
          <w:sz w:val="24"/>
          <w:szCs w:val="24"/>
        </w:rPr>
        <w:t>（有效氯）时，储备量宜按储存浓度和最大用量的</w:t>
      </w:r>
      <w:r>
        <w:rPr>
          <w:rFonts w:ascii="Times New Roman" w:eastAsia="宋体" w:hAnsi="Times New Roman" w:cs="Times New Roman"/>
          <w:bCs/>
          <w:color w:val="000000" w:themeColor="text1"/>
          <w:kern w:val="0"/>
          <w:sz w:val="24"/>
          <w:szCs w:val="24"/>
        </w:rPr>
        <w:t>7d</w:t>
      </w:r>
      <w:r>
        <w:rPr>
          <w:rFonts w:ascii="Times New Roman" w:eastAsia="宋体" w:hAnsi="Times New Roman" w:cs="Times New Roman"/>
          <w:bCs/>
          <w:color w:val="000000" w:themeColor="text1"/>
          <w:kern w:val="0"/>
          <w:sz w:val="24"/>
          <w:szCs w:val="24"/>
        </w:rPr>
        <w:t>左右计算</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。结合各地厂站生产管理和次氯酸钠运输管理的实际条件，储备设施能力可适当增大，在遇到重大事件、节假日等特殊情况时，可增加储备天数。</w:t>
      </w:r>
    </w:p>
    <w:p w14:paraId="60BEB35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4.3.5  </w:t>
      </w:r>
      <w:r>
        <w:rPr>
          <w:rFonts w:ascii="Times New Roman" w:eastAsia="宋体" w:hAnsi="Times New Roman" w:cs="Times New Roman"/>
          <w:bCs/>
          <w:color w:val="000000" w:themeColor="text1"/>
          <w:kern w:val="0"/>
          <w:sz w:val="24"/>
          <w:szCs w:val="24"/>
        </w:rPr>
        <w:t>由于次氯酸钠化学性质极不稳定，在光照、受热、酸性环境或重金属离子存在下，极易发生分解反应，导致有效氯含量下降。主要反应式如下：</w:t>
      </w:r>
    </w:p>
    <w:p w14:paraId="0EF2E3B5" w14:textId="77777777" w:rsidR="00E269CD" w:rsidRDefault="00E13E3E">
      <w:pPr>
        <w:spacing w:line="360" w:lineRule="auto"/>
        <w:jc w:val="center"/>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NaClO + H</w:t>
      </w:r>
      <w:r>
        <w:rPr>
          <w:rFonts w:ascii="Times New Roman" w:eastAsia="宋体" w:hAnsi="Times New Roman" w:cs="Times New Roman"/>
          <w:bCs/>
          <w:color w:val="000000" w:themeColor="text1"/>
          <w:kern w:val="0"/>
          <w:sz w:val="24"/>
          <w:szCs w:val="24"/>
          <w:vertAlign w:val="subscript"/>
        </w:rPr>
        <w:t>2</w:t>
      </w:r>
      <w:r>
        <w:rPr>
          <w:rFonts w:ascii="Times New Roman" w:eastAsia="宋体" w:hAnsi="Times New Roman" w:cs="Times New Roman"/>
          <w:bCs/>
          <w:color w:val="000000" w:themeColor="text1"/>
          <w:kern w:val="0"/>
          <w:sz w:val="24"/>
          <w:szCs w:val="24"/>
        </w:rPr>
        <w:t>O =</w:t>
      </w:r>
      <w:r>
        <w:rPr>
          <w:rFonts w:ascii="Times New Roman" w:eastAsia="宋体" w:hAnsi="Times New Roman" w:cs="Times New Roman"/>
          <w:bCs/>
          <w:color w:val="000000" w:themeColor="text1"/>
          <w:kern w:val="0"/>
          <w:sz w:val="24"/>
          <w:szCs w:val="24"/>
        </w:rPr>
        <w:t>HClO + NaOH</w:t>
      </w:r>
    </w:p>
    <w:p w14:paraId="17164031" w14:textId="77777777" w:rsidR="00E269CD" w:rsidRDefault="00E13E3E">
      <w:pPr>
        <w:spacing w:line="360" w:lineRule="auto"/>
        <w:jc w:val="center"/>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2HClO =2HCl + O</w:t>
      </w:r>
      <w:r>
        <w:rPr>
          <w:rFonts w:ascii="Times New Roman" w:eastAsia="宋体" w:hAnsi="Times New Roman" w:cs="Times New Roman"/>
          <w:bCs/>
          <w:color w:val="000000" w:themeColor="text1"/>
          <w:kern w:val="0"/>
          <w:sz w:val="24"/>
          <w:szCs w:val="24"/>
          <w:vertAlign w:val="subscript"/>
        </w:rPr>
        <w:t>2</w:t>
      </w:r>
    </w:p>
    <w:p w14:paraId="4BA95C6F" w14:textId="77777777" w:rsidR="00E269CD" w:rsidRDefault="00E13E3E">
      <w:pPr>
        <w:spacing w:line="360" w:lineRule="auto"/>
        <w:jc w:val="center"/>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HClO + HCl =H2O + Cl</w:t>
      </w:r>
      <w:r>
        <w:rPr>
          <w:rFonts w:ascii="Times New Roman" w:eastAsia="宋体" w:hAnsi="Times New Roman" w:cs="Times New Roman"/>
          <w:bCs/>
          <w:color w:val="000000" w:themeColor="text1"/>
          <w:kern w:val="0"/>
          <w:sz w:val="24"/>
          <w:szCs w:val="24"/>
          <w:vertAlign w:val="subscript"/>
        </w:rPr>
        <w:t>2</w:t>
      </w:r>
    </w:p>
    <w:p w14:paraId="3B4BF6D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故对室外储罐单独提出遮阳要求。</w:t>
      </w:r>
    </w:p>
    <w:p w14:paraId="6C49CB94"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根据《室外给水设计标准》（</w:t>
      </w:r>
      <w:r>
        <w:rPr>
          <w:rFonts w:ascii="Times New Roman" w:eastAsia="宋体" w:hAnsi="Times New Roman" w:cs="Times New Roman"/>
          <w:bCs/>
          <w:color w:val="000000" w:themeColor="text1"/>
          <w:kern w:val="0"/>
          <w:sz w:val="24"/>
          <w:szCs w:val="24"/>
        </w:rPr>
        <w:t>GB50013</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“9.9.38</w:t>
      </w:r>
      <w:r>
        <w:rPr>
          <w:rFonts w:ascii="Times New Roman" w:eastAsia="宋体" w:hAnsi="Times New Roman" w:cs="Times New Roman"/>
          <w:bCs/>
          <w:color w:val="000000" w:themeColor="text1"/>
          <w:kern w:val="0"/>
          <w:sz w:val="24"/>
          <w:szCs w:val="24"/>
        </w:rPr>
        <w:t>次氯酸钠发生器及制成液储存设施的所在房间应设置每小时换气</w:t>
      </w:r>
      <w:r>
        <w:rPr>
          <w:rFonts w:ascii="Times New Roman" w:eastAsia="宋体" w:hAnsi="Times New Roman" w:cs="Times New Roman"/>
          <w:bCs/>
          <w:color w:val="000000" w:themeColor="text1"/>
          <w:kern w:val="0"/>
          <w:sz w:val="24"/>
          <w:szCs w:val="24"/>
        </w:rPr>
        <w:t>8~12</w:t>
      </w:r>
      <w:r>
        <w:rPr>
          <w:rFonts w:ascii="Times New Roman" w:eastAsia="宋体" w:hAnsi="Times New Roman" w:cs="Times New Roman"/>
          <w:bCs/>
          <w:color w:val="000000" w:themeColor="text1"/>
          <w:kern w:val="0"/>
          <w:sz w:val="24"/>
          <w:szCs w:val="24"/>
        </w:rPr>
        <w:t>次的高位通风的机械通风设备</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，提出本规定。</w:t>
      </w:r>
    </w:p>
    <w:p w14:paraId="6613EA6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4.3.6  </w:t>
      </w:r>
      <w:r>
        <w:rPr>
          <w:rFonts w:ascii="Times New Roman" w:eastAsia="宋体" w:hAnsi="Times New Roman" w:cs="Times New Roman"/>
          <w:bCs/>
          <w:color w:val="000000" w:themeColor="text1"/>
          <w:kern w:val="0"/>
          <w:sz w:val="24"/>
          <w:szCs w:val="24"/>
        </w:rPr>
        <w:t>参考《常用化学危险品储存通则》</w:t>
      </w:r>
      <w:r>
        <w:rPr>
          <w:rFonts w:ascii="Times New Roman" w:eastAsia="宋体" w:hAnsi="Times New Roman" w:cs="Times New Roman"/>
          <w:bCs/>
          <w:color w:val="000000" w:themeColor="text1"/>
          <w:kern w:val="0"/>
          <w:sz w:val="24"/>
          <w:szCs w:val="24"/>
        </w:rPr>
        <w:t>GB 15603</w:t>
      </w:r>
      <w:r>
        <w:rPr>
          <w:rFonts w:ascii="Times New Roman" w:eastAsia="宋体" w:hAnsi="Times New Roman" w:cs="Times New Roman"/>
          <w:bCs/>
          <w:color w:val="000000" w:themeColor="text1"/>
          <w:kern w:val="0"/>
          <w:sz w:val="24"/>
          <w:szCs w:val="24"/>
        </w:rPr>
        <w:t>中，对化学危险品贮存安排的隔离贮存和隔开贮存的通道规定，结合日常巡检要求，提出本规定。</w:t>
      </w:r>
    </w:p>
    <w:p w14:paraId="2514FC3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4.3.7  </w:t>
      </w:r>
      <w:r>
        <w:rPr>
          <w:rFonts w:ascii="Times New Roman" w:eastAsia="宋体" w:hAnsi="Times New Roman" w:cs="Times New Roman"/>
          <w:bCs/>
          <w:color w:val="000000" w:themeColor="text1"/>
          <w:kern w:val="0"/>
          <w:sz w:val="24"/>
          <w:szCs w:val="24"/>
        </w:rPr>
        <w:t>同</w:t>
      </w:r>
      <w:r>
        <w:rPr>
          <w:rFonts w:ascii="Times New Roman" w:eastAsia="宋体" w:hAnsi="Times New Roman" w:cs="Times New Roman"/>
          <w:bCs/>
          <w:color w:val="000000" w:themeColor="text1"/>
          <w:kern w:val="0"/>
          <w:sz w:val="24"/>
          <w:szCs w:val="24"/>
        </w:rPr>
        <w:t>4.3.7</w:t>
      </w:r>
      <w:r>
        <w:rPr>
          <w:rFonts w:ascii="Times New Roman" w:eastAsia="宋体" w:hAnsi="Times New Roman" w:cs="Times New Roman"/>
          <w:bCs/>
          <w:color w:val="000000" w:themeColor="text1"/>
          <w:kern w:val="0"/>
          <w:sz w:val="24"/>
          <w:szCs w:val="24"/>
        </w:rPr>
        <w:t>。</w:t>
      </w:r>
    </w:p>
    <w:p w14:paraId="311D832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4.3.8  </w:t>
      </w:r>
      <w:r>
        <w:rPr>
          <w:rFonts w:ascii="Times New Roman" w:eastAsia="宋体" w:hAnsi="Times New Roman" w:cs="Times New Roman"/>
          <w:bCs/>
          <w:color w:val="000000" w:themeColor="text1"/>
          <w:kern w:val="0"/>
          <w:sz w:val="24"/>
          <w:szCs w:val="24"/>
        </w:rPr>
        <w:t>参考《建筑设计防火设计</w:t>
      </w:r>
      <w:r>
        <w:rPr>
          <w:rFonts w:ascii="Times New Roman" w:eastAsia="宋体" w:hAnsi="Times New Roman" w:cs="Times New Roman"/>
          <w:bCs/>
          <w:color w:val="000000" w:themeColor="text1"/>
          <w:kern w:val="0"/>
          <w:sz w:val="24"/>
          <w:szCs w:val="24"/>
        </w:rPr>
        <w:t>条例》</w:t>
      </w:r>
      <w:r>
        <w:rPr>
          <w:rFonts w:ascii="Times New Roman" w:eastAsia="宋体" w:hAnsi="Times New Roman" w:cs="Times New Roman"/>
          <w:bCs/>
          <w:color w:val="000000" w:themeColor="text1"/>
          <w:kern w:val="0"/>
          <w:sz w:val="24"/>
          <w:szCs w:val="24"/>
        </w:rPr>
        <w:t>“3.6.11</w:t>
      </w:r>
      <w:r>
        <w:rPr>
          <w:rFonts w:ascii="Times New Roman" w:eastAsia="宋体" w:hAnsi="Times New Roman" w:cs="Times New Roman"/>
          <w:bCs/>
          <w:color w:val="000000" w:themeColor="text1"/>
          <w:kern w:val="0"/>
          <w:sz w:val="24"/>
          <w:szCs w:val="24"/>
        </w:rPr>
        <w:t>甲、乙、丙液体化学品仓库应该设置防止液体流散的设施</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，提出关于防流散设施的要求。</w:t>
      </w:r>
    </w:p>
    <w:p w14:paraId="543E5F7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4.3.9  </w:t>
      </w:r>
      <w:r>
        <w:rPr>
          <w:rFonts w:ascii="Times New Roman" w:eastAsia="宋体" w:hAnsi="Times New Roman" w:cs="Times New Roman"/>
          <w:bCs/>
          <w:color w:val="000000" w:themeColor="text1"/>
          <w:kern w:val="0"/>
          <w:sz w:val="24"/>
          <w:szCs w:val="24"/>
        </w:rPr>
        <w:t>为进一步加强流散废液管理，防止废液处置中因混存引发次生危害，提出本规定。</w:t>
      </w:r>
    </w:p>
    <w:p w14:paraId="77E042D2" w14:textId="77777777" w:rsidR="00E269CD" w:rsidRDefault="00E13E3E">
      <w:pPr>
        <w:keepNext/>
        <w:keepLines/>
        <w:spacing w:line="360" w:lineRule="auto"/>
        <w:jc w:val="center"/>
        <w:outlineLvl w:val="1"/>
        <w:rPr>
          <w:rFonts w:ascii="Times New Roman" w:eastAsia="黑体" w:hAnsi="Times New Roman" w:cs="Times New Roman"/>
          <w:color w:val="000000" w:themeColor="text1"/>
        </w:rPr>
      </w:pPr>
      <w:bookmarkStart w:id="57" w:name="_Toc127171783"/>
      <w:bookmarkStart w:id="58" w:name="_Toc123229230"/>
      <w:r>
        <w:rPr>
          <w:rFonts w:ascii="Times New Roman" w:eastAsia="黑体" w:hAnsi="Times New Roman" w:cs="Times New Roman"/>
          <w:b/>
          <w:bCs/>
          <w:color w:val="000000" w:themeColor="text1"/>
          <w:sz w:val="28"/>
          <w:szCs w:val="32"/>
        </w:rPr>
        <w:t xml:space="preserve">4.4  </w:t>
      </w:r>
      <w:r>
        <w:rPr>
          <w:rFonts w:ascii="Times New Roman" w:eastAsia="黑体" w:hAnsi="Times New Roman" w:cs="Times New Roman"/>
          <w:b/>
          <w:bCs/>
          <w:color w:val="000000" w:themeColor="text1"/>
          <w:sz w:val="28"/>
          <w:szCs w:val="32"/>
        </w:rPr>
        <w:t>加注</w:t>
      </w:r>
      <w:bookmarkEnd w:id="57"/>
      <w:bookmarkEnd w:id="58"/>
    </w:p>
    <w:p w14:paraId="71706B2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4.4.1  </w:t>
      </w:r>
      <w:r>
        <w:rPr>
          <w:rFonts w:ascii="Times New Roman" w:eastAsia="宋体" w:hAnsi="Times New Roman" w:cs="Times New Roman"/>
          <w:bCs/>
          <w:color w:val="000000" w:themeColor="text1"/>
          <w:kern w:val="0"/>
          <w:sz w:val="24"/>
          <w:szCs w:val="24"/>
        </w:rPr>
        <w:t>参考《危险化学品安全管理条例》，加强次氯酸钠使用的安全性，为防止因流散引发的事故，提出采用独立的加注间。对于现有水厂，在有条件的情况下，</w:t>
      </w:r>
      <w:r>
        <w:rPr>
          <w:rFonts w:ascii="Times New Roman" w:eastAsia="宋体" w:hAnsi="Times New Roman" w:cs="Times New Roman"/>
          <w:bCs/>
          <w:color w:val="000000" w:themeColor="text1"/>
          <w:kern w:val="0"/>
          <w:sz w:val="24"/>
          <w:szCs w:val="24"/>
        </w:rPr>
        <w:lastRenderedPageBreak/>
        <w:t>可增设隔墙或围挡。</w:t>
      </w:r>
    </w:p>
    <w:p w14:paraId="00CB6A3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4.4.2</w:t>
      </w:r>
      <w:r>
        <w:rPr>
          <w:rFonts w:ascii="Times New Roman" w:eastAsia="宋体" w:hAnsi="Times New Roman" w:cs="Times New Roman"/>
          <w:bCs/>
          <w:color w:val="000000" w:themeColor="text1"/>
          <w:kern w:val="0"/>
          <w:sz w:val="24"/>
          <w:szCs w:val="24"/>
        </w:rPr>
        <w:t>根据条文说明中</w:t>
      </w:r>
      <w:r>
        <w:rPr>
          <w:rFonts w:ascii="Times New Roman" w:eastAsia="宋体" w:hAnsi="Times New Roman" w:cs="Times New Roman"/>
          <w:bCs/>
          <w:color w:val="000000" w:themeColor="text1"/>
          <w:kern w:val="0"/>
          <w:sz w:val="24"/>
          <w:szCs w:val="24"/>
        </w:rPr>
        <w:t>4.3.3</w:t>
      </w:r>
      <w:r>
        <w:rPr>
          <w:rFonts w:ascii="Times New Roman" w:eastAsia="宋体" w:hAnsi="Times New Roman" w:cs="Times New Roman"/>
          <w:bCs/>
          <w:color w:val="000000" w:themeColor="text1"/>
          <w:kern w:val="0"/>
          <w:sz w:val="24"/>
          <w:szCs w:val="24"/>
        </w:rPr>
        <w:t>次氯酸钠的主要反应式，次氯酸钠在光照、受热等情况下，会分解出氧气和氯气。这些气体积聚，从而干扰加注泵、</w:t>
      </w:r>
      <w:r>
        <w:rPr>
          <w:rFonts w:ascii="Times New Roman" w:eastAsia="宋体" w:hAnsi="Times New Roman" w:cs="Times New Roman"/>
          <w:bCs/>
          <w:color w:val="000000" w:themeColor="text1"/>
          <w:kern w:val="0"/>
          <w:sz w:val="24"/>
          <w:szCs w:val="24"/>
        </w:rPr>
        <w:t>管路工作，导致次氯酸钠投加量的明显波动，影响正常生产。故提出本要求。</w:t>
      </w:r>
    </w:p>
    <w:p w14:paraId="16B5CE7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4.4.3</w:t>
      </w:r>
      <w:r>
        <w:rPr>
          <w:rFonts w:ascii="Times New Roman" w:eastAsia="宋体" w:hAnsi="Times New Roman" w:cs="Times New Roman"/>
          <w:bCs/>
          <w:color w:val="000000" w:themeColor="text1"/>
          <w:kern w:val="0"/>
          <w:sz w:val="24"/>
          <w:szCs w:val="24"/>
        </w:rPr>
        <w:t>在</w:t>
      </w:r>
      <w:r>
        <w:rPr>
          <w:rFonts w:ascii="Times New Roman" w:eastAsia="宋体" w:hAnsi="Times New Roman" w:cs="Times New Roman" w:hint="eastAsia"/>
          <w:bCs/>
          <w:color w:val="000000" w:themeColor="text1"/>
          <w:kern w:val="0"/>
          <w:sz w:val="24"/>
          <w:szCs w:val="24"/>
        </w:rPr>
        <w:t>现行国家标准</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hint="eastAsia"/>
          <w:bCs/>
          <w:color w:val="000000" w:themeColor="text1"/>
          <w:kern w:val="0"/>
          <w:sz w:val="24"/>
          <w:szCs w:val="24"/>
        </w:rPr>
        <w:t>生活饮用水卫生标准</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GB5479-20</w:t>
      </w:r>
      <w:r>
        <w:rPr>
          <w:rFonts w:ascii="Times New Roman" w:eastAsia="宋体" w:hAnsi="Times New Roman" w:cs="Times New Roman" w:hint="eastAsia"/>
          <w:bCs/>
          <w:color w:val="000000" w:themeColor="text1"/>
          <w:kern w:val="0"/>
          <w:sz w:val="24"/>
          <w:szCs w:val="24"/>
        </w:rPr>
        <w:t>22</w:t>
      </w:r>
      <w:r>
        <w:rPr>
          <w:rFonts w:ascii="Times New Roman" w:eastAsia="宋体" w:hAnsi="Times New Roman" w:cs="Times New Roman"/>
          <w:bCs/>
          <w:color w:val="000000" w:themeColor="text1"/>
          <w:kern w:val="0"/>
          <w:sz w:val="24"/>
          <w:szCs w:val="24"/>
        </w:rPr>
        <w:t>，仅提出二氧化氯消毒时饮用水氯酸盐限制</w:t>
      </w:r>
      <w:r>
        <w:rPr>
          <w:rFonts w:ascii="Times New Roman" w:eastAsia="宋体" w:hAnsi="Times New Roman" w:cs="Times New Roman"/>
          <w:bCs/>
          <w:color w:val="000000" w:themeColor="text1"/>
          <w:kern w:val="0"/>
          <w:sz w:val="24"/>
          <w:szCs w:val="24"/>
        </w:rPr>
        <w:t>0.7mg/L</w:t>
      </w:r>
      <w:r>
        <w:rPr>
          <w:rFonts w:ascii="Times New Roman" w:eastAsia="宋体" w:hAnsi="Times New Roman" w:cs="Times New Roman"/>
          <w:bCs/>
          <w:color w:val="000000" w:themeColor="text1"/>
          <w:kern w:val="0"/>
          <w:sz w:val="24"/>
          <w:szCs w:val="24"/>
        </w:rPr>
        <w:t>，但在欧盟人类生活用水处理用品次氯酸钠要求，氯酸盐跟有效氯比值，不能超过</w:t>
      </w:r>
      <w:r>
        <w:rPr>
          <w:rFonts w:ascii="Times New Roman" w:eastAsia="宋体" w:hAnsi="Times New Roman" w:cs="Times New Roman"/>
          <w:bCs/>
          <w:color w:val="000000" w:themeColor="text1"/>
          <w:kern w:val="0"/>
          <w:sz w:val="24"/>
          <w:szCs w:val="24"/>
        </w:rPr>
        <w:t>5.4%</w:t>
      </w:r>
      <w:r>
        <w:rPr>
          <w:rFonts w:ascii="Times New Roman" w:eastAsia="宋体" w:hAnsi="Times New Roman" w:cs="Times New Roman"/>
          <w:bCs/>
          <w:color w:val="000000" w:themeColor="text1"/>
          <w:kern w:val="0"/>
          <w:sz w:val="24"/>
          <w:szCs w:val="24"/>
        </w:rPr>
        <w:t>。经有关水司调研跟检测，发现储存时间和温度等与成品次氯酸钠产生氯酸盐基本呈线性关系，并且随着温度升高，斜率越高，可以看出氯酸盐的含量跟储存时间成正比，并且温度越高斜度越高，产生的速度越快。</w:t>
      </w:r>
    </w:p>
    <w:p w14:paraId="57BE7DF4" w14:textId="77777777" w:rsidR="00E269CD" w:rsidRDefault="00E13E3E">
      <w:pPr>
        <w:spacing w:line="360" w:lineRule="auto"/>
        <w:jc w:val="center"/>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3NaClO →2NaCl+ NaClO</w:t>
      </w:r>
      <w:r>
        <w:rPr>
          <w:rFonts w:ascii="Times New Roman" w:eastAsia="宋体" w:hAnsi="Times New Roman" w:cs="Times New Roman"/>
          <w:bCs/>
          <w:color w:val="000000" w:themeColor="text1"/>
          <w:kern w:val="0"/>
          <w:sz w:val="24"/>
          <w:szCs w:val="24"/>
          <w:vertAlign w:val="subscript"/>
        </w:rPr>
        <w:t>3</w:t>
      </w:r>
    </w:p>
    <w:p w14:paraId="41F2CD00"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因此，药</w:t>
      </w:r>
      <w:r>
        <w:rPr>
          <w:rFonts w:ascii="Times New Roman" w:eastAsia="宋体" w:hAnsi="Times New Roman" w:cs="Times New Roman"/>
          <w:bCs/>
          <w:color w:val="000000" w:themeColor="text1"/>
          <w:kern w:val="0"/>
          <w:sz w:val="24"/>
          <w:szCs w:val="24"/>
        </w:rPr>
        <w:t>剂由储罐（池）底部引出，可保证储罐底部药液的流动性，防止次氯酸钠溶液出现局部长期滞留存积，导致氯酸盐浓度升高。</w:t>
      </w:r>
    </w:p>
    <w:p w14:paraId="1AAF429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4.4.4  </w:t>
      </w:r>
      <w:r>
        <w:rPr>
          <w:rFonts w:ascii="Times New Roman" w:eastAsia="宋体" w:hAnsi="Times New Roman" w:cs="Times New Roman"/>
          <w:bCs/>
          <w:color w:val="000000" w:themeColor="text1"/>
          <w:kern w:val="0"/>
          <w:sz w:val="24"/>
          <w:szCs w:val="24"/>
        </w:rPr>
        <w:t>考虑到加氯消毒对净水工艺的重要性，增加加注系统的备用。</w:t>
      </w:r>
    </w:p>
    <w:p w14:paraId="509A0FD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4.4.5  </w:t>
      </w:r>
      <w:r>
        <w:rPr>
          <w:rFonts w:ascii="Times New Roman" w:eastAsia="宋体" w:hAnsi="Times New Roman" w:cs="Times New Roman"/>
          <w:bCs/>
          <w:color w:val="000000" w:themeColor="text1"/>
          <w:kern w:val="0"/>
          <w:sz w:val="24"/>
          <w:szCs w:val="24"/>
        </w:rPr>
        <w:t>由于在实际使用中，发现负压状态下，次氯酸钠加注泵更易出现气体逸出现象，因此，提出本规定。</w:t>
      </w:r>
    </w:p>
    <w:p w14:paraId="415E9069" w14:textId="77777777" w:rsidR="00E269CD" w:rsidRDefault="00E13E3E">
      <w:pPr>
        <w:keepNext/>
        <w:keepLines/>
        <w:spacing w:line="360" w:lineRule="auto"/>
        <w:jc w:val="center"/>
        <w:outlineLvl w:val="1"/>
        <w:rPr>
          <w:rFonts w:ascii="Times New Roman" w:eastAsia="黑体" w:hAnsi="Times New Roman" w:cs="Times New Roman"/>
          <w:color w:val="000000" w:themeColor="text1"/>
        </w:rPr>
      </w:pPr>
      <w:bookmarkStart w:id="59" w:name="_Toc127171784"/>
      <w:bookmarkStart w:id="60" w:name="_Toc123229231"/>
      <w:r>
        <w:rPr>
          <w:rFonts w:ascii="Times New Roman" w:eastAsia="黑体" w:hAnsi="Times New Roman" w:cs="Times New Roman"/>
          <w:b/>
          <w:bCs/>
          <w:color w:val="000000" w:themeColor="text1"/>
          <w:sz w:val="28"/>
          <w:szCs w:val="32"/>
        </w:rPr>
        <w:t xml:space="preserve">4.5  </w:t>
      </w:r>
      <w:r>
        <w:rPr>
          <w:rFonts w:ascii="Times New Roman" w:eastAsia="黑体" w:hAnsi="Times New Roman" w:cs="Times New Roman"/>
          <w:b/>
          <w:bCs/>
          <w:color w:val="000000" w:themeColor="text1"/>
          <w:sz w:val="28"/>
          <w:szCs w:val="32"/>
        </w:rPr>
        <w:t>监测和控制</w:t>
      </w:r>
      <w:bookmarkEnd w:id="59"/>
      <w:bookmarkEnd w:id="60"/>
    </w:p>
    <w:p w14:paraId="63D6D5CC"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4.5.1  </w:t>
      </w:r>
      <w:r>
        <w:rPr>
          <w:rFonts w:ascii="Times New Roman" w:eastAsia="宋体" w:hAnsi="Times New Roman" w:cs="Times New Roman"/>
          <w:bCs/>
          <w:color w:val="000000" w:themeColor="text1"/>
          <w:kern w:val="0"/>
          <w:sz w:val="24"/>
          <w:szCs w:val="24"/>
        </w:rPr>
        <w:t>储液池（罐）要配置液位仪，对储罐（池）内高、低液位报警。</w:t>
      </w:r>
    </w:p>
    <w:p w14:paraId="43D4E227"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为精准控制投加量，每个加注点要至少配置</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个流量仪。</w:t>
      </w:r>
    </w:p>
    <w:p w14:paraId="58F4D35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4.5.4  </w:t>
      </w:r>
      <w:r>
        <w:rPr>
          <w:rFonts w:ascii="Times New Roman" w:eastAsia="宋体" w:hAnsi="Times New Roman" w:cs="Times New Roman"/>
          <w:bCs/>
          <w:color w:val="000000" w:themeColor="text1"/>
          <w:kern w:val="0"/>
          <w:sz w:val="24"/>
          <w:szCs w:val="24"/>
        </w:rPr>
        <w:t>为提高系统管理的自动化程度，提出本规定。</w:t>
      </w:r>
    </w:p>
    <w:p w14:paraId="435CEDB9" w14:textId="77777777" w:rsidR="00E269CD" w:rsidRDefault="00E13E3E">
      <w:pPr>
        <w:spacing w:line="360" w:lineRule="auto"/>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r>
        <w:rPr>
          <w:rFonts w:ascii="Times New Roman" w:eastAsia="宋体" w:hAnsi="Times New Roman" w:cs="Times New Roman"/>
          <w:bCs/>
          <w:color w:val="000000" w:themeColor="text1"/>
          <w:kern w:val="0"/>
          <w:sz w:val="24"/>
          <w:szCs w:val="24"/>
        </w:rPr>
        <w:t xml:space="preserve">4.5.5  </w:t>
      </w:r>
      <w:r>
        <w:rPr>
          <w:rFonts w:ascii="Times New Roman" w:eastAsia="宋体" w:hAnsi="Times New Roman" w:cs="Times New Roman"/>
          <w:bCs/>
          <w:color w:val="000000" w:themeColor="text1"/>
          <w:kern w:val="0"/>
          <w:sz w:val="24"/>
          <w:szCs w:val="24"/>
        </w:rPr>
        <w:t>由于次氯酸钠分解后有氯气产生，加注管路中可能有少量逸出，为尽可能减少对设备的腐蚀，提出本规定。</w:t>
      </w:r>
    </w:p>
    <w:p w14:paraId="5F18BDBA" w14:textId="77777777" w:rsidR="00E269CD" w:rsidRDefault="00E13E3E">
      <w:pPr>
        <w:keepNext/>
        <w:keepLines/>
        <w:spacing w:line="360" w:lineRule="auto"/>
        <w:jc w:val="center"/>
        <w:outlineLvl w:val="0"/>
        <w:rPr>
          <w:rFonts w:ascii="Times New Roman" w:hAnsi="Times New Roman" w:cs="Times New Roman"/>
          <w:color w:val="000000" w:themeColor="text1"/>
        </w:rPr>
      </w:pPr>
      <w:bookmarkStart w:id="61" w:name="_Toc127171785"/>
      <w:bookmarkStart w:id="62" w:name="_Toc123229232"/>
      <w:r>
        <w:rPr>
          <w:rFonts w:ascii="Times New Roman" w:hAnsi="Times New Roman" w:cs="Times New Roman"/>
          <w:b/>
          <w:bCs/>
          <w:color w:val="000000" w:themeColor="text1"/>
          <w:kern w:val="44"/>
          <w:sz w:val="30"/>
          <w:szCs w:val="44"/>
        </w:rPr>
        <w:lastRenderedPageBreak/>
        <w:t xml:space="preserve">5  </w:t>
      </w:r>
      <w:r>
        <w:rPr>
          <w:rFonts w:ascii="Times New Roman" w:hAnsi="Times New Roman" w:cs="Times New Roman"/>
          <w:b/>
          <w:bCs/>
          <w:color w:val="000000" w:themeColor="text1"/>
          <w:kern w:val="44"/>
          <w:sz w:val="30"/>
          <w:szCs w:val="44"/>
        </w:rPr>
        <w:t>次氯酸钠现场制备消毒系统</w:t>
      </w:r>
      <w:bookmarkEnd w:id="61"/>
      <w:bookmarkEnd w:id="62"/>
    </w:p>
    <w:p w14:paraId="53337B82"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63" w:name="_Toc123229233"/>
      <w:bookmarkStart w:id="64" w:name="_Toc127171786"/>
      <w:r>
        <w:rPr>
          <w:rFonts w:ascii="Times New Roman" w:eastAsia="黑体" w:hAnsi="Times New Roman" w:cs="Times New Roman"/>
          <w:b/>
          <w:bCs/>
          <w:color w:val="000000" w:themeColor="text1"/>
          <w:sz w:val="28"/>
          <w:szCs w:val="32"/>
        </w:rPr>
        <w:t xml:space="preserve">5.1  </w:t>
      </w:r>
      <w:r>
        <w:rPr>
          <w:rFonts w:ascii="Times New Roman" w:eastAsia="黑体" w:hAnsi="Times New Roman" w:cs="Times New Roman"/>
          <w:b/>
          <w:bCs/>
          <w:color w:val="000000" w:themeColor="text1"/>
          <w:sz w:val="28"/>
          <w:szCs w:val="32"/>
        </w:rPr>
        <w:t>储盐</w:t>
      </w:r>
      <w:bookmarkEnd w:id="63"/>
      <w:bookmarkEnd w:id="64"/>
    </w:p>
    <w:p w14:paraId="79161C7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5.1.2  </w:t>
      </w:r>
      <w:r>
        <w:rPr>
          <w:rFonts w:ascii="Times New Roman" w:eastAsia="宋体" w:hAnsi="Times New Roman" w:cs="Times New Roman"/>
          <w:bCs/>
          <w:color w:val="000000" w:themeColor="text1"/>
          <w:kern w:val="0"/>
          <w:sz w:val="24"/>
          <w:szCs w:val="24"/>
        </w:rPr>
        <w:t>从卫生管理和使用便利角度出发，对食盐存放提出本规定。</w:t>
      </w:r>
    </w:p>
    <w:p w14:paraId="604FE7B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5.1.4  </w:t>
      </w:r>
      <w:r>
        <w:rPr>
          <w:rFonts w:ascii="Times New Roman" w:eastAsia="宋体" w:hAnsi="Times New Roman" w:cs="Times New Roman"/>
          <w:bCs/>
          <w:color w:val="000000" w:themeColor="text1"/>
          <w:kern w:val="0"/>
          <w:sz w:val="24"/>
          <w:szCs w:val="24"/>
        </w:rPr>
        <w:t>为避免食盐受潮，对食盐存放提出本规定。</w:t>
      </w:r>
    </w:p>
    <w:p w14:paraId="7478239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5.1.6  </w:t>
      </w:r>
      <w:r>
        <w:rPr>
          <w:rFonts w:ascii="Times New Roman" w:eastAsia="宋体" w:hAnsi="Times New Roman" w:cs="Times New Roman"/>
          <w:bCs/>
          <w:color w:val="000000" w:themeColor="text1"/>
          <w:kern w:val="0"/>
          <w:sz w:val="24"/>
          <w:szCs w:val="24"/>
        </w:rPr>
        <w:t>食盐即氯化钠，为中性，无腐蚀性。遇水形成高浓度氯化钠溶液，成为电解质，对各类金属产生电化学腐蚀，腐蚀速度较快。</w:t>
      </w:r>
    </w:p>
    <w:p w14:paraId="3FF9BA09"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65" w:name="_Toc123229234"/>
      <w:bookmarkStart w:id="66" w:name="_Toc127171787"/>
      <w:r>
        <w:rPr>
          <w:rFonts w:ascii="Times New Roman" w:eastAsia="黑体" w:hAnsi="Times New Roman" w:cs="Times New Roman"/>
          <w:b/>
          <w:bCs/>
          <w:color w:val="000000" w:themeColor="text1"/>
          <w:sz w:val="28"/>
          <w:szCs w:val="32"/>
        </w:rPr>
        <w:t xml:space="preserve">5.2   </w:t>
      </w:r>
      <w:r>
        <w:rPr>
          <w:rFonts w:ascii="Times New Roman" w:eastAsia="黑体" w:hAnsi="Times New Roman" w:cs="Times New Roman"/>
          <w:b/>
          <w:bCs/>
          <w:color w:val="000000" w:themeColor="text1"/>
          <w:sz w:val="28"/>
          <w:szCs w:val="32"/>
        </w:rPr>
        <w:t>溶盐</w:t>
      </w:r>
      <w:bookmarkEnd w:id="65"/>
      <w:bookmarkEnd w:id="66"/>
    </w:p>
    <w:p w14:paraId="6A62BA0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5.2.1  </w:t>
      </w:r>
      <w:r>
        <w:rPr>
          <w:rFonts w:ascii="Times New Roman" w:eastAsia="宋体" w:hAnsi="Times New Roman" w:cs="Times New Roman"/>
          <w:bCs/>
          <w:color w:val="000000" w:themeColor="text1"/>
          <w:kern w:val="0"/>
          <w:sz w:val="24"/>
          <w:szCs w:val="24"/>
        </w:rPr>
        <w:t>水中钙镁离子含量高，则易引起发生器电极管结垢，影响电流效率，导致产能降低，并且影响电极使用寿命，故提出本要求。</w:t>
      </w:r>
    </w:p>
    <w:p w14:paraId="688727F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5.2.2  </w:t>
      </w:r>
      <w:r>
        <w:rPr>
          <w:rFonts w:ascii="Times New Roman" w:eastAsia="宋体" w:hAnsi="Times New Roman" w:cs="Times New Roman"/>
          <w:bCs/>
          <w:color w:val="000000" w:themeColor="text1"/>
          <w:kern w:val="0"/>
          <w:sz w:val="24"/>
          <w:szCs w:val="24"/>
        </w:rPr>
        <w:t>为确保发生系统原料的稳定性、安全性，故提出溶盐系统的富余和备用要求。</w:t>
      </w:r>
    </w:p>
    <w:p w14:paraId="2415C40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5.2.3  </w:t>
      </w:r>
      <w:r>
        <w:rPr>
          <w:rFonts w:ascii="Times New Roman" w:eastAsia="宋体" w:hAnsi="Times New Roman" w:cs="Times New Roman"/>
          <w:bCs/>
          <w:color w:val="000000" w:themeColor="text1"/>
          <w:kern w:val="0"/>
          <w:sz w:val="24"/>
          <w:szCs w:val="24"/>
        </w:rPr>
        <w:t>溶盐装置较大时，运输和地面操作都会增加难度，建议采用地埋式或半地埋式混凝土溶盐池，便于操纵和管理。</w:t>
      </w:r>
    </w:p>
    <w:p w14:paraId="720E972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5.2.4  </w:t>
      </w:r>
      <w:r>
        <w:rPr>
          <w:rFonts w:ascii="Times New Roman" w:eastAsia="宋体" w:hAnsi="Times New Roman" w:cs="Times New Roman"/>
          <w:bCs/>
          <w:color w:val="000000" w:themeColor="text1"/>
          <w:kern w:val="0"/>
          <w:sz w:val="24"/>
          <w:szCs w:val="24"/>
        </w:rPr>
        <w:t>溶盐水中氯离子含量可高达</w:t>
      </w:r>
      <w:r>
        <w:rPr>
          <w:rFonts w:ascii="Times New Roman" w:eastAsia="宋体" w:hAnsi="Times New Roman" w:cs="Times New Roman"/>
          <w:bCs/>
          <w:color w:val="000000" w:themeColor="text1"/>
          <w:kern w:val="0"/>
          <w:sz w:val="24"/>
          <w:szCs w:val="24"/>
        </w:rPr>
        <w:t>35000mg/L</w:t>
      </w:r>
      <w:r>
        <w:rPr>
          <w:rFonts w:ascii="Times New Roman" w:eastAsia="宋体" w:hAnsi="Times New Roman" w:cs="Times New Roman"/>
          <w:bCs/>
          <w:color w:val="000000" w:themeColor="text1"/>
          <w:kern w:val="0"/>
          <w:sz w:val="24"/>
          <w:szCs w:val="24"/>
        </w:rPr>
        <w:t>，具有高腐蚀性，故提出本规定。</w:t>
      </w:r>
    </w:p>
    <w:p w14:paraId="34C8FBF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5.2.5  </w:t>
      </w:r>
      <w:r>
        <w:rPr>
          <w:rFonts w:ascii="Times New Roman" w:eastAsia="宋体" w:hAnsi="Times New Roman" w:cs="Times New Roman"/>
          <w:bCs/>
          <w:color w:val="000000" w:themeColor="text1"/>
          <w:kern w:val="0"/>
          <w:sz w:val="24"/>
          <w:szCs w:val="24"/>
        </w:rPr>
        <w:t>食盐含有氯离子，遇水分子即溶并显高腐蚀性，其腐蚀性甚至强于海水，溶盐水投放路径设计要尽可能短，破包机</w:t>
      </w:r>
      <w:r>
        <w:rPr>
          <w:rFonts w:ascii="Times New Roman" w:eastAsia="宋体" w:hAnsi="Times New Roman" w:cs="Times New Roman"/>
          <w:bCs/>
          <w:color w:val="000000" w:themeColor="text1"/>
          <w:kern w:val="0"/>
          <w:sz w:val="24"/>
          <w:szCs w:val="24"/>
        </w:rPr>
        <w:t>或自动上料机等接触原料食盐的器械一般采用双相钢等耐腐蚀材质。</w:t>
      </w:r>
    </w:p>
    <w:p w14:paraId="1D7651D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5.2.6   </w:t>
      </w:r>
      <w:r>
        <w:rPr>
          <w:rFonts w:ascii="Times New Roman" w:eastAsia="宋体" w:hAnsi="Times New Roman" w:cs="Times New Roman"/>
          <w:bCs/>
          <w:color w:val="000000" w:themeColor="text1"/>
          <w:kern w:val="0"/>
          <w:sz w:val="24"/>
          <w:szCs w:val="24"/>
        </w:rPr>
        <w:t>发生器运行时，溶盐设施内要始终保持一定的未溶解食盐堆放高度，以确保设施内食盐溶液始终为饱和溶液。</w:t>
      </w:r>
    </w:p>
    <w:p w14:paraId="5F2ED0F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5.2.8  </w:t>
      </w:r>
      <w:r>
        <w:rPr>
          <w:rFonts w:ascii="Times New Roman" w:eastAsia="宋体" w:hAnsi="Times New Roman" w:cs="Times New Roman"/>
          <w:bCs/>
          <w:color w:val="000000" w:themeColor="text1"/>
          <w:kern w:val="0"/>
          <w:sz w:val="24"/>
          <w:szCs w:val="24"/>
        </w:rPr>
        <w:t>为必要的卫生条件。</w:t>
      </w:r>
    </w:p>
    <w:p w14:paraId="22146DF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5.2.9  </w:t>
      </w:r>
      <w:r>
        <w:rPr>
          <w:rFonts w:ascii="Times New Roman" w:eastAsia="宋体" w:hAnsi="Times New Roman" w:cs="Times New Roman"/>
          <w:bCs/>
          <w:color w:val="000000" w:themeColor="text1"/>
          <w:kern w:val="0"/>
          <w:sz w:val="24"/>
          <w:szCs w:val="24"/>
        </w:rPr>
        <w:t>为便于溶盐罐（池）清洗，提出此要求。</w:t>
      </w:r>
    </w:p>
    <w:p w14:paraId="04CBD129"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5.2.10  </w:t>
      </w:r>
      <w:r>
        <w:rPr>
          <w:rFonts w:ascii="Times New Roman" w:eastAsia="宋体" w:hAnsi="Times New Roman" w:cs="Times New Roman"/>
          <w:bCs/>
          <w:color w:val="000000" w:themeColor="text1"/>
          <w:kern w:val="0"/>
          <w:sz w:val="24"/>
          <w:szCs w:val="24"/>
        </w:rPr>
        <w:t>为缩短软化水输送距离。</w:t>
      </w:r>
    </w:p>
    <w:p w14:paraId="1A23D45C" w14:textId="0B56BF6C"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5.2.11  </w:t>
      </w:r>
      <w:r>
        <w:rPr>
          <w:rFonts w:ascii="Times New Roman" w:eastAsia="宋体" w:hAnsi="Times New Roman" w:cs="Times New Roman"/>
          <w:bCs/>
          <w:color w:val="000000" w:themeColor="text1"/>
          <w:kern w:val="0"/>
          <w:sz w:val="24"/>
          <w:szCs w:val="24"/>
        </w:rPr>
        <w:t>参考</w:t>
      </w:r>
      <w:r w:rsidR="003F48A2">
        <w:rPr>
          <w:rFonts w:ascii="Times New Roman" w:eastAsia="宋体" w:hAnsi="Times New Roman" w:cs="Times New Roman" w:hint="eastAsia"/>
          <w:bCs/>
          <w:color w:val="000000" w:themeColor="text1"/>
          <w:kern w:val="0"/>
          <w:sz w:val="24"/>
          <w:szCs w:val="24"/>
        </w:rPr>
        <w:t>上海等</w:t>
      </w:r>
      <w:r>
        <w:rPr>
          <w:rFonts w:ascii="Times New Roman" w:eastAsia="宋体" w:hAnsi="Times New Roman" w:cs="Times New Roman"/>
          <w:bCs/>
          <w:color w:val="000000" w:themeColor="text1"/>
          <w:kern w:val="0"/>
          <w:sz w:val="24"/>
          <w:szCs w:val="24"/>
        </w:rPr>
        <w:t>地区中对第二类污染物排放限值，向敏感区域直接排放时执行一级标准，氯化物不大于</w:t>
      </w:r>
      <w:r>
        <w:rPr>
          <w:rFonts w:ascii="Times New Roman" w:eastAsia="宋体" w:hAnsi="Times New Roman" w:cs="Times New Roman"/>
          <w:bCs/>
          <w:color w:val="000000" w:themeColor="text1"/>
          <w:kern w:val="0"/>
          <w:sz w:val="24"/>
          <w:szCs w:val="24"/>
        </w:rPr>
        <w:t>200mg/l</w:t>
      </w:r>
      <w:r>
        <w:rPr>
          <w:rFonts w:ascii="Times New Roman" w:eastAsia="宋体" w:hAnsi="Times New Roman" w:cs="Times New Roman"/>
          <w:bCs/>
          <w:color w:val="000000" w:themeColor="text1"/>
          <w:kern w:val="0"/>
          <w:sz w:val="24"/>
          <w:szCs w:val="24"/>
        </w:rPr>
        <w:t>；向非敏感区域直接排放时执行二级标准，氯化物不大于</w:t>
      </w:r>
      <w:r>
        <w:rPr>
          <w:rFonts w:ascii="Times New Roman" w:eastAsia="宋体" w:hAnsi="Times New Roman" w:cs="Times New Roman"/>
          <w:bCs/>
          <w:color w:val="000000" w:themeColor="text1"/>
          <w:kern w:val="0"/>
          <w:sz w:val="24"/>
          <w:szCs w:val="24"/>
        </w:rPr>
        <w:t>250mg/l</w:t>
      </w:r>
      <w:r>
        <w:rPr>
          <w:rFonts w:ascii="Times New Roman" w:eastAsia="宋体" w:hAnsi="Times New Roman" w:cs="Times New Roman"/>
          <w:bCs/>
          <w:color w:val="000000" w:themeColor="text1"/>
          <w:kern w:val="0"/>
          <w:sz w:val="24"/>
          <w:szCs w:val="24"/>
        </w:rPr>
        <w:t>；间接排放执行三级标准，氯化物不大于</w:t>
      </w:r>
      <w:r>
        <w:rPr>
          <w:rFonts w:ascii="Times New Roman" w:eastAsia="宋体" w:hAnsi="Times New Roman" w:cs="Times New Roman"/>
          <w:bCs/>
          <w:color w:val="000000" w:themeColor="text1"/>
          <w:kern w:val="0"/>
          <w:sz w:val="24"/>
          <w:szCs w:val="24"/>
        </w:rPr>
        <w:t>800mg/l</w:t>
      </w:r>
      <w:r>
        <w:rPr>
          <w:rFonts w:ascii="Times New Roman" w:eastAsia="宋体" w:hAnsi="Times New Roman" w:cs="Times New Roman"/>
          <w:bCs/>
          <w:color w:val="000000" w:themeColor="text1"/>
          <w:kern w:val="0"/>
          <w:sz w:val="24"/>
          <w:szCs w:val="24"/>
        </w:rPr>
        <w:t>。</w:t>
      </w:r>
    </w:p>
    <w:p w14:paraId="6B968551"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67" w:name="_Toc123229235"/>
      <w:bookmarkStart w:id="68" w:name="_Toc127171788"/>
      <w:r>
        <w:rPr>
          <w:rFonts w:ascii="Times New Roman" w:eastAsia="黑体" w:hAnsi="Times New Roman" w:cs="Times New Roman"/>
          <w:b/>
          <w:bCs/>
          <w:color w:val="000000" w:themeColor="text1"/>
          <w:sz w:val="28"/>
          <w:szCs w:val="32"/>
        </w:rPr>
        <w:t xml:space="preserve">5.3   </w:t>
      </w:r>
      <w:r>
        <w:rPr>
          <w:rFonts w:ascii="Times New Roman" w:eastAsia="黑体" w:hAnsi="Times New Roman" w:cs="Times New Roman"/>
          <w:b/>
          <w:bCs/>
          <w:color w:val="000000" w:themeColor="text1"/>
          <w:sz w:val="28"/>
          <w:szCs w:val="32"/>
        </w:rPr>
        <w:t>发生</w:t>
      </w:r>
      <w:bookmarkEnd w:id="67"/>
      <w:bookmarkEnd w:id="68"/>
    </w:p>
    <w:p w14:paraId="0885619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5.3.1  </w:t>
      </w:r>
      <w:r>
        <w:rPr>
          <w:rFonts w:ascii="Times New Roman" w:eastAsia="宋体" w:hAnsi="Times New Roman" w:cs="Times New Roman"/>
          <w:bCs/>
          <w:color w:val="000000" w:themeColor="text1"/>
          <w:kern w:val="0"/>
          <w:sz w:val="24"/>
          <w:szCs w:val="24"/>
        </w:rPr>
        <w:t>用于城镇供水设施的现场制备次氯酸钠系统的主机部分，是</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套通过电解槽电解一定浓度的食盐水来获得设定浓度的次氯酸钠溶液的消毒液发生装置，其</w:t>
      </w:r>
      <w:r>
        <w:rPr>
          <w:rFonts w:ascii="Times New Roman" w:eastAsia="宋体" w:hAnsi="Times New Roman" w:cs="Times New Roman"/>
          <w:bCs/>
          <w:color w:val="000000" w:themeColor="text1"/>
          <w:kern w:val="0"/>
          <w:sz w:val="24"/>
          <w:szCs w:val="24"/>
        </w:rPr>
        <w:lastRenderedPageBreak/>
        <w:t>评价指标通常为盐耗、电耗、有效氯制备量等。</w:t>
      </w:r>
    </w:p>
    <w:p w14:paraId="7FFDF715"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5.3.2  </w:t>
      </w:r>
      <w:r>
        <w:rPr>
          <w:rFonts w:ascii="Times New Roman" w:eastAsia="宋体" w:hAnsi="Times New Roman" w:cs="Times New Roman"/>
          <w:bCs/>
          <w:color w:val="000000" w:themeColor="text1"/>
          <w:kern w:val="0"/>
          <w:sz w:val="24"/>
          <w:szCs w:val="24"/>
        </w:rPr>
        <w:t>为确保发生系统安全性，故提出备用要求。</w:t>
      </w:r>
    </w:p>
    <w:p w14:paraId="4CFCCBE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5.3.4  </w:t>
      </w:r>
      <w:r>
        <w:rPr>
          <w:rFonts w:ascii="Times New Roman" w:eastAsia="宋体" w:hAnsi="Times New Roman" w:cs="Times New Roman"/>
          <w:bCs/>
          <w:color w:val="000000" w:themeColor="text1"/>
          <w:kern w:val="0"/>
          <w:sz w:val="24"/>
          <w:szCs w:val="24"/>
        </w:rPr>
        <w:t>整个发生过程要全自动运行，做到安全生产和无人值守。通过透明的电解槽和控制面版，能直观、便捷地了解发生器的运行状态。</w:t>
      </w:r>
    </w:p>
    <w:p w14:paraId="1928212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5.3.5  </w:t>
      </w:r>
      <w:r>
        <w:rPr>
          <w:rFonts w:ascii="Times New Roman" w:eastAsia="宋体" w:hAnsi="Times New Roman" w:cs="Times New Roman"/>
          <w:bCs/>
          <w:color w:val="000000" w:themeColor="text1"/>
          <w:kern w:val="0"/>
          <w:sz w:val="24"/>
          <w:szCs w:val="24"/>
        </w:rPr>
        <w:t>采用隔膜计量泵可以精确控制输送饱和食盐水溶液进入电</w:t>
      </w:r>
      <w:r>
        <w:rPr>
          <w:rFonts w:ascii="Times New Roman" w:eastAsia="宋体" w:hAnsi="Times New Roman" w:cs="Times New Roman"/>
          <w:bCs/>
          <w:color w:val="000000" w:themeColor="text1"/>
          <w:kern w:val="0"/>
          <w:sz w:val="24"/>
          <w:szCs w:val="24"/>
        </w:rPr>
        <w:t>解槽，且无论选择何种计量泵，须配备必要的管路附件如背压阀，安全阀等，以及急停按钮；一般选用带有备用泵的成套撬装计量泵组来泵送饱和食盐水溶液以方便现场的安装、使用、维护和管理。</w:t>
      </w:r>
    </w:p>
    <w:p w14:paraId="338BED9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5.3.6  </w:t>
      </w:r>
      <w:r>
        <w:rPr>
          <w:rFonts w:ascii="Times New Roman" w:eastAsia="宋体" w:hAnsi="Times New Roman" w:cs="Times New Roman"/>
          <w:bCs/>
          <w:color w:val="000000" w:themeColor="text1"/>
          <w:kern w:val="0"/>
          <w:sz w:val="24"/>
          <w:szCs w:val="24"/>
        </w:rPr>
        <w:t>该防护作用是双向的，既能防止电解槽内部液体的溅出，也可以隔断外界液体进入主反应区，具有双重的防护作用。</w:t>
      </w:r>
    </w:p>
    <w:p w14:paraId="1A279F3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5.3.7  </w:t>
      </w:r>
      <w:r>
        <w:rPr>
          <w:rFonts w:ascii="Times New Roman" w:eastAsia="宋体" w:hAnsi="Times New Roman" w:cs="Times New Roman"/>
          <w:bCs/>
          <w:color w:val="000000" w:themeColor="text1"/>
          <w:kern w:val="0"/>
          <w:sz w:val="24"/>
          <w:szCs w:val="24"/>
        </w:rPr>
        <w:t>尽可能减少现场发生器主要部件和管路的安装及连接工作，以避免因操作失误或手工误差等而导致的安全隐患。</w:t>
      </w:r>
    </w:p>
    <w:p w14:paraId="7D12D7A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5.3.8  </w:t>
      </w:r>
      <w:r>
        <w:rPr>
          <w:rFonts w:ascii="Times New Roman" w:eastAsia="宋体" w:hAnsi="Times New Roman" w:cs="Times New Roman"/>
          <w:bCs/>
          <w:color w:val="000000" w:themeColor="text1"/>
          <w:kern w:val="0"/>
          <w:sz w:val="24"/>
          <w:szCs w:val="24"/>
        </w:rPr>
        <w:t>发生装置的电解电极和出液管路，在通过优化的设计和得到认证的工程技术措施后，保证氢气不会在发</w:t>
      </w:r>
      <w:r>
        <w:rPr>
          <w:rFonts w:ascii="Times New Roman" w:eastAsia="宋体" w:hAnsi="Times New Roman" w:cs="Times New Roman"/>
          <w:bCs/>
          <w:color w:val="000000" w:themeColor="text1"/>
          <w:kern w:val="0"/>
          <w:sz w:val="24"/>
          <w:szCs w:val="24"/>
        </w:rPr>
        <w:t>生装置的任何部位积聚，这种优化设计包括足够数量的传感器或其他监测装置被安装于正确的地方。</w:t>
      </w:r>
    </w:p>
    <w:p w14:paraId="56E79B4C"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5.3.9  </w:t>
      </w:r>
      <w:r>
        <w:rPr>
          <w:rFonts w:ascii="Times New Roman" w:eastAsia="宋体" w:hAnsi="Times New Roman" w:cs="Times New Roman"/>
          <w:bCs/>
          <w:color w:val="000000" w:themeColor="text1"/>
          <w:kern w:val="0"/>
          <w:sz w:val="24"/>
          <w:szCs w:val="24"/>
        </w:rPr>
        <w:t>根据</w:t>
      </w:r>
      <w:r>
        <w:rPr>
          <w:rFonts w:ascii="Times New Roman" w:eastAsia="宋体" w:hAnsi="Times New Roman" w:cs="Times New Roman" w:hint="eastAsia"/>
          <w:bCs/>
          <w:color w:val="000000" w:themeColor="text1"/>
          <w:kern w:val="0"/>
          <w:sz w:val="24"/>
          <w:szCs w:val="24"/>
        </w:rPr>
        <w:t>现行国家标准</w:t>
      </w:r>
      <w:r>
        <w:rPr>
          <w:rFonts w:ascii="Times New Roman" w:eastAsia="宋体" w:hAnsi="Times New Roman" w:cs="Times New Roman"/>
          <w:bCs/>
          <w:color w:val="000000" w:themeColor="text1"/>
          <w:kern w:val="0"/>
          <w:sz w:val="24"/>
          <w:szCs w:val="24"/>
        </w:rPr>
        <w:t>《氢气使用安全技术规程》</w:t>
      </w:r>
      <w:r>
        <w:rPr>
          <w:rFonts w:ascii="Times New Roman" w:eastAsia="宋体" w:hAnsi="Times New Roman" w:cs="Times New Roman"/>
          <w:bCs/>
          <w:color w:val="000000" w:themeColor="text1"/>
          <w:kern w:val="0"/>
          <w:sz w:val="24"/>
          <w:szCs w:val="24"/>
        </w:rPr>
        <w:t>GB4962</w:t>
      </w:r>
      <w:r>
        <w:rPr>
          <w:rFonts w:ascii="Times New Roman" w:eastAsia="宋体" w:hAnsi="Times New Roman" w:cs="Times New Roman"/>
          <w:bCs/>
          <w:color w:val="000000" w:themeColor="text1"/>
          <w:kern w:val="0"/>
          <w:sz w:val="24"/>
          <w:szCs w:val="24"/>
        </w:rPr>
        <w:t>，采用机械通风的建筑物，进风口要设在建筑物下方，排风口设在上方。</w:t>
      </w:r>
    </w:p>
    <w:p w14:paraId="0E3DA20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5.3.10  </w:t>
      </w:r>
      <w:r>
        <w:rPr>
          <w:rFonts w:ascii="Times New Roman" w:eastAsia="宋体" w:hAnsi="Times New Roman" w:cs="Times New Roman"/>
          <w:bCs/>
          <w:color w:val="000000" w:themeColor="text1"/>
          <w:kern w:val="0"/>
          <w:sz w:val="24"/>
          <w:szCs w:val="24"/>
        </w:rPr>
        <w:t>为确保安全生产，发生器要设取样口，便于检测样品浓度等指标。同时，发生装置要具有便于设置、操作和读取的人机界面，并具有远传通讯功能，能在传感器检测到异样时迅速反应，及时应对。整流装置、盐水进料泵组、电解装置、产品溶液罐的流量、液位、温度等工作状态要能在人机界面上得到显示，并且</w:t>
      </w:r>
      <w:r>
        <w:rPr>
          <w:rFonts w:ascii="Times New Roman" w:eastAsia="宋体" w:hAnsi="Times New Roman" w:cs="Times New Roman"/>
          <w:bCs/>
          <w:color w:val="000000" w:themeColor="text1"/>
          <w:kern w:val="0"/>
          <w:sz w:val="24"/>
          <w:szCs w:val="24"/>
        </w:rPr>
        <w:t>能通过其内部预设逻辑自动控制发生装置的运行；软水、盐水要监测流量并确保自动稀释配比，保证稳定的制备浓度，从而保证整个发生系统无安全隐患。</w:t>
      </w:r>
    </w:p>
    <w:p w14:paraId="6D7DC433"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69" w:name="_Toc123229236"/>
      <w:bookmarkStart w:id="70" w:name="_Toc127171789"/>
      <w:r>
        <w:rPr>
          <w:rFonts w:ascii="Times New Roman" w:eastAsia="黑体" w:hAnsi="Times New Roman" w:cs="Times New Roman"/>
          <w:b/>
          <w:bCs/>
          <w:color w:val="000000" w:themeColor="text1"/>
          <w:sz w:val="28"/>
          <w:szCs w:val="32"/>
        </w:rPr>
        <w:t xml:space="preserve">5.4   </w:t>
      </w:r>
      <w:r>
        <w:rPr>
          <w:rFonts w:ascii="Times New Roman" w:eastAsia="黑体" w:hAnsi="Times New Roman" w:cs="Times New Roman"/>
          <w:b/>
          <w:bCs/>
          <w:color w:val="000000" w:themeColor="text1"/>
          <w:sz w:val="28"/>
          <w:szCs w:val="32"/>
        </w:rPr>
        <w:t>储存</w:t>
      </w:r>
      <w:bookmarkEnd w:id="69"/>
      <w:bookmarkEnd w:id="70"/>
    </w:p>
    <w:p w14:paraId="0CDCDAA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5.4.1  </w:t>
      </w:r>
      <w:r>
        <w:rPr>
          <w:rFonts w:ascii="Times New Roman" w:eastAsia="宋体" w:hAnsi="Times New Roman" w:cs="Times New Roman"/>
          <w:bCs/>
          <w:color w:val="000000" w:themeColor="text1"/>
          <w:kern w:val="0"/>
          <w:sz w:val="24"/>
          <w:szCs w:val="24"/>
        </w:rPr>
        <w:t>为便于储存，减少降解带来的有效氯损失，现场制备的次氯酸钠溶液浓度要尽可能低。有研究表明，当次氯酸钠浓度为</w:t>
      </w:r>
      <w:r>
        <w:rPr>
          <w:rFonts w:ascii="Times New Roman" w:eastAsia="宋体" w:hAnsi="Times New Roman" w:cs="Times New Roman"/>
          <w:bCs/>
          <w:color w:val="000000" w:themeColor="text1"/>
          <w:kern w:val="0"/>
          <w:sz w:val="24"/>
          <w:szCs w:val="24"/>
        </w:rPr>
        <w:t>10%</w:t>
      </w:r>
      <w:r>
        <w:rPr>
          <w:rFonts w:ascii="Times New Roman" w:eastAsia="宋体" w:hAnsi="Times New Roman" w:cs="Times New Roman"/>
          <w:bCs/>
          <w:color w:val="000000" w:themeColor="text1"/>
          <w:kern w:val="0"/>
          <w:sz w:val="24"/>
          <w:szCs w:val="24"/>
        </w:rPr>
        <w:t>时，其浓度每天下降约</w:t>
      </w:r>
      <w:r>
        <w:rPr>
          <w:rFonts w:ascii="Times New Roman" w:eastAsia="宋体" w:hAnsi="Times New Roman" w:cs="Times New Roman"/>
          <w:bCs/>
          <w:color w:val="000000" w:themeColor="text1"/>
          <w:kern w:val="0"/>
          <w:sz w:val="24"/>
          <w:szCs w:val="24"/>
        </w:rPr>
        <w:t>0.12%</w:t>
      </w:r>
      <w:r>
        <w:rPr>
          <w:rFonts w:ascii="Times New Roman" w:eastAsia="宋体" w:hAnsi="Times New Roman" w:cs="Times New Roman"/>
          <w:bCs/>
          <w:color w:val="000000" w:themeColor="text1"/>
          <w:kern w:val="0"/>
          <w:sz w:val="24"/>
          <w:szCs w:val="24"/>
        </w:rPr>
        <w:t>，当次氯酸钠溶液浓度为</w:t>
      </w:r>
      <w:r>
        <w:rPr>
          <w:rFonts w:ascii="Times New Roman" w:eastAsia="宋体" w:hAnsi="Times New Roman" w:cs="Times New Roman"/>
          <w:bCs/>
          <w:color w:val="000000" w:themeColor="text1"/>
          <w:kern w:val="0"/>
          <w:sz w:val="24"/>
          <w:szCs w:val="24"/>
        </w:rPr>
        <w:t>5%</w:t>
      </w:r>
      <w:r>
        <w:rPr>
          <w:rFonts w:ascii="Times New Roman" w:eastAsia="宋体" w:hAnsi="Times New Roman" w:cs="Times New Roman"/>
          <w:bCs/>
          <w:color w:val="000000" w:themeColor="text1"/>
          <w:kern w:val="0"/>
          <w:sz w:val="24"/>
          <w:szCs w:val="24"/>
        </w:rPr>
        <w:t>时，其浓度衰减速率大约为浓度每天下降</w:t>
      </w:r>
      <w:r>
        <w:rPr>
          <w:rFonts w:ascii="Times New Roman" w:eastAsia="宋体" w:hAnsi="Times New Roman" w:cs="Times New Roman"/>
          <w:bCs/>
          <w:color w:val="000000" w:themeColor="text1"/>
          <w:kern w:val="0"/>
          <w:sz w:val="24"/>
          <w:szCs w:val="24"/>
        </w:rPr>
        <w:t>0.0125%</w:t>
      </w:r>
      <w:r>
        <w:rPr>
          <w:rFonts w:ascii="Times New Roman" w:eastAsia="宋体" w:hAnsi="Times New Roman" w:cs="Times New Roman"/>
          <w:bCs/>
          <w:color w:val="000000" w:themeColor="text1"/>
          <w:kern w:val="0"/>
          <w:sz w:val="24"/>
          <w:szCs w:val="24"/>
        </w:rPr>
        <w:t>，而当浓度小于</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时，可以认为避光常温保存其浓度基本不再损失。</w:t>
      </w:r>
    </w:p>
    <w:p w14:paraId="0FBE0C5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5.4.2 </w:t>
      </w:r>
      <w:r>
        <w:rPr>
          <w:rFonts w:ascii="Times New Roman" w:eastAsia="宋体" w:hAnsi="Times New Roman" w:cs="Times New Roman"/>
          <w:bCs/>
          <w:color w:val="000000" w:themeColor="text1"/>
          <w:kern w:val="0"/>
          <w:sz w:val="24"/>
          <w:szCs w:val="24"/>
        </w:rPr>
        <w:t>电解食盐水的方程式：</w:t>
      </w:r>
    </w:p>
    <w:p w14:paraId="08EB67BB"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lastRenderedPageBreak/>
        <w:t>阳极反应：</w:t>
      </w:r>
      <w:r>
        <w:rPr>
          <w:rFonts w:ascii="Times New Roman" w:eastAsia="宋体" w:hAnsi="Times New Roman" w:cs="Times New Roman"/>
          <w:bCs/>
          <w:color w:val="000000" w:themeColor="text1"/>
          <w:kern w:val="0"/>
          <w:sz w:val="24"/>
          <w:szCs w:val="24"/>
        </w:rPr>
        <w:t>2Cl--2e-=Cl</w:t>
      </w:r>
      <w:r>
        <w:rPr>
          <w:rFonts w:ascii="Times New Roman" w:eastAsia="宋体" w:hAnsi="Times New Roman" w:cs="Times New Roman"/>
          <w:bCs/>
          <w:color w:val="000000" w:themeColor="text1"/>
          <w:kern w:val="0"/>
          <w:sz w:val="24"/>
          <w:szCs w:val="24"/>
          <w:vertAlign w:val="subscript"/>
        </w:rPr>
        <w:t>2</w:t>
      </w:r>
      <w:r>
        <w:rPr>
          <w:rFonts w:ascii="Times New Roman" w:eastAsia="宋体" w:hAnsi="Times New Roman" w:cs="Times New Roman"/>
          <w:bCs/>
          <w:color w:val="000000" w:themeColor="text1"/>
          <w:kern w:val="0"/>
          <w:sz w:val="24"/>
          <w:szCs w:val="24"/>
        </w:rPr>
        <w:t>↑(</w:t>
      </w:r>
      <w:hyperlink r:id="rId12" w:tgtFrame="_blank" w:history="1">
        <w:r>
          <w:rPr>
            <w:rFonts w:ascii="Times New Roman" w:eastAsia="宋体" w:hAnsi="Times New Roman" w:cs="Times New Roman"/>
            <w:bCs/>
            <w:color w:val="000000" w:themeColor="text1"/>
            <w:kern w:val="0"/>
            <w:sz w:val="24"/>
            <w:szCs w:val="24"/>
          </w:rPr>
          <w:t>氧化反应</w:t>
        </w:r>
      </w:hyperlink>
      <w:r>
        <w:rPr>
          <w:rFonts w:ascii="Times New Roman" w:eastAsia="宋体" w:hAnsi="Times New Roman" w:cs="Times New Roman"/>
          <w:bCs/>
          <w:color w:val="000000" w:themeColor="text1"/>
          <w:kern w:val="0"/>
          <w:sz w:val="24"/>
          <w:szCs w:val="24"/>
        </w:rPr>
        <w:t>)</w:t>
      </w:r>
    </w:p>
    <w:p w14:paraId="49F71E6A"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阴极反应：</w:t>
      </w:r>
      <w:r>
        <w:rPr>
          <w:rFonts w:ascii="Times New Roman" w:eastAsia="宋体" w:hAnsi="Times New Roman" w:cs="Times New Roman"/>
          <w:bCs/>
          <w:color w:val="000000" w:themeColor="text1"/>
          <w:kern w:val="0"/>
          <w:sz w:val="24"/>
          <w:szCs w:val="24"/>
        </w:rPr>
        <w:t>2H++2e-=H</w:t>
      </w:r>
      <w:r>
        <w:rPr>
          <w:rFonts w:ascii="Times New Roman" w:eastAsia="宋体" w:hAnsi="Times New Roman" w:cs="Times New Roman"/>
          <w:bCs/>
          <w:color w:val="000000" w:themeColor="text1"/>
          <w:kern w:val="0"/>
          <w:sz w:val="24"/>
          <w:szCs w:val="24"/>
          <w:vertAlign w:val="subscript"/>
        </w:rPr>
        <w:t>2</w:t>
      </w:r>
      <w:r>
        <w:rPr>
          <w:rFonts w:ascii="Times New Roman" w:eastAsia="宋体" w:hAnsi="Times New Roman" w:cs="Times New Roman"/>
          <w:bCs/>
          <w:color w:val="000000" w:themeColor="text1"/>
          <w:kern w:val="0"/>
          <w:sz w:val="24"/>
          <w:szCs w:val="24"/>
        </w:rPr>
        <w:t>↑(</w:t>
      </w:r>
      <w:hyperlink r:id="rId13" w:tgtFrame="_blank" w:history="1">
        <w:r>
          <w:rPr>
            <w:rFonts w:ascii="Times New Roman" w:eastAsia="宋体" w:hAnsi="Times New Roman" w:cs="Times New Roman"/>
            <w:bCs/>
            <w:color w:val="000000" w:themeColor="text1"/>
            <w:kern w:val="0"/>
            <w:sz w:val="24"/>
            <w:szCs w:val="24"/>
          </w:rPr>
          <w:t>还原反应</w:t>
        </w:r>
      </w:hyperlink>
      <w:r>
        <w:rPr>
          <w:rFonts w:ascii="Times New Roman" w:eastAsia="宋体" w:hAnsi="Times New Roman" w:cs="Times New Roman"/>
          <w:bCs/>
          <w:color w:val="000000" w:themeColor="text1"/>
          <w:kern w:val="0"/>
          <w:sz w:val="24"/>
          <w:szCs w:val="24"/>
        </w:rPr>
        <w:t>)</w:t>
      </w:r>
    </w:p>
    <w:p w14:paraId="2856AC2A"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2NaCl + 2H</w:t>
      </w:r>
      <w:r>
        <w:rPr>
          <w:rFonts w:ascii="Times New Roman" w:eastAsia="宋体" w:hAnsi="Times New Roman" w:cs="Times New Roman"/>
          <w:bCs/>
          <w:color w:val="000000" w:themeColor="text1"/>
          <w:kern w:val="0"/>
          <w:sz w:val="24"/>
          <w:szCs w:val="24"/>
          <w:vertAlign w:val="subscript"/>
        </w:rPr>
        <w:t>2</w:t>
      </w:r>
      <w:r>
        <w:rPr>
          <w:rFonts w:ascii="Times New Roman" w:eastAsia="宋体" w:hAnsi="Times New Roman" w:cs="Times New Roman"/>
          <w:bCs/>
          <w:color w:val="000000" w:themeColor="text1"/>
          <w:kern w:val="0"/>
          <w:sz w:val="24"/>
          <w:szCs w:val="24"/>
        </w:rPr>
        <w:t>O =</w:t>
      </w:r>
      <w:r>
        <w:rPr>
          <w:rFonts w:ascii="Times New Roman" w:eastAsia="宋体" w:hAnsi="Times New Roman" w:cs="Times New Roman"/>
          <w:bCs/>
          <w:color w:val="000000" w:themeColor="text1"/>
          <w:kern w:val="0"/>
          <w:sz w:val="24"/>
          <w:szCs w:val="24"/>
        </w:rPr>
        <w:t>电解</w:t>
      </w:r>
      <w:r>
        <w:rPr>
          <w:rFonts w:ascii="Times New Roman" w:eastAsia="宋体" w:hAnsi="Times New Roman" w:cs="Times New Roman"/>
          <w:bCs/>
          <w:color w:val="000000" w:themeColor="text1"/>
          <w:kern w:val="0"/>
          <w:sz w:val="24"/>
          <w:szCs w:val="24"/>
        </w:rPr>
        <w:t>= 2NaOH + H</w:t>
      </w:r>
      <w:r>
        <w:rPr>
          <w:rFonts w:ascii="Times New Roman" w:eastAsia="宋体" w:hAnsi="Times New Roman" w:cs="Times New Roman"/>
          <w:bCs/>
          <w:color w:val="000000" w:themeColor="text1"/>
          <w:kern w:val="0"/>
          <w:sz w:val="24"/>
          <w:szCs w:val="24"/>
          <w:vertAlign w:val="subscript"/>
        </w:rPr>
        <w:t>2</w:t>
      </w:r>
      <w:r>
        <w:rPr>
          <w:rFonts w:ascii="Times New Roman" w:eastAsia="宋体" w:hAnsi="Times New Roman" w:cs="Times New Roman"/>
          <w:bCs/>
          <w:color w:val="000000" w:themeColor="text1"/>
          <w:kern w:val="0"/>
          <w:sz w:val="24"/>
          <w:szCs w:val="24"/>
        </w:rPr>
        <w:t>↑ + Cl</w:t>
      </w:r>
      <w:r>
        <w:rPr>
          <w:rFonts w:ascii="Times New Roman" w:eastAsia="宋体" w:hAnsi="Times New Roman" w:cs="Times New Roman"/>
          <w:bCs/>
          <w:color w:val="000000" w:themeColor="text1"/>
          <w:kern w:val="0"/>
          <w:sz w:val="24"/>
          <w:szCs w:val="24"/>
          <w:vertAlign w:val="subscript"/>
        </w:rPr>
        <w:t>2</w:t>
      </w:r>
      <w:r>
        <w:rPr>
          <w:rFonts w:ascii="Times New Roman" w:eastAsia="宋体" w:hAnsi="Times New Roman" w:cs="Times New Roman"/>
          <w:bCs/>
          <w:color w:val="000000" w:themeColor="text1"/>
          <w:kern w:val="0"/>
          <w:sz w:val="24"/>
          <w:szCs w:val="24"/>
        </w:rPr>
        <w:t>↑</w:t>
      </w:r>
    </w:p>
    <w:p w14:paraId="20179111" w14:textId="77777777" w:rsidR="00E269CD" w:rsidRDefault="00E13E3E">
      <w:pPr>
        <w:spacing w:line="360" w:lineRule="auto"/>
        <w:ind w:firstLineChars="177" w:firstLine="425"/>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因此，在电解产生的次氯酸钠溶液中含有氢气和氯气。</w:t>
      </w:r>
    </w:p>
    <w:p w14:paraId="4324E96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5.4.3  </w:t>
      </w:r>
      <w:r>
        <w:rPr>
          <w:rFonts w:ascii="Times New Roman" w:eastAsia="宋体" w:hAnsi="Times New Roman" w:cs="Times New Roman"/>
          <w:bCs/>
          <w:color w:val="000000" w:themeColor="text1"/>
          <w:kern w:val="0"/>
          <w:sz w:val="24"/>
          <w:szCs w:val="24"/>
        </w:rPr>
        <w:t>在发生器出液管路之后配备</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个产品溶液罐用于储存制备产生的次氯酸钠溶液；可使用转运泵将次氯酸钠溶液从产品溶</w:t>
      </w:r>
      <w:r>
        <w:rPr>
          <w:rFonts w:ascii="Times New Roman" w:eastAsia="宋体" w:hAnsi="Times New Roman" w:cs="Times New Roman"/>
          <w:bCs/>
          <w:color w:val="000000" w:themeColor="text1"/>
          <w:kern w:val="0"/>
          <w:sz w:val="24"/>
          <w:szCs w:val="24"/>
        </w:rPr>
        <w:t>液罐移至储液罐或储液池；产品溶液罐和储液罐应设液位监测、液位保护和泄漏监测；一般在产品溶液罐和储液罐外设置挡水围堰，并在挡水围堰内设置泄露传感器。</w:t>
      </w:r>
    </w:p>
    <w:p w14:paraId="7A1BF9E6"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5.4.5   </w:t>
      </w:r>
      <w:r>
        <w:rPr>
          <w:rFonts w:ascii="Times New Roman" w:eastAsia="宋体" w:hAnsi="Times New Roman" w:cs="Times New Roman"/>
          <w:bCs/>
          <w:color w:val="000000" w:themeColor="text1"/>
          <w:kern w:val="0"/>
          <w:sz w:val="24"/>
          <w:szCs w:val="24"/>
        </w:rPr>
        <w:t>防止氢气在溶液罐内积聚，需要使用强制通风装置，并监测强制通风风量，必要时，设置备用强制通风装置。</w:t>
      </w:r>
    </w:p>
    <w:p w14:paraId="1E4EDDB3"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71" w:name="_Toc127171790"/>
      <w:bookmarkStart w:id="72" w:name="_Toc123229237"/>
      <w:r>
        <w:rPr>
          <w:rFonts w:ascii="Times New Roman" w:eastAsia="黑体" w:hAnsi="Times New Roman" w:cs="Times New Roman"/>
          <w:b/>
          <w:bCs/>
          <w:color w:val="000000" w:themeColor="text1"/>
          <w:sz w:val="28"/>
          <w:szCs w:val="32"/>
        </w:rPr>
        <w:t xml:space="preserve">5.6  </w:t>
      </w:r>
      <w:r>
        <w:rPr>
          <w:rFonts w:ascii="Times New Roman" w:eastAsia="黑体" w:hAnsi="Times New Roman" w:cs="Times New Roman"/>
          <w:b/>
          <w:bCs/>
          <w:color w:val="000000" w:themeColor="text1"/>
          <w:sz w:val="28"/>
          <w:szCs w:val="32"/>
        </w:rPr>
        <w:t>检测和控制</w:t>
      </w:r>
      <w:bookmarkEnd w:id="71"/>
      <w:bookmarkEnd w:id="72"/>
    </w:p>
    <w:p w14:paraId="529BDA4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5.6.5  </w:t>
      </w:r>
      <w:r>
        <w:rPr>
          <w:rFonts w:ascii="Times New Roman" w:eastAsia="宋体" w:hAnsi="Times New Roman" w:cs="Times New Roman"/>
          <w:bCs/>
          <w:color w:val="000000" w:themeColor="text1"/>
          <w:kern w:val="0"/>
          <w:sz w:val="24"/>
          <w:szCs w:val="24"/>
        </w:rPr>
        <w:t>温度对电解制备次氯酸钠的过程尤为重要。温度过低，将影响制备效率，使制备出来的成品次氯酸钠溶液达不到设定浓度，进而可能影响到后续的消毒效果。温度过低，则电解槽内容易诱发副反应，同样影响有效氯的生产。</w:t>
      </w:r>
    </w:p>
    <w:p w14:paraId="401246E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5.6.6  </w:t>
      </w:r>
      <w:r>
        <w:rPr>
          <w:rFonts w:ascii="Times New Roman" w:eastAsia="宋体" w:hAnsi="Times New Roman" w:cs="Times New Roman"/>
          <w:bCs/>
          <w:color w:val="000000" w:themeColor="text1"/>
          <w:kern w:val="0"/>
          <w:sz w:val="24"/>
          <w:szCs w:val="24"/>
        </w:rPr>
        <w:t>根</w:t>
      </w:r>
      <w:r>
        <w:rPr>
          <w:rFonts w:ascii="Times New Roman" w:eastAsia="宋体" w:hAnsi="Times New Roman" w:cs="Times New Roman"/>
          <w:bCs/>
          <w:color w:val="000000" w:themeColor="text1"/>
          <w:kern w:val="0"/>
          <w:sz w:val="24"/>
          <w:szCs w:val="24"/>
        </w:rPr>
        <w:t>据</w:t>
      </w:r>
      <w:r>
        <w:rPr>
          <w:rFonts w:ascii="Times New Roman" w:eastAsia="宋体" w:hAnsi="Times New Roman" w:cs="Times New Roman" w:hint="eastAsia"/>
          <w:bCs/>
          <w:color w:val="000000" w:themeColor="text1"/>
          <w:kern w:val="0"/>
          <w:sz w:val="24"/>
          <w:szCs w:val="24"/>
        </w:rPr>
        <w:t>现行国家标准</w:t>
      </w:r>
      <w:r>
        <w:rPr>
          <w:rFonts w:ascii="Times New Roman" w:eastAsia="宋体" w:hAnsi="Times New Roman" w:cs="Times New Roman"/>
          <w:bCs/>
          <w:color w:val="000000" w:themeColor="text1"/>
          <w:kern w:val="0"/>
          <w:sz w:val="24"/>
          <w:szCs w:val="24"/>
        </w:rPr>
        <w:t>《氢气使用安全技术规程》</w:t>
      </w:r>
      <w:r>
        <w:rPr>
          <w:rFonts w:ascii="Times New Roman" w:eastAsia="宋体" w:hAnsi="Times New Roman" w:cs="Times New Roman"/>
          <w:bCs/>
          <w:color w:val="000000" w:themeColor="text1"/>
          <w:kern w:val="0"/>
          <w:sz w:val="24"/>
          <w:szCs w:val="24"/>
        </w:rPr>
        <w:t>GB4962</w:t>
      </w:r>
      <w:r>
        <w:rPr>
          <w:rFonts w:ascii="Times New Roman" w:eastAsia="宋体" w:hAnsi="Times New Roman" w:cs="Times New Roman"/>
          <w:bCs/>
          <w:color w:val="000000" w:themeColor="text1"/>
          <w:kern w:val="0"/>
          <w:sz w:val="24"/>
          <w:szCs w:val="24"/>
        </w:rPr>
        <w:t>，氢气有可能积聚处或氢气浓度可能增加处一般设置固定式可燃气体检测报警仪，可燃气体检测报警仪设在监测点</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释放源</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上方或厂房顶端，其安装高度一般高出释放源</w:t>
      </w:r>
      <w:r>
        <w:rPr>
          <w:rFonts w:ascii="Times New Roman" w:eastAsia="宋体" w:hAnsi="Times New Roman" w:cs="Times New Roman"/>
          <w:bCs/>
          <w:color w:val="000000" w:themeColor="text1"/>
          <w:kern w:val="0"/>
          <w:sz w:val="24"/>
          <w:szCs w:val="24"/>
        </w:rPr>
        <w:t>0.5 m~2 m</w:t>
      </w:r>
      <w:r>
        <w:rPr>
          <w:rFonts w:ascii="Times New Roman" w:eastAsia="宋体" w:hAnsi="Times New Roman" w:cs="Times New Roman"/>
          <w:bCs/>
          <w:color w:val="000000" w:themeColor="text1"/>
          <w:kern w:val="0"/>
          <w:sz w:val="24"/>
          <w:szCs w:val="24"/>
        </w:rPr>
        <w:t>且周围留有不小于</w:t>
      </w:r>
      <w:r>
        <w:rPr>
          <w:rFonts w:ascii="Times New Roman" w:eastAsia="宋体" w:hAnsi="Times New Roman" w:cs="Times New Roman"/>
          <w:bCs/>
          <w:color w:val="000000" w:themeColor="text1"/>
          <w:kern w:val="0"/>
          <w:sz w:val="24"/>
          <w:szCs w:val="24"/>
        </w:rPr>
        <w:t>0.3 m</w:t>
      </w:r>
      <w:r>
        <w:rPr>
          <w:rFonts w:ascii="Times New Roman" w:eastAsia="宋体" w:hAnsi="Times New Roman" w:cs="Times New Roman"/>
          <w:bCs/>
          <w:color w:val="000000" w:themeColor="text1"/>
          <w:kern w:val="0"/>
          <w:sz w:val="24"/>
          <w:szCs w:val="24"/>
        </w:rPr>
        <w:t>的净空，以便对氢气浓度进行监测。可燃气体检测报警仪的有效覆盖水平平面半径，室内建议为</w:t>
      </w:r>
      <w:r>
        <w:rPr>
          <w:rFonts w:ascii="Times New Roman" w:eastAsia="宋体" w:hAnsi="Times New Roman" w:cs="Times New Roman"/>
          <w:bCs/>
          <w:color w:val="000000" w:themeColor="text1"/>
          <w:kern w:val="0"/>
          <w:sz w:val="24"/>
          <w:szCs w:val="24"/>
        </w:rPr>
        <w:t>7.5 m</w:t>
      </w:r>
      <w:r>
        <w:rPr>
          <w:rFonts w:ascii="Times New Roman" w:eastAsia="宋体" w:hAnsi="Times New Roman" w:cs="Times New Roman"/>
          <w:bCs/>
          <w:color w:val="000000" w:themeColor="text1"/>
          <w:kern w:val="0"/>
          <w:sz w:val="24"/>
          <w:szCs w:val="24"/>
        </w:rPr>
        <w:t>，室外建议为</w:t>
      </w:r>
      <w:r>
        <w:rPr>
          <w:rFonts w:ascii="Times New Roman" w:eastAsia="宋体" w:hAnsi="Times New Roman" w:cs="Times New Roman"/>
          <w:bCs/>
          <w:color w:val="000000" w:themeColor="text1"/>
          <w:kern w:val="0"/>
          <w:sz w:val="24"/>
          <w:szCs w:val="24"/>
        </w:rPr>
        <w:t>15 m</w:t>
      </w:r>
      <w:r>
        <w:rPr>
          <w:rFonts w:ascii="Times New Roman" w:eastAsia="宋体" w:hAnsi="Times New Roman" w:cs="Times New Roman"/>
          <w:bCs/>
          <w:color w:val="000000" w:themeColor="text1"/>
          <w:kern w:val="0"/>
          <w:sz w:val="24"/>
          <w:szCs w:val="24"/>
        </w:rPr>
        <w:t>。</w:t>
      </w:r>
    </w:p>
    <w:p w14:paraId="1837466B"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5.6.10  </w:t>
      </w:r>
      <w:r>
        <w:rPr>
          <w:rFonts w:ascii="Times New Roman" w:eastAsia="宋体" w:hAnsi="Times New Roman" w:cs="Times New Roman"/>
          <w:bCs/>
          <w:color w:val="000000" w:themeColor="text1"/>
          <w:kern w:val="0"/>
          <w:sz w:val="24"/>
          <w:szCs w:val="24"/>
        </w:rPr>
        <w:t>现场制备次氯酸钠系统的设计和制造需要获得相关权威的安全认证，以确保用户在现场按要求触碰发生器外表面的任一部位都足够安全。</w:t>
      </w:r>
    </w:p>
    <w:p w14:paraId="1B952E5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与氢气相关的</w:t>
      </w:r>
      <w:r>
        <w:rPr>
          <w:rFonts w:ascii="Times New Roman" w:eastAsia="宋体" w:hAnsi="Times New Roman" w:cs="Times New Roman"/>
          <w:bCs/>
          <w:color w:val="000000" w:themeColor="text1"/>
          <w:kern w:val="0"/>
          <w:sz w:val="24"/>
          <w:szCs w:val="24"/>
        </w:rPr>
        <w:t>所有电气设备要有防静电接地装置，定期检测接地电阻，每年至少检测一次。</w:t>
      </w:r>
    </w:p>
    <w:p w14:paraId="451EC326" w14:textId="77777777" w:rsidR="00E269CD" w:rsidRDefault="00E269CD">
      <w:pPr>
        <w:spacing w:line="360" w:lineRule="auto"/>
        <w:ind w:firstLineChars="200" w:firstLine="560"/>
        <w:rPr>
          <w:rFonts w:ascii="Times New Roman" w:eastAsia="宋体" w:hAnsi="Times New Roman" w:cs="Times New Roman"/>
          <w:bCs/>
          <w:color w:val="000000" w:themeColor="text1"/>
          <w:kern w:val="0"/>
          <w:sz w:val="28"/>
          <w:szCs w:val="24"/>
        </w:rPr>
      </w:pPr>
    </w:p>
    <w:p w14:paraId="48316DF5" w14:textId="77777777" w:rsidR="00E269CD" w:rsidRDefault="00E13E3E">
      <w:pPr>
        <w:keepNext/>
        <w:keepLines/>
        <w:spacing w:line="360" w:lineRule="auto"/>
        <w:jc w:val="center"/>
        <w:outlineLvl w:val="0"/>
        <w:rPr>
          <w:rFonts w:ascii="Times New Roman" w:hAnsi="Times New Roman" w:cs="Times New Roman"/>
          <w:color w:val="000000" w:themeColor="text1"/>
        </w:rPr>
      </w:pPr>
      <w:bookmarkStart w:id="73" w:name="_Toc123229239"/>
      <w:bookmarkStart w:id="74" w:name="_Toc127171791"/>
      <w:r>
        <w:rPr>
          <w:rFonts w:ascii="Times New Roman" w:hAnsi="Times New Roman" w:cs="Times New Roman"/>
          <w:b/>
          <w:bCs/>
          <w:color w:val="000000" w:themeColor="text1"/>
          <w:kern w:val="44"/>
          <w:sz w:val="30"/>
          <w:szCs w:val="44"/>
        </w:rPr>
        <w:t xml:space="preserve">7. </w:t>
      </w:r>
      <w:r>
        <w:rPr>
          <w:rFonts w:ascii="Times New Roman" w:hAnsi="Times New Roman" w:cs="Times New Roman"/>
          <w:b/>
          <w:bCs/>
          <w:color w:val="000000" w:themeColor="text1"/>
          <w:kern w:val="44"/>
          <w:sz w:val="30"/>
          <w:szCs w:val="44"/>
        </w:rPr>
        <w:t>施工和验收</w:t>
      </w:r>
      <w:bookmarkEnd w:id="73"/>
      <w:bookmarkEnd w:id="74"/>
    </w:p>
    <w:p w14:paraId="2B543216" w14:textId="77777777" w:rsidR="00E269CD" w:rsidRDefault="00E13E3E">
      <w:pPr>
        <w:keepNext/>
        <w:keepLines/>
        <w:spacing w:line="360" w:lineRule="auto"/>
        <w:jc w:val="center"/>
        <w:outlineLvl w:val="0"/>
        <w:rPr>
          <w:rFonts w:ascii="Times New Roman" w:hAnsi="Times New Roman" w:cs="Times New Roman"/>
          <w:bCs/>
          <w:color w:val="000000" w:themeColor="text1"/>
          <w:sz w:val="28"/>
          <w:szCs w:val="28"/>
        </w:rPr>
      </w:pPr>
      <w:bookmarkStart w:id="75" w:name="_Toc127171792"/>
      <w:r>
        <w:rPr>
          <w:rFonts w:ascii="Times New Roman" w:eastAsia="黑体" w:hAnsi="Times New Roman" w:cs="Times New Roman"/>
          <w:b/>
          <w:bCs/>
          <w:color w:val="000000" w:themeColor="text1"/>
          <w:kern w:val="44"/>
          <w:sz w:val="28"/>
          <w:szCs w:val="28"/>
        </w:rPr>
        <w:t xml:space="preserve">7.1  </w:t>
      </w:r>
      <w:r>
        <w:rPr>
          <w:rFonts w:ascii="Times New Roman" w:eastAsia="黑体" w:hAnsi="Times New Roman" w:cs="Times New Roman"/>
          <w:b/>
          <w:bCs/>
          <w:color w:val="000000" w:themeColor="text1"/>
          <w:kern w:val="44"/>
          <w:sz w:val="28"/>
          <w:szCs w:val="28"/>
        </w:rPr>
        <w:t>一般规定</w:t>
      </w:r>
      <w:bookmarkEnd w:id="75"/>
    </w:p>
    <w:p w14:paraId="581246EA"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7.1.1  </w:t>
      </w:r>
      <w:r>
        <w:rPr>
          <w:rFonts w:ascii="Times New Roman" w:eastAsia="宋体" w:hAnsi="Times New Roman" w:cs="Times New Roman"/>
          <w:bCs/>
          <w:color w:val="000000" w:themeColor="text1"/>
          <w:kern w:val="0"/>
          <w:sz w:val="24"/>
          <w:szCs w:val="24"/>
        </w:rPr>
        <w:t>以下各条旨在指导电解食盐水制备次氯酸钠溶液的发生系统的安装工程的施工，确保工程质量和施工安全，促进行业技术发展。所有施工安装工作须由</w:t>
      </w:r>
      <w:r>
        <w:rPr>
          <w:rFonts w:ascii="Times New Roman" w:eastAsia="宋体" w:hAnsi="Times New Roman" w:cs="Times New Roman"/>
          <w:bCs/>
          <w:color w:val="000000" w:themeColor="text1"/>
          <w:kern w:val="0"/>
          <w:sz w:val="24"/>
          <w:szCs w:val="24"/>
        </w:rPr>
        <w:lastRenderedPageBreak/>
        <w:t>经过授权且具有相应资质的人员来管理和实施。施工中各环节要遵守安全生产和安全作业相关规程，包括通用规程和指定设备设施的特定规程，如厂家提供的安装操作指南中的个人防护。所施工安装的各子系统及其主要部件，须符合相关产品设计和生产标准。</w:t>
      </w:r>
    </w:p>
    <w:p w14:paraId="50375F71"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设备安装过程中，按设计要求对各设备，各组件管路进行逐项检查，并邀请专业厂家或第三方公司或机构进行安装检查，记录检查过程和结果，前</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项合格后方可进行后</w:t>
      </w:r>
      <w:r>
        <w:rPr>
          <w:rFonts w:ascii="Times New Roman" w:eastAsia="宋体" w:hAnsi="Times New Roman" w:cs="Times New Roman"/>
          <w:bCs/>
          <w:color w:val="000000" w:themeColor="text1"/>
          <w:kern w:val="0"/>
          <w:sz w:val="24"/>
          <w:szCs w:val="24"/>
        </w:rPr>
        <w:t>1</w:t>
      </w:r>
      <w:r>
        <w:rPr>
          <w:rFonts w:ascii="Times New Roman" w:eastAsia="宋体" w:hAnsi="Times New Roman" w:cs="Times New Roman"/>
          <w:bCs/>
          <w:color w:val="000000" w:themeColor="text1"/>
          <w:kern w:val="0"/>
          <w:sz w:val="24"/>
          <w:szCs w:val="24"/>
        </w:rPr>
        <w:t>项的施工安装，发现不合格的立即整改，直至符合要求。</w:t>
      </w:r>
    </w:p>
    <w:p w14:paraId="7755431F"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7.1.2  </w:t>
      </w:r>
      <w:r>
        <w:rPr>
          <w:rFonts w:ascii="Times New Roman" w:eastAsia="宋体" w:hAnsi="Times New Roman" w:cs="Times New Roman"/>
          <w:bCs/>
          <w:color w:val="000000" w:themeColor="text1"/>
          <w:kern w:val="0"/>
          <w:sz w:val="24"/>
          <w:szCs w:val="24"/>
        </w:rPr>
        <w:t>为尽可能降低次氯酸钠在施工中可能出现的风险，提出本规定。</w:t>
      </w:r>
    </w:p>
    <w:p w14:paraId="1CFCEAA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7.1.3  </w:t>
      </w:r>
      <w:r>
        <w:rPr>
          <w:rFonts w:ascii="Times New Roman" w:eastAsia="宋体" w:hAnsi="Times New Roman" w:cs="Times New Roman"/>
          <w:bCs/>
          <w:color w:val="000000" w:themeColor="text1"/>
          <w:kern w:val="0"/>
          <w:sz w:val="24"/>
          <w:szCs w:val="24"/>
        </w:rPr>
        <w:t>调试中的次氯酸钠同样要遵循危化品管理原则。</w:t>
      </w:r>
    </w:p>
    <w:p w14:paraId="2DC211C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7.1.4</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 xml:space="preserve">7.1.5  </w:t>
      </w:r>
      <w:r>
        <w:rPr>
          <w:rFonts w:ascii="Times New Roman" w:eastAsia="宋体" w:hAnsi="Times New Roman" w:cs="Times New Roman"/>
          <w:bCs/>
          <w:color w:val="000000" w:themeColor="text1"/>
          <w:kern w:val="0"/>
          <w:sz w:val="24"/>
          <w:szCs w:val="24"/>
        </w:rPr>
        <w:t>为防止施工中产生的次生事故，提出本要求。</w:t>
      </w:r>
    </w:p>
    <w:p w14:paraId="09300F34"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7.1.6  </w:t>
      </w:r>
      <w:r>
        <w:rPr>
          <w:rFonts w:ascii="Times New Roman" w:eastAsia="宋体" w:hAnsi="Times New Roman" w:cs="Times New Roman"/>
          <w:bCs/>
          <w:color w:val="000000" w:themeColor="text1"/>
          <w:kern w:val="0"/>
          <w:sz w:val="24"/>
          <w:szCs w:val="24"/>
        </w:rPr>
        <w:t>参考《危险化学品安全管理条例》</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第二要条生产、储存危险化学品的单位，应当在其作业场所和安全设施、设</w:t>
      </w:r>
      <w:r>
        <w:rPr>
          <w:rFonts w:ascii="Times New Roman" w:eastAsia="宋体" w:hAnsi="Times New Roman" w:cs="Times New Roman"/>
          <w:bCs/>
          <w:color w:val="000000" w:themeColor="text1"/>
          <w:kern w:val="0"/>
          <w:sz w:val="24"/>
          <w:szCs w:val="24"/>
        </w:rPr>
        <w:t>备上设置明显的安全警示标志</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，设置本规定。</w:t>
      </w:r>
    </w:p>
    <w:p w14:paraId="13C3FB8F" w14:textId="77777777" w:rsidR="00E269CD" w:rsidRDefault="00E13E3E">
      <w:pPr>
        <w:keepNext/>
        <w:keepLines/>
        <w:spacing w:line="360" w:lineRule="auto"/>
        <w:jc w:val="center"/>
        <w:outlineLvl w:val="0"/>
        <w:rPr>
          <w:rFonts w:ascii="Times New Roman" w:eastAsia="黑体" w:hAnsi="Times New Roman" w:cs="Times New Roman"/>
          <w:b/>
          <w:bCs/>
          <w:color w:val="000000" w:themeColor="text1"/>
          <w:kern w:val="44"/>
          <w:sz w:val="28"/>
          <w:szCs w:val="28"/>
        </w:rPr>
      </w:pPr>
      <w:bookmarkStart w:id="76" w:name="_Toc127171793"/>
      <w:r>
        <w:rPr>
          <w:rFonts w:ascii="Times New Roman" w:eastAsia="黑体" w:hAnsi="Times New Roman" w:cs="Times New Roman"/>
          <w:b/>
          <w:bCs/>
          <w:color w:val="000000" w:themeColor="text1"/>
          <w:kern w:val="44"/>
          <w:sz w:val="28"/>
          <w:szCs w:val="28"/>
        </w:rPr>
        <w:t>7.2</w:t>
      </w:r>
      <w:r>
        <w:rPr>
          <w:rFonts w:ascii="Times New Roman" w:eastAsia="黑体" w:hAnsi="Times New Roman" w:cs="Times New Roman"/>
          <w:b/>
          <w:bCs/>
          <w:color w:val="000000" w:themeColor="text1"/>
          <w:kern w:val="44"/>
          <w:sz w:val="28"/>
          <w:szCs w:val="28"/>
        </w:rPr>
        <w:t>次氯酸钠现场制备系统</w:t>
      </w:r>
      <w:bookmarkEnd w:id="76"/>
    </w:p>
    <w:p w14:paraId="6096633B" w14:textId="77777777" w:rsidR="00E269CD" w:rsidRDefault="00E13E3E">
      <w:pPr>
        <w:spacing w:line="360" w:lineRule="auto"/>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r>
        <w:rPr>
          <w:rFonts w:ascii="Times New Roman" w:eastAsia="宋体" w:hAnsi="Times New Roman" w:cs="Times New Roman"/>
          <w:bCs/>
          <w:color w:val="000000" w:themeColor="text1"/>
          <w:kern w:val="0"/>
          <w:sz w:val="24"/>
          <w:szCs w:val="24"/>
        </w:rPr>
        <w:t xml:space="preserve">7.2.1   </w:t>
      </w:r>
      <w:r>
        <w:rPr>
          <w:rFonts w:ascii="Times New Roman" w:eastAsia="宋体" w:hAnsi="Times New Roman" w:cs="Times New Roman"/>
          <w:bCs/>
          <w:color w:val="000000" w:themeColor="text1"/>
          <w:kern w:val="0"/>
          <w:sz w:val="24"/>
          <w:szCs w:val="24"/>
        </w:rPr>
        <w:t>由于次氯酸钠发生器在电解食盐水过程中产生氢气，因此，在次氯酸钠发生器系统施工中提出相关规定，确保安全使用。</w:t>
      </w:r>
    </w:p>
    <w:p w14:paraId="0469B6D0" w14:textId="77777777" w:rsidR="00E269CD" w:rsidRDefault="00E13E3E">
      <w:pPr>
        <w:keepNext/>
        <w:keepLines/>
        <w:spacing w:line="360" w:lineRule="auto"/>
        <w:jc w:val="center"/>
        <w:outlineLvl w:val="0"/>
        <w:rPr>
          <w:rFonts w:ascii="Times New Roman" w:hAnsi="Times New Roman" w:cs="Times New Roman"/>
          <w:color w:val="000000" w:themeColor="text1"/>
        </w:rPr>
      </w:pPr>
      <w:bookmarkStart w:id="77" w:name="_Toc123229240"/>
      <w:bookmarkStart w:id="78" w:name="_Toc127171794"/>
      <w:r>
        <w:rPr>
          <w:rFonts w:ascii="Times New Roman" w:hAnsi="Times New Roman" w:cs="Times New Roman"/>
          <w:b/>
          <w:bCs/>
          <w:color w:val="000000" w:themeColor="text1"/>
          <w:kern w:val="44"/>
          <w:sz w:val="30"/>
          <w:szCs w:val="44"/>
        </w:rPr>
        <w:lastRenderedPageBreak/>
        <w:t xml:space="preserve">8  </w:t>
      </w:r>
      <w:r>
        <w:rPr>
          <w:rFonts w:ascii="Times New Roman" w:hAnsi="Times New Roman" w:cs="Times New Roman"/>
          <w:b/>
          <w:bCs/>
          <w:color w:val="000000" w:themeColor="text1"/>
          <w:kern w:val="44"/>
          <w:sz w:val="30"/>
          <w:szCs w:val="44"/>
        </w:rPr>
        <w:t>运行管理</w:t>
      </w:r>
      <w:bookmarkEnd w:id="77"/>
      <w:bookmarkEnd w:id="78"/>
    </w:p>
    <w:p w14:paraId="6696FE03"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8.1  </w:t>
      </w:r>
      <w:r>
        <w:rPr>
          <w:rFonts w:ascii="Times New Roman" w:eastAsia="宋体" w:hAnsi="Times New Roman" w:cs="Times New Roman"/>
          <w:bCs/>
          <w:color w:val="000000" w:themeColor="text1"/>
          <w:kern w:val="0"/>
          <w:sz w:val="24"/>
          <w:szCs w:val="24"/>
        </w:rPr>
        <w:t>根据《城镇供水厂运行、维护及安全技术规程》</w:t>
      </w:r>
      <w:r>
        <w:rPr>
          <w:rFonts w:ascii="Times New Roman" w:eastAsia="宋体" w:hAnsi="Times New Roman" w:cs="Times New Roman"/>
          <w:bCs/>
          <w:color w:val="000000" w:themeColor="text1"/>
          <w:kern w:val="0"/>
          <w:sz w:val="24"/>
          <w:szCs w:val="24"/>
        </w:rPr>
        <w:t xml:space="preserve"> CJJ58</w:t>
      </w:r>
      <w:r>
        <w:rPr>
          <w:rFonts w:ascii="Times New Roman" w:eastAsia="宋体" w:hAnsi="Times New Roman" w:cs="Times New Roman"/>
          <w:bCs/>
          <w:color w:val="000000" w:themeColor="text1"/>
          <w:kern w:val="0"/>
          <w:sz w:val="24"/>
          <w:szCs w:val="24"/>
        </w:rPr>
        <w:t>确定。在制水过程中使用的次氯酸钠，一般有效氯为</w:t>
      </w:r>
      <w:r>
        <w:rPr>
          <w:rFonts w:ascii="Times New Roman" w:eastAsia="宋体" w:hAnsi="Times New Roman" w:cs="Times New Roman"/>
          <w:bCs/>
          <w:color w:val="000000" w:themeColor="text1"/>
          <w:kern w:val="0"/>
          <w:sz w:val="24"/>
          <w:szCs w:val="24"/>
        </w:rPr>
        <w:t>10%</w:t>
      </w:r>
      <w:r>
        <w:rPr>
          <w:rFonts w:ascii="Times New Roman" w:eastAsia="宋体" w:hAnsi="Times New Roman" w:cs="Times New Roman"/>
          <w:bCs/>
          <w:color w:val="000000" w:themeColor="text1"/>
          <w:kern w:val="0"/>
          <w:sz w:val="24"/>
          <w:szCs w:val="24"/>
        </w:rPr>
        <w:t>，属于危险化学品，所以必须由有资质的运输单位运输。</w:t>
      </w:r>
    </w:p>
    <w:p w14:paraId="499B98A0"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8.2.4  </w:t>
      </w:r>
      <w:r>
        <w:rPr>
          <w:rFonts w:ascii="Times New Roman" w:eastAsia="宋体" w:hAnsi="Times New Roman" w:cs="Times New Roman"/>
          <w:bCs/>
          <w:color w:val="000000" w:themeColor="text1"/>
          <w:kern w:val="0"/>
          <w:sz w:val="24"/>
          <w:szCs w:val="24"/>
        </w:rPr>
        <w:t>根据《城镇供水厂运行、维护及安全技术规程》</w:t>
      </w:r>
      <w:r>
        <w:rPr>
          <w:rFonts w:ascii="Times New Roman" w:eastAsia="宋体" w:hAnsi="Times New Roman" w:cs="Times New Roman"/>
          <w:bCs/>
          <w:color w:val="000000" w:themeColor="text1"/>
          <w:kern w:val="0"/>
          <w:sz w:val="24"/>
          <w:szCs w:val="24"/>
        </w:rPr>
        <w:t>CJJ58</w:t>
      </w:r>
      <w:r>
        <w:rPr>
          <w:rFonts w:ascii="Times New Roman" w:eastAsia="宋体" w:hAnsi="Times New Roman" w:cs="Times New Roman"/>
          <w:bCs/>
          <w:color w:val="000000" w:themeColor="text1"/>
          <w:kern w:val="0"/>
          <w:sz w:val="24"/>
          <w:szCs w:val="24"/>
        </w:rPr>
        <w:t>及《次氯酸钠》</w:t>
      </w:r>
      <w:r>
        <w:rPr>
          <w:rFonts w:ascii="Times New Roman" w:eastAsia="宋体" w:hAnsi="Times New Roman" w:cs="Times New Roman"/>
          <w:bCs/>
          <w:color w:val="000000" w:themeColor="text1"/>
          <w:kern w:val="0"/>
          <w:sz w:val="24"/>
          <w:szCs w:val="24"/>
        </w:rPr>
        <w:t>GB19106</w:t>
      </w:r>
      <w:r>
        <w:rPr>
          <w:rFonts w:ascii="Times New Roman" w:eastAsia="宋体" w:hAnsi="Times New Roman" w:cs="Times New Roman"/>
          <w:bCs/>
          <w:color w:val="000000" w:themeColor="text1"/>
          <w:kern w:val="0"/>
          <w:sz w:val="24"/>
          <w:szCs w:val="24"/>
        </w:rPr>
        <w:t>确定。次氯酸钠为制水过程中主要材料，每批次在进厂时、久存后和投入使用前必须按照国家现行有关标准进行抽检，未经检验或者检验不合格的产品，不得投入使用。供货厂家应提供所供应产品的安全技术说明书（即</w:t>
      </w:r>
      <w:r>
        <w:rPr>
          <w:rFonts w:ascii="Times New Roman" w:eastAsia="宋体" w:hAnsi="Times New Roman" w:cs="Times New Roman"/>
          <w:bCs/>
          <w:color w:val="000000" w:themeColor="text1"/>
          <w:kern w:val="0"/>
          <w:sz w:val="24"/>
          <w:szCs w:val="24"/>
        </w:rPr>
        <w:t>MSDS</w:t>
      </w:r>
      <w:r>
        <w:rPr>
          <w:rFonts w:ascii="Times New Roman" w:eastAsia="宋体" w:hAnsi="Times New Roman" w:cs="Times New Roman"/>
          <w:bCs/>
          <w:color w:val="000000" w:themeColor="text1"/>
          <w:kern w:val="0"/>
          <w:sz w:val="24"/>
          <w:szCs w:val="24"/>
        </w:rPr>
        <w:t>证书）。</w:t>
      </w:r>
      <w:r>
        <w:rPr>
          <w:rFonts w:ascii="Times New Roman" w:eastAsia="宋体" w:hAnsi="Times New Roman" w:cs="Times New Roman"/>
          <w:bCs/>
          <w:color w:val="000000" w:themeColor="text1"/>
          <w:kern w:val="0"/>
          <w:sz w:val="24"/>
          <w:szCs w:val="24"/>
        </w:rPr>
        <w:t>MSDS (Material Safety Data Sheet)</w:t>
      </w:r>
      <w:r>
        <w:rPr>
          <w:rFonts w:ascii="Times New Roman" w:eastAsia="宋体" w:hAnsi="Times New Roman" w:cs="Times New Roman"/>
          <w:bCs/>
          <w:color w:val="000000" w:themeColor="text1"/>
          <w:kern w:val="0"/>
          <w:sz w:val="24"/>
          <w:szCs w:val="24"/>
        </w:rPr>
        <w:t>即化学品安全说明书，亦可称为化学品安全技术说明书或化学品安全数据说明书。是化学品生产商用来阐明化学品的理化特性</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如</w:t>
      </w:r>
      <w:r>
        <w:rPr>
          <w:rFonts w:ascii="Times New Roman" w:eastAsia="宋体" w:hAnsi="Times New Roman" w:cs="Times New Roman"/>
          <w:bCs/>
          <w:color w:val="000000" w:themeColor="text1"/>
          <w:kern w:val="0"/>
          <w:sz w:val="24"/>
          <w:szCs w:val="24"/>
        </w:rPr>
        <w:t>PH</w:t>
      </w:r>
      <w:r>
        <w:rPr>
          <w:rFonts w:ascii="Times New Roman" w:eastAsia="宋体" w:hAnsi="Times New Roman" w:cs="Times New Roman"/>
          <w:bCs/>
          <w:color w:val="000000" w:themeColor="text1"/>
          <w:kern w:val="0"/>
          <w:sz w:val="24"/>
          <w:szCs w:val="24"/>
        </w:rPr>
        <w:t>值，闪点，易燃度，反应活性等</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以及对使用者的健康</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如致癌，致畸等</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可能产生的危害的文件。</w:t>
      </w:r>
    </w:p>
    <w:p w14:paraId="713AFC4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8.3.2  </w:t>
      </w:r>
      <w:r>
        <w:rPr>
          <w:rFonts w:ascii="Times New Roman" w:eastAsia="宋体" w:hAnsi="Times New Roman" w:cs="Times New Roman"/>
          <w:bCs/>
          <w:color w:val="000000" w:themeColor="text1"/>
          <w:kern w:val="0"/>
          <w:sz w:val="24"/>
          <w:szCs w:val="24"/>
        </w:rPr>
        <w:t>根据《城镇供水厂</w:t>
      </w:r>
      <w:r>
        <w:rPr>
          <w:rFonts w:ascii="Times New Roman" w:eastAsia="宋体" w:hAnsi="Times New Roman" w:cs="Times New Roman"/>
          <w:bCs/>
          <w:color w:val="000000" w:themeColor="text1"/>
          <w:kern w:val="0"/>
          <w:sz w:val="24"/>
          <w:szCs w:val="24"/>
        </w:rPr>
        <w:t>运行、维护及安全技术规程》</w:t>
      </w:r>
      <w:r>
        <w:rPr>
          <w:rFonts w:ascii="Times New Roman" w:eastAsia="宋体" w:hAnsi="Times New Roman" w:cs="Times New Roman"/>
          <w:bCs/>
          <w:color w:val="000000" w:themeColor="text1"/>
          <w:kern w:val="0"/>
          <w:sz w:val="24"/>
          <w:szCs w:val="24"/>
        </w:rPr>
        <w:t>CJJ58</w:t>
      </w:r>
      <w:r>
        <w:rPr>
          <w:rFonts w:ascii="Times New Roman" w:eastAsia="宋体" w:hAnsi="Times New Roman" w:cs="Times New Roman"/>
          <w:bCs/>
          <w:color w:val="000000" w:themeColor="text1"/>
          <w:kern w:val="0"/>
          <w:sz w:val="24"/>
          <w:szCs w:val="24"/>
        </w:rPr>
        <w:t>确定。</w:t>
      </w:r>
    </w:p>
    <w:p w14:paraId="7EEE0F6E"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8.3.3  </w:t>
      </w:r>
      <w:r>
        <w:rPr>
          <w:rFonts w:ascii="Times New Roman" w:eastAsia="宋体" w:hAnsi="Times New Roman" w:cs="Times New Roman"/>
          <w:bCs/>
          <w:color w:val="000000" w:themeColor="text1"/>
          <w:kern w:val="0"/>
          <w:sz w:val="24"/>
          <w:szCs w:val="24"/>
        </w:rPr>
        <w:t>根据《城镇供水厂运行、维护及安全技术规程》</w:t>
      </w:r>
      <w:r>
        <w:rPr>
          <w:rFonts w:ascii="Times New Roman" w:eastAsia="宋体" w:hAnsi="Times New Roman" w:cs="Times New Roman"/>
          <w:bCs/>
          <w:color w:val="000000" w:themeColor="text1"/>
          <w:kern w:val="0"/>
          <w:sz w:val="24"/>
          <w:szCs w:val="24"/>
        </w:rPr>
        <w:t>CJJ58</w:t>
      </w:r>
      <w:r>
        <w:rPr>
          <w:rFonts w:ascii="Times New Roman" w:eastAsia="宋体" w:hAnsi="Times New Roman" w:cs="Times New Roman"/>
          <w:bCs/>
          <w:color w:val="000000" w:themeColor="text1"/>
          <w:kern w:val="0"/>
          <w:sz w:val="24"/>
          <w:szCs w:val="24"/>
        </w:rPr>
        <w:t>确定。超过最大储存时间时，需再次检测次氯酸钠溶液中有效氯后，方可使用。</w:t>
      </w:r>
    </w:p>
    <w:p w14:paraId="0DD2D9BD" w14:textId="77777777" w:rsidR="00E269CD" w:rsidRDefault="00E13E3E">
      <w:pPr>
        <w:spacing w:line="360" w:lineRule="auto"/>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r>
        <w:rPr>
          <w:rFonts w:ascii="Times New Roman" w:eastAsia="宋体" w:hAnsi="Times New Roman" w:cs="Times New Roman"/>
          <w:bCs/>
          <w:color w:val="000000" w:themeColor="text1"/>
          <w:kern w:val="0"/>
          <w:sz w:val="24"/>
          <w:szCs w:val="24"/>
        </w:rPr>
        <w:t xml:space="preserve">8.5.7  </w:t>
      </w:r>
      <w:r>
        <w:rPr>
          <w:rFonts w:ascii="Times New Roman" w:eastAsia="宋体" w:hAnsi="Times New Roman" w:cs="Times New Roman"/>
          <w:bCs/>
          <w:color w:val="000000" w:themeColor="text1"/>
          <w:kern w:val="0"/>
          <w:sz w:val="24"/>
          <w:szCs w:val="24"/>
        </w:rPr>
        <w:t>根据中华人民共和国国务院令第</w:t>
      </w:r>
      <w:r>
        <w:rPr>
          <w:rFonts w:ascii="Times New Roman" w:eastAsia="宋体" w:hAnsi="Times New Roman" w:cs="Times New Roman"/>
          <w:bCs/>
          <w:color w:val="000000" w:themeColor="text1"/>
          <w:kern w:val="0"/>
          <w:sz w:val="24"/>
          <w:szCs w:val="24"/>
        </w:rPr>
        <w:t>591</w:t>
      </w:r>
      <w:r>
        <w:rPr>
          <w:rFonts w:ascii="Times New Roman" w:eastAsia="宋体" w:hAnsi="Times New Roman" w:cs="Times New Roman"/>
          <w:bCs/>
          <w:color w:val="000000" w:themeColor="text1"/>
          <w:kern w:val="0"/>
          <w:sz w:val="24"/>
          <w:szCs w:val="24"/>
        </w:rPr>
        <w:t>号《危险化学品安全管理条例》确定。有效氯浓度大于</w:t>
      </w:r>
      <w:r>
        <w:rPr>
          <w:rFonts w:ascii="Times New Roman" w:eastAsia="宋体" w:hAnsi="Times New Roman" w:cs="Times New Roman"/>
          <w:bCs/>
          <w:color w:val="000000" w:themeColor="text1"/>
          <w:kern w:val="0"/>
          <w:sz w:val="24"/>
          <w:szCs w:val="24"/>
        </w:rPr>
        <w:t>5%</w:t>
      </w:r>
      <w:r>
        <w:rPr>
          <w:rFonts w:ascii="Times New Roman" w:eastAsia="宋体" w:hAnsi="Times New Roman" w:cs="Times New Roman"/>
          <w:bCs/>
          <w:color w:val="000000" w:themeColor="text1"/>
          <w:kern w:val="0"/>
          <w:sz w:val="24"/>
          <w:szCs w:val="24"/>
        </w:rPr>
        <w:t>的次氯酸钠溶液为危险化学品，按《危险化学品安全管理条例》第要三条的要求</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生产、储存危险化学品的单位，应当对其铺设的危险化学品管道设置明显标志，并对危险化学品管道定期检查、检测</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w:t>
      </w:r>
    </w:p>
    <w:p w14:paraId="6CF7D4FD" w14:textId="77777777" w:rsidR="00E269CD" w:rsidRDefault="00E13E3E">
      <w:pPr>
        <w:keepNext/>
        <w:keepLines/>
        <w:spacing w:line="360" w:lineRule="auto"/>
        <w:jc w:val="center"/>
        <w:outlineLvl w:val="0"/>
        <w:rPr>
          <w:rFonts w:ascii="Times New Roman" w:hAnsi="Times New Roman" w:cs="Times New Roman"/>
          <w:color w:val="000000" w:themeColor="text1"/>
        </w:rPr>
      </w:pPr>
      <w:bookmarkStart w:id="79" w:name="_Toc123229241"/>
      <w:bookmarkStart w:id="80" w:name="_Toc127171795"/>
      <w:r>
        <w:rPr>
          <w:rFonts w:ascii="Times New Roman" w:hAnsi="Times New Roman" w:cs="Times New Roman"/>
          <w:b/>
          <w:bCs/>
          <w:color w:val="000000" w:themeColor="text1"/>
          <w:kern w:val="44"/>
          <w:sz w:val="30"/>
          <w:szCs w:val="44"/>
        </w:rPr>
        <w:lastRenderedPageBreak/>
        <w:t xml:space="preserve">9  </w:t>
      </w:r>
      <w:r>
        <w:rPr>
          <w:rFonts w:ascii="Times New Roman" w:hAnsi="Times New Roman" w:cs="Times New Roman"/>
          <w:b/>
          <w:bCs/>
          <w:color w:val="000000" w:themeColor="text1"/>
          <w:kern w:val="44"/>
          <w:sz w:val="30"/>
          <w:szCs w:val="44"/>
        </w:rPr>
        <w:t>维护管理</w:t>
      </w:r>
      <w:bookmarkEnd w:id="79"/>
      <w:bookmarkEnd w:id="80"/>
    </w:p>
    <w:p w14:paraId="7AB2E9FD" w14:textId="77777777" w:rsidR="00E269CD" w:rsidRDefault="00E13E3E">
      <w:pPr>
        <w:keepNext/>
        <w:keepLines/>
        <w:spacing w:line="360" w:lineRule="auto"/>
        <w:jc w:val="center"/>
        <w:outlineLvl w:val="1"/>
        <w:rPr>
          <w:rFonts w:ascii="Times New Roman" w:hAnsi="Times New Roman" w:cs="Times New Roman"/>
          <w:color w:val="000000" w:themeColor="text1"/>
          <w:sz w:val="28"/>
          <w:szCs w:val="32"/>
        </w:rPr>
      </w:pPr>
      <w:bookmarkStart w:id="81" w:name="_Toc127171796"/>
      <w:r>
        <w:rPr>
          <w:rFonts w:ascii="Times New Roman" w:eastAsia="黑体" w:hAnsi="Times New Roman" w:cs="Times New Roman"/>
          <w:b/>
          <w:bCs/>
          <w:color w:val="000000" w:themeColor="text1"/>
          <w:sz w:val="28"/>
          <w:szCs w:val="32"/>
        </w:rPr>
        <w:t>9.1</w:t>
      </w:r>
      <w:r>
        <w:rPr>
          <w:rFonts w:ascii="Times New Roman" w:eastAsia="黑体" w:hAnsi="Times New Roman" w:cs="Times New Roman"/>
          <w:b/>
          <w:bCs/>
          <w:color w:val="000000" w:themeColor="text1"/>
          <w:sz w:val="28"/>
          <w:szCs w:val="32"/>
        </w:rPr>
        <w:t>维护</w:t>
      </w:r>
      <w:bookmarkEnd w:id="81"/>
    </w:p>
    <w:p w14:paraId="3CC78752"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9.1.3  </w:t>
      </w:r>
      <w:r>
        <w:rPr>
          <w:rFonts w:ascii="Times New Roman" w:eastAsia="宋体" w:hAnsi="Times New Roman" w:cs="Times New Roman"/>
          <w:bCs/>
          <w:color w:val="000000" w:themeColor="text1"/>
          <w:kern w:val="0"/>
          <w:sz w:val="24"/>
          <w:szCs w:val="24"/>
        </w:rPr>
        <w:t>《污水综合排放标准》</w:t>
      </w:r>
      <w:r>
        <w:rPr>
          <w:rFonts w:ascii="Times New Roman" w:eastAsia="宋体" w:hAnsi="Times New Roman" w:cs="Times New Roman"/>
          <w:bCs/>
          <w:color w:val="000000" w:themeColor="text1"/>
          <w:kern w:val="0"/>
          <w:sz w:val="24"/>
          <w:szCs w:val="24"/>
        </w:rPr>
        <w:t>DB31/199</w:t>
      </w:r>
      <w:r>
        <w:rPr>
          <w:rFonts w:ascii="Times New Roman" w:eastAsia="宋体" w:hAnsi="Times New Roman" w:cs="Times New Roman"/>
          <w:bCs/>
          <w:color w:val="000000" w:themeColor="text1"/>
          <w:kern w:val="0"/>
          <w:sz w:val="24"/>
          <w:szCs w:val="24"/>
        </w:rPr>
        <w:t>中规定总排口处排放水总余氯（活性氯）排放限制为</w:t>
      </w:r>
      <w:r>
        <w:rPr>
          <w:rFonts w:ascii="Times New Roman" w:eastAsia="宋体" w:hAnsi="Times New Roman" w:cs="Times New Roman"/>
          <w:bCs/>
          <w:color w:val="000000" w:themeColor="text1"/>
          <w:kern w:val="0"/>
          <w:sz w:val="24"/>
          <w:szCs w:val="24"/>
        </w:rPr>
        <w:t>0.5mg/L</w:t>
      </w:r>
      <w:r>
        <w:rPr>
          <w:rFonts w:ascii="Times New Roman" w:eastAsia="宋体" w:hAnsi="Times New Roman" w:cs="Times New Roman"/>
          <w:bCs/>
          <w:color w:val="000000" w:themeColor="text1"/>
          <w:kern w:val="0"/>
          <w:sz w:val="24"/>
          <w:szCs w:val="24"/>
        </w:rPr>
        <w:t>。一般可使用</w:t>
      </w:r>
      <w:r>
        <w:rPr>
          <w:rFonts w:ascii="Times New Roman" w:eastAsia="宋体" w:hAnsi="Times New Roman" w:cs="Times New Roman"/>
          <w:bCs/>
          <w:color w:val="000000" w:themeColor="text1"/>
          <w:kern w:val="0"/>
          <w:sz w:val="24"/>
          <w:szCs w:val="24"/>
        </w:rPr>
        <w:t>10%</w:t>
      </w:r>
      <w:r>
        <w:rPr>
          <w:rFonts w:ascii="Times New Roman" w:eastAsia="宋体" w:hAnsi="Times New Roman" w:cs="Times New Roman"/>
          <w:bCs/>
          <w:color w:val="000000" w:themeColor="text1"/>
          <w:kern w:val="0"/>
          <w:sz w:val="24"/>
          <w:szCs w:val="24"/>
        </w:rPr>
        <w:t>硫代硫酸钠溶液进行脱氯处理。</w:t>
      </w:r>
    </w:p>
    <w:p w14:paraId="4D9F2ABB" w14:textId="77777777" w:rsidR="00E269CD" w:rsidRDefault="00E269CD">
      <w:pPr>
        <w:spacing w:line="360" w:lineRule="auto"/>
        <w:rPr>
          <w:rFonts w:ascii="Times New Roman" w:eastAsia="宋体" w:hAnsi="Times New Roman" w:cs="Times New Roman"/>
          <w:bCs/>
          <w:color w:val="000000" w:themeColor="text1"/>
          <w:kern w:val="0"/>
          <w:sz w:val="24"/>
          <w:szCs w:val="24"/>
        </w:rPr>
      </w:pPr>
    </w:p>
    <w:p w14:paraId="6E372EE2"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82" w:name="_Toc127171797"/>
      <w:r>
        <w:rPr>
          <w:rFonts w:ascii="Times New Roman" w:eastAsia="黑体" w:hAnsi="Times New Roman" w:cs="Times New Roman"/>
          <w:b/>
          <w:bCs/>
          <w:color w:val="000000" w:themeColor="text1"/>
          <w:sz w:val="28"/>
          <w:szCs w:val="32"/>
        </w:rPr>
        <w:t>9.2</w:t>
      </w:r>
      <w:r>
        <w:rPr>
          <w:rFonts w:ascii="Times New Roman" w:eastAsia="黑体" w:hAnsi="Times New Roman" w:cs="Times New Roman"/>
          <w:b/>
          <w:bCs/>
          <w:color w:val="000000" w:themeColor="text1"/>
          <w:sz w:val="28"/>
          <w:szCs w:val="32"/>
        </w:rPr>
        <w:t>管理</w:t>
      </w:r>
      <w:bookmarkEnd w:id="82"/>
    </w:p>
    <w:p w14:paraId="560E83F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9.2.1  </w:t>
      </w:r>
      <w:r>
        <w:rPr>
          <w:rFonts w:ascii="Times New Roman" w:eastAsia="宋体" w:hAnsi="Times New Roman" w:cs="Times New Roman"/>
          <w:bCs/>
          <w:color w:val="000000" w:themeColor="text1"/>
          <w:kern w:val="0"/>
          <w:sz w:val="24"/>
          <w:szCs w:val="24"/>
        </w:rPr>
        <w:t>该条为强制条款，根据《城镇供水厂运行、维护及安全技术规程》</w:t>
      </w:r>
      <w:r>
        <w:rPr>
          <w:rFonts w:ascii="Times New Roman" w:eastAsia="宋体" w:hAnsi="Times New Roman" w:cs="Times New Roman"/>
          <w:bCs/>
          <w:color w:val="000000" w:themeColor="text1"/>
          <w:kern w:val="0"/>
          <w:sz w:val="24"/>
          <w:szCs w:val="24"/>
        </w:rPr>
        <w:t>CJJ58</w:t>
      </w:r>
      <w:r>
        <w:rPr>
          <w:rFonts w:ascii="Times New Roman" w:eastAsia="宋体" w:hAnsi="Times New Roman" w:cs="Times New Roman"/>
          <w:bCs/>
          <w:color w:val="000000" w:themeColor="text1"/>
          <w:kern w:val="0"/>
          <w:sz w:val="24"/>
          <w:szCs w:val="24"/>
        </w:rPr>
        <w:t>确定。明确要求次氯酸钠加注时配置计量器具，并定期进行检定。</w:t>
      </w:r>
    </w:p>
    <w:p w14:paraId="05E9A248"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9.2.2   </w:t>
      </w:r>
      <w:r>
        <w:rPr>
          <w:rFonts w:ascii="Times New Roman" w:eastAsia="宋体" w:hAnsi="Times New Roman" w:cs="Times New Roman"/>
          <w:bCs/>
          <w:color w:val="000000" w:themeColor="text1"/>
          <w:kern w:val="0"/>
          <w:sz w:val="24"/>
          <w:szCs w:val="24"/>
        </w:rPr>
        <w:t>《大气污染物综合排放标准》</w:t>
      </w:r>
      <w:r>
        <w:rPr>
          <w:rFonts w:ascii="Times New Roman" w:eastAsia="宋体" w:hAnsi="Times New Roman" w:cs="Times New Roman"/>
          <w:bCs/>
          <w:color w:val="000000" w:themeColor="text1"/>
          <w:kern w:val="0"/>
          <w:sz w:val="24"/>
          <w:szCs w:val="24"/>
        </w:rPr>
        <w:t>GB16297</w:t>
      </w:r>
      <w:r>
        <w:rPr>
          <w:rFonts w:ascii="Times New Roman" w:eastAsia="宋体" w:hAnsi="Times New Roman" w:cs="Times New Roman"/>
          <w:bCs/>
          <w:color w:val="000000" w:themeColor="text1"/>
          <w:kern w:val="0"/>
          <w:sz w:val="24"/>
          <w:szCs w:val="24"/>
        </w:rPr>
        <w:t>中规定周界环境检测无组织排放监控浓度氯气限值</w:t>
      </w:r>
      <w:r>
        <w:rPr>
          <w:rFonts w:ascii="Times New Roman" w:eastAsia="宋体" w:hAnsi="Times New Roman" w:cs="Times New Roman"/>
          <w:bCs/>
          <w:color w:val="000000" w:themeColor="text1"/>
          <w:kern w:val="0"/>
          <w:sz w:val="24"/>
          <w:szCs w:val="24"/>
        </w:rPr>
        <w:t>0.4mg/m3</w:t>
      </w:r>
      <w:r>
        <w:rPr>
          <w:rFonts w:ascii="Times New Roman" w:eastAsia="宋体" w:hAnsi="Times New Roman" w:cs="Times New Roman"/>
          <w:bCs/>
          <w:color w:val="000000" w:themeColor="text1"/>
          <w:kern w:val="0"/>
          <w:sz w:val="24"/>
          <w:szCs w:val="24"/>
        </w:rPr>
        <w:t>，《中华人民共和国国家职业卫生标准》</w:t>
      </w:r>
      <w:r>
        <w:rPr>
          <w:rFonts w:ascii="Times New Roman" w:eastAsia="宋体" w:hAnsi="Times New Roman" w:cs="Times New Roman"/>
          <w:bCs/>
          <w:color w:val="000000" w:themeColor="text1"/>
          <w:kern w:val="0"/>
          <w:sz w:val="24"/>
          <w:szCs w:val="24"/>
        </w:rPr>
        <w:t xml:space="preserve"> GBZ2.1</w:t>
      </w:r>
      <w:r>
        <w:rPr>
          <w:rFonts w:ascii="Times New Roman" w:eastAsia="宋体" w:hAnsi="Times New Roman" w:cs="Times New Roman"/>
          <w:bCs/>
          <w:color w:val="000000" w:themeColor="text1"/>
          <w:kern w:val="0"/>
          <w:sz w:val="24"/>
          <w:szCs w:val="24"/>
        </w:rPr>
        <w:t>中规定作业场所空气中</w:t>
      </w:r>
      <w:r>
        <w:rPr>
          <w:rFonts w:ascii="Times New Roman" w:eastAsia="宋体" w:hAnsi="Times New Roman" w:cs="Times New Roman"/>
          <w:bCs/>
          <w:color w:val="000000" w:themeColor="text1"/>
          <w:kern w:val="0"/>
          <w:sz w:val="24"/>
          <w:szCs w:val="24"/>
        </w:rPr>
        <w:t>氯气含量最高允许浓度为</w:t>
      </w:r>
      <w:r>
        <w:rPr>
          <w:rFonts w:ascii="Times New Roman" w:eastAsia="宋体" w:hAnsi="Times New Roman" w:cs="Times New Roman"/>
          <w:bCs/>
          <w:color w:val="000000" w:themeColor="text1"/>
          <w:kern w:val="0"/>
          <w:sz w:val="24"/>
          <w:szCs w:val="24"/>
        </w:rPr>
        <w:t>1mg/m</w:t>
      </w:r>
      <w:r>
        <w:rPr>
          <w:rFonts w:ascii="Times New Roman" w:eastAsia="宋体" w:hAnsi="Times New Roman" w:cs="Times New Roman"/>
          <w:bCs/>
          <w:color w:val="000000" w:themeColor="text1"/>
          <w:kern w:val="0"/>
          <w:sz w:val="24"/>
          <w:szCs w:val="24"/>
          <w:vertAlign w:val="superscript"/>
        </w:rPr>
        <w:t>3</w:t>
      </w:r>
      <w:r>
        <w:rPr>
          <w:rFonts w:ascii="Times New Roman" w:eastAsia="宋体" w:hAnsi="Times New Roman" w:cs="Times New Roman"/>
          <w:bCs/>
          <w:color w:val="000000" w:themeColor="text1"/>
          <w:kern w:val="0"/>
          <w:sz w:val="24"/>
          <w:szCs w:val="24"/>
        </w:rPr>
        <w:t>。</w:t>
      </w:r>
    </w:p>
    <w:p w14:paraId="6F0347D2" w14:textId="77777777" w:rsidR="00E269CD" w:rsidRDefault="00E269CD">
      <w:pPr>
        <w:keepNext/>
        <w:keepLines/>
        <w:spacing w:line="360" w:lineRule="auto"/>
        <w:jc w:val="center"/>
        <w:outlineLvl w:val="0"/>
        <w:rPr>
          <w:rFonts w:ascii="Times New Roman" w:eastAsia="宋体" w:hAnsi="Times New Roman" w:cs="Times New Roman"/>
          <w:bCs/>
          <w:color w:val="000000" w:themeColor="text1"/>
          <w:kern w:val="0"/>
          <w:sz w:val="24"/>
          <w:szCs w:val="24"/>
        </w:rPr>
        <w:sectPr w:rsidR="00E269CD">
          <w:pgSz w:w="11906" w:h="16838"/>
          <w:pgMar w:top="1440" w:right="1800" w:bottom="1440" w:left="1800" w:header="851" w:footer="992" w:gutter="0"/>
          <w:cols w:space="425"/>
          <w:docGrid w:type="lines" w:linePitch="312"/>
        </w:sectPr>
      </w:pPr>
    </w:p>
    <w:p w14:paraId="6BE72ECF" w14:textId="77777777" w:rsidR="00E269CD" w:rsidRDefault="00E13E3E">
      <w:pPr>
        <w:keepNext/>
        <w:keepLines/>
        <w:spacing w:line="360" w:lineRule="auto"/>
        <w:jc w:val="center"/>
        <w:outlineLvl w:val="0"/>
        <w:rPr>
          <w:rFonts w:ascii="Times New Roman" w:hAnsi="Times New Roman" w:cs="Times New Roman"/>
          <w:b/>
          <w:bCs/>
          <w:color w:val="000000" w:themeColor="text1"/>
          <w:kern w:val="44"/>
          <w:sz w:val="30"/>
          <w:szCs w:val="44"/>
        </w:rPr>
      </w:pPr>
      <w:bookmarkStart w:id="83" w:name="_Toc123229242"/>
      <w:bookmarkStart w:id="84" w:name="_Toc127171798"/>
      <w:r>
        <w:rPr>
          <w:rFonts w:ascii="Times New Roman" w:hAnsi="Times New Roman" w:cs="Times New Roman"/>
          <w:b/>
          <w:bCs/>
          <w:color w:val="000000" w:themeColor="text1"/>
          <w:kern w:val="44"/>
          <w:sz w:val="30"/>
          <w:szCs w:val="44"/>
        </w:rPr>
        <w:lastRenderedPageBreak/>
        <w:t xml:space="preserve">10  </w:t>
      </w:r>
      <w:r>
        <w:rPr>
          <w:rFonts w:ascii="Times New Roman" w:hAnsi="Times New Roman" w:cs="Times New Roman"/>
          <w:b/>
          <w:bCs/>
          <w:color w:val="000000" w:themeColor="text1"/>
          <w:kern w:val="44"/>
          <w:sz w:val="30"/>
          <w:szCs w:val="44"/>
        </w:rPr>
        <w:t>安全管理</w:t>
      </w:r>
      <w:bookmarkEnd w:id="83"/>
      <w:bookmarkEnd w:id="84"/>
    </w:p>
    <w:p w14:paraId="1EFBAE37" w14:textId="77777777" w:rsidR="00E269CD" w:rsidRDefault="00E13E3E">
      <w:pPr>
        <w:keepNext/>
        <w:keepLines/>
        <w:spacing w:line="360" w:lineRule="auto"/>
        <w:jc w:val="center"/>
        <w:outlineLvl w:val="1"/>
        <w:rPr>
          <w:rFonts w:ascii="Times New Roman" w:eastAsia="黑体" w:hAnsi="Times New Roman" w:cs="Times New Roman"/>
          <w:b/>
          <w:bCs/>
          <w:color w:val="000000" w:themeColor="text1"/>
          <w:sz w:val="28"/>
          <w:szCs w:val="32"/>
        </w:rPr>
      </w:pPr>
      <w:bookmarkStart w:id="85" w:name="_Toc127171799"/>
      <w:r>
        <w:rPr>
          <w:rFonts w:ascii="Times New Roman" w:eastAsia="黑体" w:hAnsi="Times New Roman" w:cs="Times New Roman"/>
          <w:b/>
          <w:bCs/>
          <w:color w:val="000000" w:themeColor="text1"/>
          <w:sz w:val="28"/>
          <w:szCs w:val="32"/>
        </w:rPr>
        <w:t xml:space="preserve">10.1 </w:t>
      </w:r>
      <w:r>
        <w:rPr>
          <w:rFonts w:ascii="Times New Roman" w:eastAsia="黑体" w:hAnsi="Times New Roman" w:cs="Times New Roman"/>
          <w:b/>
          <w:bCs/>
          <w:color w:val="000000" w:themeColor="text1"/>
          <w:sz w:val="28"/>
          <w:szCs w:val="32"/>
        </w:rPr>
        <w:t>安全管理</w:t>
      </w:r>
      <w:bookmarkEnd w:id="85"/>
    </w:p>
    <w:p w14:paraId="385746E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10.1  </w:t>
      </w:r>
      <w:r>
        <w:rPr>
          <w:rFonts w:ascii="Times New Roman" w:eastAsia="宋体" w:hAnsi="Times New Roman" w:cs="Times New Roman"/>
          <w:bCs/>
          <w:color w:val="000000" w:themeColor="text1"/>
          <w:kern w:val="0"/>
          <w:sz w:val="24"/>
          <w:szCs w:val="24"/>
        </w:rPr>
        <w:t>该条为强制条款，根据中华人民共和国国务院令第</w:t>
      </w:r>
      <w:r>
        <w:rPr>
          <w:rFonts w:ascii="Times New Roman" w:eastAsia="宋体" w:hAnsi="Times New Roman" w:cs="Times New Roman"/>
          <w:bCs/>
          <w:color w:val="000000" w:themeColor="text1"/>
          <w:kern w:val="0"/>
          <w:sz w:val="24"/>
          <w:szCs w:val="24"/>
        </w:rPr>
        <w:t>591</w:t>
      </w:r>
      <w:r>
        <w:rPr>
          <w:rFonts w:ascii="Times New Roman" w:eastAsia="宋体" w:hAnsi="Times New Roman" w:cs="Times New Roman"/>
          <w:bCs/>
          <w:color w:val="000000" w:themeColor="text1"/>
          <w:kern w:val="0"/>
          <w:sz w:val="24"/>
          <w:szCs w:val="24"/>
        </w:rPr>
        <w:t>号《危险化学品安全管理条例》确定。</w:t>
      </w:r>
    </w:p>
    <w:p w14:paraId="0748CEDD" w14:textId="77777777" w:rsidR="00E269CD" w:rsidRDefault="00E13E3E">
      <w:pPr>
        <w:spacing w:line="360" w:lineRule="auto"/>
        <w:rPr>
          <w:rFonts w:ascii="Times New Roman" w:eastAsia="宋体" w:hAnsi="Times New Roman" w:cs="Times New Roman"/>
          <w:bCs/>
          <w:color w:val="000000" w:themeColor="text1"/>
          <w:kern w:val="0"/>
          <w:sz w:val="24"/>
          <w:szCs w:val="24"/>
        </w:rPr>
      </w:pPr>
      <w:r>
        <w:rPr>
          <w:rFonts w:ascii="Times New Roman" w:eastAsia="宋体" w:hAnsi="Times New Roman" w:cs="Times New Roman"/>
          <w:bCs/>
          <w:color w:val="000000" w:themeColor="text1"/>
          <w:kern w:val="0"/>
          <w:sz w:val="24"/>
          <w:szCs w:val="24"/>
        </w:rPr>
        <w:t xml:space="preserve">10.4  </w:t>
      </w:r>
      <w:r>
        <w:rPr>
          <w:rFonts w:ascii="Times New Roman" w:eastAsia="宋体" w:hAnsi="Times New Roman" w:cs="Times New Roman"/>
          <w:bCs/>
          <w:color w:val="000000" w:themeColor="text1"/>
          <w:kern w:val="0"/>
          <w:sz w:val="24"/>
          <w:szCs w:val="24"/>
        </w:rPr>
        <w:t>根据《危险化学品安全管理条例》</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第七十条　危险化学品单位应当制定本单位危险化学品事故应急预案，配备应急救援人员和必要的应急救援器材、设备，并定期组织应急救援演练。危险化学品单位应当将其危险化学品事故应急预案报所在地设区的市级人民政府安全生产监督管理部门备案</w:t>
      </w:r>
      <w:r>
        <w:rPr>
          <w:rFonts w:ascii="Times New Roman" w:eastAsia="宋体" w:hAnsi="Times New Roman" w:cs="Times New Roman"/>
          <w:bCs/>
          <w:color w:val="000000" w:themeColor="text1"/>
          <w:kern w:val="0"/>
          <w:sz w:val="24"/>
          <w:szCs w:val="24"/>
        </w:rPr>
        <w:t>”</w:t>
      </w:r>
      <w:r>
        <w:rPr>
          <w:rFonts w:ascii="Times New Roman" w:eastAsia="宋体" w:hAnsi="Times New Roman" w:cs="Times New Roman"/>
          <w:bCs/>
          <w:color w:val="000000" w:themeColor="text1"/>
          <w:kern w:val="0"/>
          <w:sz w:val="24"/>
          <w:szCs w:val="24"/>
        </w:rPr>
        <w:t>，提出本条款。</w:t>
      </w:r>
    </w:p>
    <w:p w14:paraId="0F34A2D2" w14:textId="77777777" w:rsidR="00E269CD" w:rsidRDefault="00E269CD">
      <w:pPr>
        <w:spacing w:line="360" w:lineRule="auto"/>
        <w:rPr>
          <w:rFonts w:ascii="Times New Roman" w:hAnsi="Times New Roman" w:cs="Times New Roman"/>
          <w:color w:val="000000" w:themeColor="text1"/>
        </w:rPr>
      </w:pPr>
    </w:p>
    <w:sectPr w:rsidR="00E269CD">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B29B35" w16cex:dateUtc="2023-09-18T01:47:00Z"/>
  <w16cex:commentExtensible w16cex:durableId="28B29B0A" w16cex:dateUtc="2023-09-18T01: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9D93A5C" w16cid:durableId="28B29B35"/>
  <w16cid:commentId w16cid:paraId="4B3CB7B5" w16cid:durableId="28B29B0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5EACC6" w14:textId="77777777" w:rsidR="00E13E3E" w:rsidRDefault="00E13E3E">
      <w:r>
        <w:separator/>
      </w:r>
    </w:p>
  </w:endnote>
  <w:endnote w:type="continuationSeparator" w:id="0">
    <w:p w14:paraId="43AB0633" w14:textId="77777777" w:rsidR="00E13E3E" w:rsidRDefault="00E13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5054985"/>
    </w:sdtPr>
    <w:sdtEndPr/>
    <w:sdtContent>
      <w:p w14:paraId="4EE1CA64" w14:textId="04B5C0E0" w:rsidR="00E269CD" w:rsidRDefault="00E13E3E">
        <w:pPr>
          <w:pStyle w:val="ad"/>
          <w:jc w:val="center"/>
        </w:pPr>
        <w:r>
          <w:fldChar w:fldCharType="begin"/>
        </w:r>
        <w:r>
          <w:instrText>PAGE   \* MERGEFORMAT</w:instrText>
        </w:r>
        <w:r>
          <w:fldChar w:fldCharType="separate"/>
        </w:r>
        <w:r w:rsidR="006F5BB4" w:rsidRPr="006F5BB4">
          <w:rPr>
            <w:noProof/>
            <w:lang w:val="zh-CN"/>
          </w:rPr>
          <w:t>7</w:t>
        </w:r>
        <w:r>
          <w:rPr>
            <w:lang w:val="zh-CN"/>
          </w:rPr>
          <w:fldChar w:fldCharType="end"/>
        </w:r>
      </w:p>
    </w:sdtContent>
  </w:sdt>
  <w:p w14:paraId="471E497A" w14:textId="77777777" w:rsidR="00E269CD" w:rsidRDefault="00E269CD">
    <w:pPr>
      <w:pStyle w:val="ad"/>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8855672"/>
    </w:sdtPr>
    <w:sdtEndPr/>
    <w:sdtContent>
      <w:p w14:paraId="3CA4F261" w14:textId="71D59DEB" w:rsidR="00E269CD" w:rsidRDefault="00E13E3E">
        <w:pPr>
          <w:pStyle w:val="ad"/>
          <w:jc w:val="right"/>
        </w:pPr>
        <w:r>
          <w:fldChar w:fldCharType="begin"/>
        </w:r>
        <w:r>
          <w:instrText xml:space="preserve"> PAGE   \* MERGEFORMAT </w:instrText>
        </w:r>
        <w:r>
          <w:fldChar w:fldCharType="separate"/>
        </w:r>
        <w:r w:rsidR="006F5BB4" w:rsidRPr="006F5BB4">
          <w:rPr>
            <w:noProof/>
            <w:lang w:val="zh-CN"/>
          </w:rPr>
          <w:t>14</w:t>
        </w:r>
        <w:r>
          <w:rPr>
            <w:lang w:val="zh-CN"/>
          </w:rPr>
          <w:fldChar w:fldCharType="end"/>
        </w:r>
      </w:p>
    </w:sdtContent>
  </w:sdt>
  <w:p w14:paraId="1EF34B48" w14:textId="77777777" w:rsidR="00E269CD" w:rsidRDefault="00E269CD">
    <w:pPr>
      <w:pStyle w:val="ad"/>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0498217"/>
    </w:sdtPr>
    <w:sdtEndPr/>
    <w:sdtContent>
      <w:p w14:paraId="5215E833" w14:textId="11FF3D51" w:rsidR="00E269CD" w:rsidRDefault="00E13E3E">
        <w:pPr>
          <w:pStyle w:val="ad"/>
          <w:jc w:val="right"/>
        </w:pPr>
        <w:r>
          <w:fldChar w:fldCharType="begin"/>
        </w:r>
        <w:r>
          <w:instrText xml:space="preserve"> PAGE   \* MERGEFORMAT </w:instrText>
        </w:r>
        <w:r>
          <w:fldChar w:fldCharType="separate"/>
        </w:r>
        <w:r w:rsidR="006F5BB4" w:rsidRPr="006F5BB4">
          <w:rPr>
            <w:noProof/>
            <w:lang w:val="zh-CN"/>
          </w:rPr>
          <w:t>20</w:t>
        </w:r>
        <w:r>
          <w:rPr>
            <w:lang w:val="zh-CN"/>
          </w:rPr>
          <w:fldChar w:fldCharType="end"/>
        </w:r>
      </w:p>
    </w:sdtContent>
  </w:sdt>
  <w:p w14:paraId="2D79D833" w14:textId="77777777" w:rsidR="00E269CD" w:rsidRDefault="00E269CD">
    <w:pPr>
      <w:pStyle w:val="ad"/>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7D24A8" w14:textId="5F85AF1B" w:rsidR="00E269CD" w:rsidRDefault="00E13E3E">
    <w:pPr>
      <w:pStyle w:val="ad"/>
      <w:jc w:val="right"/>
    </w:pPr>
    <w:r>
      <w:fldChar w:fldCharType="begin"/>
    </w:r>
    <w:r>
      <w:instrText xml:space="preserve"> PAGE   \* MERGEFORMAT </w:instrText>
    </w:r>
    <w:r>
      <w:fldChar w:fldCharType="separate"/>
    </w:r>
    <w:r w:rsidR="006F5BB4" w:rsidRPr="006F5BB4">
      <w:rPr>
        <w:noProof/>
        <w:lang w:val="zh-CN"/>
      </w:rPr>
      <w:t>33</w:t>
    </w:r>
    <w:r>
      <w:rPr>
        <w:lang w:val="zh-CN"/>
      </w:rPr>
      <w:fldChar w:fldCharType="end"/>
    </w:r>
  </w:p>
  <w:p w14:paraId="54F41BB2" w14:textId="77777777" w:rsidR="00E269CD" w:rsidRDefault="00E269CD">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8B05EE" w14:textId="77777777" w:rsidR="00E13E3E" w:rsidRDefault="00E13E3E">
      <w:r>
        <w:separator/>
      </w:r>
    </w:p>
  </w:footnote>
  <w:footnote w:type="continuationSeparator" w:id="0">
    <w:p w14:paraId="29C47AB9" w14:textId="77777777" w:rsidR="00E13E3E" w:rsidRDefault="00E13E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NkNDNmYjFmZTBhYTFhMzQ3YWUyNGM0NWNmMjZiZmUifQ=="/>
  </w:docVars>
  <w:rsids>
    <w:rsidRoot w:val="00EC55C3"/>
    <w:rsid w:val="00002AA2"/>
    <w:rsid w:val="000115FD"/>
    <w:rsid w:val="0001323E"/>
    <w:rsid w:val="000167B9"/>
    <w:rsid w:val="00021A6F"/>
    <w:rsid w:val="0002545E"/>
    <w:rsid w:val="000331A0"/>
    <w:rsid w:val="00034629"/>
    <w:rsid w:val="00034839"/>
    <w:rsid w:val="0004574F"/>
    <w:rsid w:val="00047EEB"/>
    <w:rsid w:val="00050412"/>
    <w:rsid w:val="00051521"/>
    <w:rsid w:val="000578B4"/>
    <w:rsid w:val="00061B8C"/>
    <w:rsid w:val="00063FFA"/>
    <w:rsid w:val="00084573"/>
    <w:rsid w:val="00091168"/>
    <w:rsid w:val="00093CA1"/>
    <w:rsid w:val="000A01D3"/>
    <w:rsid w:val="000A35CA"/>
    <w:rsid w:val="000B05DC"/>
    <w:rsid w:val="000C12FD"/>
    <w:rsid w:val="000C50C6"/>
    <w:rsid w:val="000C5B52"/>
    <w:rsid w:val="000C6A3E"/>
    <w:rsid w:val="000D0679"/>
    <w:rsid w:val="000D2E0D"/>
    <w:rsid w:val="000E4994"/>
    <w:rsid w:val="000E4E27"/>
    <w:rsid w:val="000E5894"/>
    <w:rsid w:val="000F00D7"/>
    <w:rsid w:val="000F1518"/>
    <w:rsid w:val="000F7760"/>
    <w:rsid w:val="00102EBD"/>
    <w:rsid w:val="001158DE"/>
    <w:rsid w:val="00131F3E"/>
    <w:rsid w:val="00134322"/>
    <w:rsid w:val="0013472B"/>
    <w:rsid w:val="00160972"/>
    <w:rsid w:val="00161488"/>
    <w:rsid w:val="00161E84"/>
    <w:rsid w:val="00164041"/>
    <w:rsid w:val="00167758"/>
    <w:rsid w:val="001778DF"/>
    <w:rsid w:val="001800EE"/>
    <w:rsid w:val="00181A90"/>
    <w:rsid w:val="00186C06"/>
    <w:rsid w:val="001A10EC"/>
    <w:rsid w:val="001A1B90"/>
    <w:rsid w:val="001A44F2"/>
    <w:rsid w:val="001A5482"/>
    <w:rsid w:val="001B16E6"/>
    <w:rsid w:val="001B3528"/>
    <w:rsid w:val="001B60F8"/>
    <w:rsid w:val="001B6B73"/>
    <w:rsid w:val="001C31B3"/>
    <w:rsid w:val="001D251F"/>
    <w:rsid w:val="001D7003"/>
    <w:rsid w:val="001E007D"/>
    <w:rsid w:val="001E3794"/>
    <w:rsid w:val="001F307B"/>
    <w:rsid w:val="001F4B90"/>
    <w:rsid w:val="001F59DB"/>
    <w:rsid w:val="0022066A"/>
    <w:rsid w:val="00230035"/>
    <w:rsid w:val="00230904"/>
    <w:rsid w:val="002418B3"/>
    <w:rsid w:val="002533D7"/>
    <w:rsid w:val="00257D79"/>
    <w:rsid w:val="002609DE"/>
    <w:rsid w:val="00266399"/>
    <w:rsid w:val="002677E2"/>
    <w:rsid w:val="00272012"/>
    <w:rsid w:val="00273B0D"/>
    <w:rsid w:val="002810B4"/>
    <w:rsid w:val="00291996"/>
    <w:rsid w:val="00297AA3"/>
    <w:rsid w:val="002A2646"/>
    <w:rsid w:val="002A610C"/>
    <w:rsid w:val="002B17C1"/>
    <w:rsid w:val="002D0A0A"/>
    <w:rsid w:val="002E0911"/>
    <w:rsid w:val="002E506F"/>
    <w:rsid w:val="002F2F00"/>
    <w:rsid w:val="002F62E1"/>
    <w:rsid w:val="002F7BB5"/>
    <w:rsid w:val="003013FA"/>
    <w:rsid w:val="00302997"/>
    <w:rsid w:val="003133D6"/>
    <w:rsid w:val="00313E73"/>
    <w:rsid w:val="00315676"/>
    <w:rsid w:val="003358FD"/>
    <w:rsid w:val="00343A1D"/>
    <w:rsid w:val="00346E17"/>
    <w:rsid w:val="003564F3"/>
    <w:rsid w:val="003606CD"/>
    <w:rsid w:val="00366B44"/>
    <w:rsid w:val="00366C8C"/>
    <w:rsid w:val="00370758"/>
    <w:rsid w:val="003812AC"/>
    <w:rsid w:val="00382D5E"/>
    <w:rsid w:val="0039085C"/>
    <w:rsid w:val="00391C66"/>
    <w:rsid w:val="00395A83"/>
    <w:rsid w:val="00397C9B"/>
    <w:rsid w:val="003A124D"/>
    <w:rsid w:val="003B181D"/>
    <w:rsid w:val="003B3A70"/>
    <w:rsid w:val="003B6C74"/>
    <w:rsid w:val="003C21C1"/>
    <w:rsid w:val="003C758B"/>
    <w:rsid w:val="003D11CA"/>
    <w:rsid w:val="003D6E0D"/>
    <w:rsid w:val="003D73C3"/>
    <w:rsid w:val="003E1DD4"/>
    <w:rsid w:val="003E4C70"/>
    <w:rsid w:val="003E72ED"/>
    <w:rsid w:val="003E7454"/>
    <w:rsid w:val="003F33FB"/>
    <w:rsid w:val="003F48A2"/>
    <w:rsid w:val="003F7C48"/>
    <w:rsid w:val="004106A9"/>
    <w:rsid w:val="00415CA0"/>
    <w:rsid w:val="0042218E"/>
    <w:rsid w:val="0043629E"/>
    <w:rsid w:val="004365E2"/>
    <w:rsid w:val="004407E1"/>
    <w:rsid w:val="00442673"/>
    <w:rsid w:val="004428CE"/>
    <w:rsid w:val="00457B49"/>
    <w:rsid w:val="00463299"/>
    <w:rsid w:val="00464C0B"/>
    <w:rsid w:val="004749C1"/>
    <w:rsid w:val="0048218D"/>
    <w:rsid w:val="00482703"/>
    <w:rsid w:val="00483B8F"/>
    <w:rsid w:val="00487475"/>
    <w:rsid w:val="0049477C"/>
    <w:rsid w:val="004949A0"/>
    <w:rsid w:val="00497748"/>
    <w:rsid w:val="004A3746"/>
    <w:rsid w:val="004B4EF2"/>
    <w:rsid w:val="004B549D"/>
    <w:rsid w:val="004C03F4"/>
    <w:rsid w:val="004D04D0"/>
    <w:rsid w:val="004D67EC"/>
    <w:rsid w:val="004E361A"/>
    <w:rsid w:val="004E56A7"/>
    <w:rsid w:val="004F0AEA"/>
    <w:rsid w:val="004F1643"/>
    <w:rsid w:val="004F60D2"/>
    <w:rsid w:val="004F63A5"/>
    <w:rsid w:val="004F713C"/>
    <w:rsid w:val="00503AAA"/>
    <w:rsid w:val="00506E9E"/>
    <w:rsid w:val="00515D8D"/>
    <w:rsid w:val="005167B8"/>
    <w:rsid w:val="00521446"/>
    <w:rsid w:val="00526951"/>
    <w:rsid w:val="00527272"/>
    <w:rsid w:val="005313DE"/>
    <w:rsid w:val="00540ACF"/>
    <w:rsid w:val="0054563D"/>
    <w:rsid w:val="00561228"/>
    <w:rsid w:val="005657ED"/>
    <w:rsid w:val="00573FBF"/>
    <w:rsid w:val="00574AB2"/>
    <w:rsid w:val="005A5157"/>
    <w:rsid w:val="005B300A"/>
    <w:rsid w:val="005B6287"/>
    <w:rsid w:val="005B67BE"/>
    <w:rsid w:val="005B7268"/>
    <w:rsid w:val="005C0B77"/>
    <w:rsid w:val="005C3C35"/>
    <w:rsid w:val="005D0423"/>
    <w:rsid w:val="005D0B73"/>
    <w:rsid w:val="005D48D5"/>
    <w:rsid w:val="005D5079"/>
    <w:rsid w:val="005D539E"/>
    <w:rsid w:val="005D78BF"/>
    <w:rsid w:val="005E5062"/>
    <w:rsid w:val="005F2EFD"/>
    <w:rsid w:val="00612392"/>
    <w:rsid w:val="00612C73"/>
    <w:rsid w:val="00615B36"/>
    <w:rsid w:val="00616525"/>
    <w:rsid w:val="0062388E"/>
    <w:rsid w:val="006245D8"/>
    <w:rsid w:val="00625E7D"/>
    <w:rsid w:val="006330FF"/>
    <w:rsid w:val="0063587A"/>
    <w:rsid w:val="00635B47"/>
    <w:rsid w:val="006361B3"/>
    <w:rsid w:val="00636888"/>
    <w:rsid w:val="00644A52"/>
    <w:rsid w:val="006464B6"/>
    <w:rsid w:val="00646827"/>
    <w:rsid w:val="00651013"/>
    <w:rsid w:val="006518B3"/>
    <w:rsid w:val="006521B8"/>
    <w:rsid w:val="00657AFE"/>
    <w:rsid w:val="00660C14"/>
    <w:rsid w:val="006615C5"/>
    <w:rsid w:val="00663900"/>
    <w:rsid w:val="00665D43"/>
    <w:rsid w:val="00667197"/>
    <w:rsid w:val="006672EF"/>
    <w:rsid w:val="00675500"/>
    <w:rsid w:val="00690B8D"/>
    <w:rsid w:val="00693C4A"/>
    <w:rsid w:val="0069613C"/>
    <w:rsid w:val="00697741"/>
    <w:rsid w:val="006A093B"/>
    <w:rsid w:val="006A6D0A"/>
    <w:rsid w:val="006B00EF"/>
    <w:rsid w:val="006C772A"/>
    <w:rsid w:val="006C7F1D"/>
    <w:rsid w:val="006D72A7"/>
    <w:rsid w:val="006D7D34"/>
    <w:rsid w:val="006E665F"/>
    <w:rsid w:val="006F5BB4"/>
    <w:rsid w:val="006F7262"/>
    <w:rsid w:val="00704E59"/>
    <w:rsid w:val="007130E2"/>
    <w:rsid w:val="00717CAB"/>
    <w:rsid w:val="0072627B"/>
    <w:rsid w:val="00743FE9"/>
    <w:rsid w:val="00752F00"/>
    <w:rsid w:val="007629A8"/>
    <w:rsid w:val="00763DBF"/>
    <w:rsid w:val="00772CB4"/>
    <w:rsid w:val="00773006"/>
    <w:rsid w:val="00781FFB"/>
    <w:rsid w:val="00785F8E"/>
    <w:rsid w:val="00792DC0"/>
    <w:rsid w:val="00797987"/>
    <w:rsid w:val="007C2D81"/>
    <w:rsid w:val="007C5CE7"/>
    <w:rsid w:val="007D23D6"/>
    <w:rsid w:val="007D2770"/>
    <w:rsid w:val="007D2CE4"/>
    <w:rsid w:val="007D488B"/>
    <w:rsid w:val="007D6E3F"/>
    <w:rsid w:val="007E6F97"/>
    <w:rsid w:val="007F350B"/>
    <w:rsid w:val="007F48A0"/>
    <w:rsid w:val="00803E20"/>
    <w:rsid w:val="00804467"/>
    <w:rsid w:val="008073E0"/>
    <w:rsid w:val="00810873"/>
    <w:rsid w:val="00813B79"/>
    <w:rsid w:val="00817500"/>
    <w:rsid w:val="00825EF8"/>
    <w:rsid w:val="008358BD"/>
    <w:rsid w:val="00836ACB"/>
    <w:rsid w:val="0084044D"/>
    <w:rsid w:val="0084470C"/>
    <w:rsid w:val="00844723"/>
    <w:rsid w:val="008474B9"/>
    <w:rsid w:val="00853D53"/>
    <w:rsid w:val="008560DB"/>
    <w:rsid w:val="00861A47"/>
    <w:rsid w:val="00861F6F"/>
    <w:rsid w:val="00862058"/>
    <w:rsid w:val="008626B3"/>
    <w:rsid w:val="0086523B"/>
    <w:rsid w:val="008677BA"/>
    <w:rsid w:val="0086782F"/>
    <w:rsid w:val="008839F9"/>
    <w:rsid w:val="00887FCA"/>
    <w:rsid w:val="0089526E"/>
    <w:rsid w:val="008966EA"/>
    <w:rsid w:val="008A4EAC"/>
    <w:rsid w:val="008B3A83"/>
    <w:rsid w:val="008B49B5"/>
    <w:rsid w:val="008C2BA9"/>
    <w:rsid w:val="008C626B"/>
    <w:rsid w:val="008E1505"/>
    <w:rsid w:val="008E1507"/>
    <w:rsid w:val="008F3A4E"/>
    <w:rsid w:val="009022C1"/>
    <w:rsid w:val="0092111E"/>
    <w:rsid w:val="00932D91"/>
    <w:rsid w:val="0093526F"/>
    <w:rsid w:val="00950656"/>
    <w:rsid w:val="0095325A"/>
    <w:rsid w:val="00954CD9"/>
    <w:rsid w:val="009572E7"/>
    <w:rsid w:val="00964615"/>
    <w:rsid w:val="00966187"/>
    <w:rsid w:val="00967880"/>
    <w:rsid w:val="00970545"/>
    <w:rsid w:val="00981922"/>
    <w:rsid w:val="009919A1"/>
    <w:rsid w:val="00992EB6"/>
    <w:rsid w:val="00993604"/>
    <w:rsid w:val="00994939"/>
    <w:rsid w:val="009A006C"/>
    <w:rsid w:val="009A01C6"/>
    <w:rsid w:val="009A6400"/>
    <w:rsid w:val="009A689C"/>
    <w:rsid w:val="009B1835"/>
    <w:rsid w:val="009C1645"/>
    <w:rsid w:val="009C34D0"/>
    <w:rsid w:val="009C37D3"/>
    <w:rsid w:val="009D09F0"/>
    <w:rsid w:val="009E65DE"/>
    <w:rsid w:val="009F0A81"/>
    <w:rsid w:val="009F4180"/>
    <w:rsid w:val="00A01AB5"/>
    <w:rsid w:val="00A03CFA"/>
    <w:rsid w:val="00A05AF8"/>
    <w:rsid w:val="00A06AD0"/>
    <w:rsid w:val="00A14DC2"/>
    <w:rsid w:val="00A2569C"/>
    <w:rsid w:val="00A307A3"/>
    <w:rsid w:val="00A31F5B"/>
    <w:rsid w:val="00A47D96"/>
    <w:rsid w:val="00A539AF"/>
    <w:rsid w:val="00A54FEC"/>
    <w:rsid w:val="00A56384"/>
    <w:rsid w:val="00A6292F"/>
    <w:rsid w:val="00A73849"/>
    <w:rsid w:val="00A739FF"/>
    <w:rsid w:val="00A74262"/>
    <w:rsid w:val="00A77194"/>
    <w:rsid w:val="00A8053E"/>
    <w:rsid w:val="00A80D37"/>
    <w:rsid w:val="00A8203E"/>
    <w:rsid w:val="00A828DE"/>
    <w:rsid w:val="00A829C2"/>
    <w:rsid w:val="00A82E87"/>
    <w:rsid w:val="00A8383A"/>
    <w:rsid w:val="00A8549F"/>
    <w:rsid w:val="00A90225"/>
    <w:rsid w:val="00A90A33"/>
    <w:rsid w:val="00A91E54"/>
    <w:rsid w:val="00A91F07"/>
    <w:rsid w:val="00AA0300"/>
    <w:rsid w:val="00AA08B4"/>
    <w:rsid w:val="00AA5528"/>
    <w:rsid w:val="00AC22B8"/>
    <w:rsid w:val="00AC2E7C"/>
    <w:rsid w:val="00AC42F4"/>
    <w:rsid w:val="00AC7074"/>
    <w:rsid w:val="00AC7DF2"/>
    <w:rsid w:val="00AD1F33"/>
    <w:rsid w:val="00AD3343"/>
    <w:rsid w:val="00AD5A57"/>
    <w:rsid w:val="00AE1271"/>
    <w:rsid w:val="00AE2E34"/>
    <w:rsid w:val="00AE4AE8"/>
    <w:rsid w:val="00AF253A"/>
    <w:rsid w:val="00AF6070"/>
    <w:rsid w:val="00AF7DC8"/>
    <w:rsid w:val="00B07ADE"/>
    <w:rsid w:val="00B07F72"/>
    <w:rsid w:val="00B16CED"/>
    <w:rsid w:val="00B20817"/>
    <w:rsid w:val="00B218F8"/>
    <w:rsid w:val="00B301F1"/>
    <w:rsid w:val="00B360FE"/>
    <w:rsid w:val="00B40DC5"/>
    <w:rsid w:val="00B4266A"/>
    <w:rsid w:val="00B44B5D"/>
    <w:rsid w:val="00B44D83"/>
    <w:rsid w:val="00B45E54"/>
    <w:rsid w:val="00B532D7"/>
    <w:rsid w:val="00B65CF0"/>
    <w:rsid w:val="00B746DE"/>
    <w:rsid w:val="00B84C4B"/>
    <w:rsid w:val="00B85B3E"/>
    <w:rsid w:val="00B8682D"/>
    <w:rsid w:val="00B97D14"/>
    <w:rsid w:val="00BA089A"/>
    <w:rsid w:val="00BA2557"/>
    <w:rsid w:val="00BA49AA"/>
    <w:rsid w:val="00BB2E2B"/>
    <w:rsid w:val="00BB787B"/>
    <w:rsid w:val="00BC57A5"/>
    <w:rsid w:val="00BE09F6"/>
    <w:rsid w:val="00BE18C1"/>
    <w:rsid w:val="00BE231F"/>
    <w:rsid w:val="00BF10E8"/>
    <w:rsid w:val="00BF27AC"/>
    <w:rsid w:val="00C04F32"/>
    <w:rsid w:val="00C14532"/>
    <w:rsid w:val="00C15FC5"/>
    <w:rsid w:val="00C41008"/>
    <w:rsid w:val="00C447CF"/>
    <w:rsid w:val="00C44962"/>
    <w:rsid w:val="00C45DF1"/>
    <w:rsid w:val="00C466BB"/>
    <w:rsid w:val="00C53CBE"/>
    <w:rsid w:val="00C55846"/>
    <w:rsid w:val="00C643FE"/>
    <w:rsid w:val="00C66458"/>
    <w:rsid w:val="00C675ED"/>
    <w:rsid w:val="00C71B0F"/>
    <w:rsid w:val="00C80D59"/>
    <w:rsid w:val="00C823BA"/>
    <w:rsid w:val="00C84ADF"/>
    <w:rsid w:val="00C869EA"/>
    <w:rsid w:val="00C87FED"/>
    <w:rsid w:val="00C9435B"/>
    <w:rsid w:val="00C979E9"/>
    <w:rsid w:val="00CA36F9"/>
    <w:rsid w:val="00CC126D"/>
    <w:rsid w:val="00CD3CE3"/>
    <w:rsid w:val="00CE14BF"/>
    <w:rsid w:val="00CE7A7B"/>
    <w:rsid w:val="00CF04EE"/>
    <w:rsid w:val="00CF78F4"/>
    <w:rsid w:val="00D02A4D"/>
    <w:rsid w:val="00D072E0"/>
    <w:rsid w:val="00D17C0F"/>
    <w:rsid w:val="00D23E02"/>
    <w:rsid w:val="00D413CF"/>
    <w:rsid w:val="00D42C6E"/>
    <w:rsid w:val="00D46ADE"/>
    <w:rsid w:val="00D576DA"/>
    <w:rsid w:val="00D646DF"/>
    <w:rsid w:val="00D6579C"/>
    <w:rsid w:val="00D74884"/>
    <w:rsid w:val="00D76CD0"/>
    <w:rsid w:val="00D81F9B"/>
    <w:rsid w:val="00D928C1"/>
    <w:rsid w:val="00D93AC4"/>
    <w:rsid w:val="00D97901"/>
    <w:rsid w:val="00DA0C58"/>
    <w:rsid w:val="00DA27D6"/>
    <w:rsid w:val="00DA2FA3"/>
    <w:rsid w:val="00DA3D6A"/>
    <w:rsid w:val="00DB2DA7"/>
    <w:rsid w:val="00DB2E8B"/>
    <w:rsid w:val="00DC2489"/>
    <w:rsid w:val="00DC3693"/>
    <w:rsid w:val="00DC74B5"/>
    <w:rsid w:val="00DD2F49"/>
    <w:rsid w:val="00DD3FBB"/>
    <w:rsid w:val="00DE34B6"/>
    <w:rsid w:val="00DE61C6"/>
    <w:rsid w:val="00DF2119"/>
    <w:rsid w:val="00DF762E"/>
    <w:rsid w:val="00E0232A"/>
    <w:rsid w:val="00E13E3E"/>
    <w:rsid w:val="00E1543E"/>
    <w:rsid w:val="00E168A4"/>
    <w:rsid w:val="00E269CD"/>
    <w:rsid w:val="00E303B2"/>
    <w:rsid w:val="00E341B9"/>
    <w:rsid w:val="00E3704C"/>
    <w:rsid w:val="00E3725A"/>
    <w:rsid w:val="00E43E57"/>
    <w:rsid w:val="00E4571E"/>
    <w:rsid w:val="00E47B91"/>
    <w:rsid w:val="00E52C48"/>
    <w:rsid w:val="00E54555"/>
    <w:rsid w:val="00E55018"/>
    <w:rsid w:val="00E556A0"/>
    <w:rsid w:val="00E60474"/>
    <w:rsid w:val="00E6336B"/>
    <w:rsid w:val="00E64673"/>
    <w:rsid w:val="00E70CF5"/>
    <w:rsid w:val="00E7121B"/>
    <w:rsid w:val="00E71713"/>
    <w:rsid w:val="00E7468A"/>
    <w:rsid w:val="00E7490E"/>
    <w:rsid w:val="00E76840"/>
    <w:rsid w:val="00E7783C"/>
    <w:rsid w:val="00E82950"/>
    <w:rsid w:val="00E939F8"/>
    <w:rsid w:val="00E96764"/>
    <w:rsid w:val="00EA4997"/>
    <w:rsid w:val="00EA593C"/>
    <w:rsid w:val="00EA5DF0"/>
    <w:rsid w:val="00EA7CB2"/>
    <w:rsid w:val="00EC55C3"/>
    <w:rsid w:val="00EC5E9B"/>
    <w:rsid w:val="00ED13C9"/>
    <w:rsid w:val="00ED55F9"/>
    <w:rsid w:val="00EE3972"/>
    <w:rsid w:val="00EE4CB5"/>
    <w:rsid w:val="00EE581B"/>
    <w:rsid w:val="00EE5F02"/>
    <w:rsid w:val="00EF6E7F"/>
    <w:rsid w:val="00F06D63"/>
    <w:rsid w:val="00F0784F"/>
    <w:rsid w:val="00F11DA2"/>
    <w:rsid w:val="00F12FAE"/>
    <w:rsid w:val="00F142C2"/>
    <w:rsid w:val="00F16117"/>
    <w:rsid w:val="00F241A9"/>
    <w:rsid w:val="00F30BB6"/>
    <w:rsid w:val="00F404D1"/>
    <w:rsid w:val="00F47A44"/>
    <w:rsid w:val="00F53991"/>
    <w:rsid w:val="00F7012C"/>
    <w:rsid w:val="00F708CB"/>
    <w:rsid w:val="00F75C88"/>
    <w:rsid w:val="00F76625"/>
    <w:rsid w:val="00F76E30"/>
    <w:rsid w:val="00F8020F"/>
    <w:rsid w:val="00F85FAA"/>
    <w:rsid w:val="00F9396D"/>
    <w:rsid w:val="00F94647"/>
    <w:rsid w:val="00FA2D4D"/>
    <w:rsid w:val="00FA595D"/>
    <w:rsid w:val="00FA5F92"/>
    <w:rsid w:val="00FA7AF0"/>
    <w:rsid w:val="00FB19EF"/>
    <w:rsid w:val="00FB522F"/>
    <w:rsid w:val="00FB5339"/>
    <w:rsid w:val="00FC482E"/>
    <w:rsid w:val="00FC6CEE"/>
    <w:rsid w:val="00FD1AA7"/>
    <w:rsid w:val="00FD1E86"/>
    <w:rsid w:val="00FD3575"/>
    <w:rsid w:val="00FE04EE"/>
    <w:rsid w:val="00FF2651"/>
    <w:rsid w:val="00FF525B"/>
    <w:rsid w:val="0C3373D0"/>
    <w:rsid w:val="133F3C93"/>
    <w:rsid w:val="1C646101"/>
    <w:rsid w:val="1EF47C60"/>
    <w:rsid w:val="2C481D8B"/>
    <w:rsid w:val="4F0F1B1C"/>
    <w:rsid w:val="6CCB08B6"/>
    <w:rsid w:val="7501372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B738D1"/>
  <w15:docId w15:val="{DF9C6353-41DC-46DE-AE23-65A7B0A02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after="120" w:line="360" w:lineRule="auto"/>
      <w:outlineLvl w:val="0"/>
    </w:pPr>
    <w:rPr>
      <w:rFonts w:eastAsia="黑体"/>
      <w:b/>
      <w:bCs/>
      <w:kern w:val="44"/>
      <w:sz w:val="30"/>
      <w:szCs w:val="44"/>
    </w:rPr>
  </w:style>
  <w:style w:type="paragraph" w:styleId="2">
    <w:name w:val="heading 2"/>
    <w:basedOn w:val="a"/>
    <w:next w:val="a"/>
    <w:link w:val="20"/>
    <w:uiPriority w:val="9"/>
    <w:unhideWhenUsed/>
    <w:qFormat/>
    <w:pPr>
      <w:keepNext/>
      <w:keepLines/>
      <w:spacing w:after="120" w:line="360" w:lineRule="auto"/>
      <w:outlineLvl w:val="1"/>
    </w:pPr>
    <w:rPr>
      <w:rFonts w:asciiTheme="majorHAnsi" w:eastAsiaTheme="majorEastAsia" w:hAnsiTheme="majorHAnsi" w:cstheme="majorBidi"/>
      <w:b/>
      <w:bCs/>
      <w:sz w:val="28"/>
      <w:szCs w:val="32"/>
    </w:rPr>
  </w:style>
  <w:style w:type="paragraph" w:styleId="3">
    <w:name w:val="heading 3"/>
    <w:basedOn w:val="a"/>
    <w:next w:val="a"/>
    <w:link w:val="30"/>
    <w:uiPriority w:val="9"/>
    <w:unhideWhenUsed/>
    <w:qFormat/>
    <w:pPr>
      <w:keepNext/>
      <w:keepLines/>
      <w:spacing w:line="360" w:lineRule="auto"/>
      <w:outlineLvl w:val="2"/>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iPriority w:val="99"/>
    <w:semiHidden/>
    <w:unhideWhenUsed/>
    <w:pPr>
      <w:jc w:val="left"/>
    </w:pPr>
  </w:style>
  <w:style w:type="paragraph" w:styleId="a7">
    <w:name w:val="Body Text"/>
    <w:basedOn w:val="a"/>
    <w:link w:val="a8"/>
    <w:pPr>
      <w:spacing w:after="120"/>
    </w:pPr>
    <w:rPr>
      <w:sz w:val="24"/>
      <w:szCs w:val="24"/>
    </w:rPr>
  </w:style>
  <w:style w:type="paragraph" w:styleId="31">
    <w:name w:val="toc 3"/>
    <w:basedOn w:val="a"/>
    <w:next w:val="a"/>
    <w:uiPriority w:val="39"/>
    <w:unhideWhenUsed/>
    <w:pPr>
      <w:ind w:leftChars="400" w:left="840"/>
    </w:pPr>
  </w:style>
  <w:style w:type="paragraph" w:styleId="a9">
    <w:name w:val="Date"/>
    <w:basedOn w:val="a"/>
    <w:next w:val="a"/>
    <w:link w:val="aa"/>
    <w:uiPriority w:val="99"/>
    <w:semiHidden/>
    <w:unhideWhenUsed/>
    <w:qFormat/>
    <w:pPr>
      <w:ind w:leftChars="2500" w:left="100"/>
    </w:p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unhideWhenUsed/>
    <w:pPr>
      <w:tabs>
        <w:tab w:val="center" w:pos="4153"/>
        <w:tab w:val="right" w:pos="8306"/>
      </w:tabs>
      <w:snapToGrid w:val="0"/>
      <w:jc w:val="left"/>
    </w:pPr>
    <w:rPr>
      <w:sz w:val="18"/>
      <w:szCs w:val="18"/>
    </w:rPr>
  </w:style>
  <w:style w:type="paragraph" w:styleId="af">
    <w:name w:val="header"/>
    <w:basedOn w:val="a"/>
    <w:link w:val="af0"/>
    <w:uiPriority w:val="99"/>
    <w:unhideWhenUsed/>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pPr>
      <w:tabs>
        <w:tab w:val="left" w:pos="0"/>
        <w:tab w:val="right" w:leader="dot" w:pos="8396"/>
      </w:tabs>
      <w:spacing w:line="360" w:lineRule="auto"/>
      <w:jc w:val="center"/>
    </w:pPr>
    <w:rPr>
      <w:rFonts w:ascii="Times New Roman" w:hAnsi="Times New Roman" w:cs="Times New Roman"/>
      <w:kern w:val="44"/>
      <w:sz w:val="24"/>
      <w:szCs w:val="24"/>
    </w:rPr>
  </w:style>
  <w:style w:type="paragraph" w:styleId="21">
    <w:name w:val="toc 2"/>
    <w:basedOn w:val="a"/>
    <w:next w:val="a"/>
    <w:uiPriority w:val="39"/>
    <w:unhideWhenUsed/>
    <w:pPr>
      <w:ind w:leftChars="200" w:left="420"/>
    </w:pPr>
  </w:style>
  <w:style w:type="paragraph" w:styleId="af1">
    <w:name w:val="Title"/>
    <w:basedOn w:val="a"/>
    <w:next w:val="a"/>
    <w:link w:val="af2"/>
    <w:uiPriority w:val="10"/>
    <w:qFormat/>
    <w:pPr>
      <w:spacing w:before="240" w:after="60"/>
      <w:jc w:val="center"/>
      <w:outlineLvl w:val="0"/>
    </w:pPr>
    <w:rPr>
      <w:rFonts w:asciiTheme="majorHAnsi" w:eastAsia="宋体" w:hAnsiTheme="majorHAnsi" w:cstheme="majorBidi"/>
      <w:b/>
      <w:bCs/>
      <w:sz w:val="32"/>
      <w:szCs w:val="32"/>
    </w:rPr>
  </w:style>
  <w:style w:type="paragraph" w:styleId="af3">
    <w:name w:val="annotation subject"/>
    <w:basedOn w:val="a5"/>
    <w:next w:val="a5"/>
    <w:link w:val="af4"/>
    <w:uiPriority w:val="99"/>
    <w:semiHidden/>
    <w:unhideWhenUsed/>
    <w:qFormat/>
    <w:rPr>
      <w:b/>
      <w:bCs/>
    </w:rPr>
  </w:style>
  <w:style w:type="table" w:styleId="af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Emphasis"/>
    <w:basedOn w:val="a0"/>
    <w:uiPriority w:val="20"/>
    <w:qFormat/>
    <w:rPr>
      <w:i/>
      <w:iCs/>
    </w:rPr>
  </w:style>
  <w:style w:type="character" w:styleId="af7">
    <w:name w:val="Hyperlink"/>
    <w:basedOn w:val="a0"/>
    <w:uiPriority w:val="99"/>
    <w:unhideWhenUsed/>
    <w:rPr>
      <w:color w:val="0000FF" w:themeColor="hyperlink"/>
      <w:u w:val="single"/>
    </w:rPr>
  </w:style>
  <w:style w:type="character" w:styleId="af8">
    <w:name w:val="annotation reference"/>
    <w:basedOn w:val="a0"/>
    <w:uiPriority w:val="99"/>
    <w:semiHidden/>
    <w:unhideWhenUsed/>
    <w:rPr>
      <w:sz w:val="21"/>
      <w:szCs w:val="21"/>
    </w:rPr>
  </w:style>
  <w:style w:type="character" w:customStyle="1" w:styleId="aa">
    <w:name w:val="日期 字符"/>
    <w:basedOn w:val="a0"/>
    <w:link w:val="a9"/>
    <w:uiPriority w:val="99"/>
    <w:semiHidden/>
  </w:style>
  <w:style w:type="paragraph" w:styleId="af9">
    <w:name w:val="List Paragraph"/>
    <w:basedOn w:val="a"/>
    <w:uiPriority w:val="34"/>
    <w:qFormat/>
    <w:pPr>
      <w:ind w:firstLineChars="200" w:firstLine="420"/>
    </w:pPr>
  </w:style>
  <w:style w:type="character" w:customStyle="1" w:styleId="af0">
    <w:name w:val="页眉 字符"/>
    <w:basedOn w:val="a0"/>
    <w:link w:val="af"/>
    <w:uiPriority w:val="99"/>
    <w:rPr>
      <w:sz w:val="18"/>
      <w:szCs w:val="18"/>
    </w:rPr>
  </w:style>
  <w:style w:type="character" w:customStyle="1" w:styleId="ae">
    <w:name w:val="页脚 字符"/>
    <w:basedOn w:val="a0"/>
    <w:link w:val="ad"/>
    <w:uiPriority w:val="99"/>
    <w:rPr>
      <w:sz w:val="18"/>
      <w:szCs w:val="18"/>
    </w:rPr>
  </w:style>
  <w:style w:type="character" w:customStyle="1" w:styleId="10">
    <w:name w:val="标题 1 字符"/>
    <w:basedOn w:val="a0"/>
    <w:link w:val="1"/>
    <w:uiPriority w:val="9"/>
    <w:rPr>
      <w:rFonts w:eastAsia="黑体"/>
      <w:b/>
      <w:bCs/>
      <w:kern w:val="44"/>
      <w:sz w:val="30"/>
      <w:szCs w:val="44"/>
    </w:rPr>
  </w:style>
  <w:style w:type="character" w:customStyle="1" w:styleId="20">
    <w:name w:val="标题 2 字符"/>
    <w:basedOn w:val="a0"/>
    <w:link w:val="2"/>
    <w:uiPriority w:val="9"/>
    <w:rPr>
      <w:rFonts w:asciiTheme="majorHAnsi" w:eastAsiaTheme="majorEastAsia" w:hAnsiTheme="majorHAnsi" w:cstheme="majorBidi"/>
      <w:b/>
      <w:bCs/>
      <w:sz w:val="28"/>
      <w:szCs w:val="32"/>
    </w:rPr>
  </w:style>
  <w:style w:type="character" w:customStyle="1" w:styleId="30">
    <w:name w:val="标题 3 字符"/>
    <w:basedOn w:val="a0"/>
    <w:link w:val="3"/>
    <w:uiPriority w:val="9"/>
    <w:qFormat/>
    <w:rPr>
      <w:b/>
      <w:bCs/>
      <w:sz w:val="28"/>
      <w:szCs w:val="32"/>
    </w:rPr>
  </w:style>
  <w:style w:type="character" w:customStyle="1" w:styleId="ac">
    <w:name w:val="批注框文本 字符"/>
    <w:basedOn w:val="a0"/>
    <w:link w:val="ab"/>
    <w:uiPriority w:val="99"/>
    <w:semiHidden/>
    <w:rPr>
      <w:sz w:val="18"/>
      <w:szCs w:val="1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8">
    <w:name w:val="正文文本 字符"/>
    <w:link w:val="a7"/>
    <w:locked/>
    <w:rPr>
      <w:kern w:val="2"/>
      <w:sz w:val="24"/>
      <w:szCs w:val="24"/>
    </w:rPr>
  </w:style>
  <w:style w:type="character" w:customStyle="1" w:styleId="Char1">
    <w:name w:val="正文文本 Char1"/>
    <w:basedOn w:val="a0"/>
    <w:uiPriority w:val="99"/>
    <w:semiHidden/>
    <w:rPr>
      <w:kern w:val="2"/>
      <w:sz w:val="21"/>
      <w:szCs w:val="22"/>
    </w:rPr>
  </w:style>
  <w:style w:type="character" w:customStyle="1" w:styleId="af2">
    <w:name w:val="标题 字符"/>
    <w:basedOn w:val="a0"/>
    <w:link w:val="af1"/>
    <w:uiPriority w:val="10"/>
    <w:rPr>
      <w:rFonts w:asciiTheme="majorHAnsi" w:eastAsia="宋体" w:hAnsiTheme="majorHAnsi" w:cstheme="majorBidi"/>
      <w:b/>
      <w:bCs/>
      <w:kern w:val="2"/>
      <w:sz w:val="32"/>
      <w:szCs w:val="32"/>
    </w:rPr>
  </w:style>
  <w:style w:type="character" w:customStyle="1" w:styleId="a4">
    <w:name w:val="文档结构图 字符"/>
    <w:basedOn w:val="a0"/>
    <w:link w:val="a3"/>
    <w:uiPriority w:val="99"/>
    <w:semiHidden/>
    <w:qFormat/>
    <w:rPr>
      <w:rFonts w:ascii="宋体" w:eastAsia="宋体"/>
      <w:kern w:val="2"/>
      <w:sz w:val="18"/>
      <w:szCs w:val="18"/>
    </w:rPr>
  </w:style>
  <w:style w:type="character" w:customStyle="1" w:styleId="a6">
    <w:name w:val="批注文字 字符"/>
    <w:basedOn w:val="a0"/>
    <w:link w:val="a5"/>
    <w:uiPriority w:val="99"/>
    <w:semiHidden/>
    <w:qFormat/>
    <w:rPr>
      <w:kern w:val="2"/>
      <w:sz w:val="21"/>
      <w:szCs w:val="22"/>
    </w:rPr>
  </w:style>
  <w:style w:type="character" w:customStyle="1" w:styleId="af4">
    <w:name w:val="批注主题 字符"/>
    <w:basedOn w:val="a6"/>
    <w:link w:val="af3"/>
    <w:uiPriority w:val="99"/>
    <w:semiHidden/>
    <w:rPr>
      <w:b/>
      <w:bCs/>
      <w:kern w:val="2"/>
      <w:sz w:val="21"/>
      <w:szCs w:val="22"/>
    </w:rPr>
  </w:style>
  <w:style w:type="paragraph" w:customStyle="1" w:styleId="12">
    <w:name w:val="修订1"/>
    <w:hidden/>
    <w:uiPriority w:val="99"/>
    <w:unhideWhenUsed/>
    <w:qFormat/>
    <w:rPr>
      <w:kern w:val="2"/>
      <w:sz w:val="21"/>
      <w:szCs w:val="22"/>
    </w:rPr>
  </w:style>
  <w:style w:type="character" w:customStyle="1" w:styleId="fontstyle01">
    <w:name w:val="fontstyle01"/>
    <w:basedOn w:val="a0"/>
    <w:rsid w:val="003F48A2"/>
    <w:rPr>
      <w:rFonts w:ascii="宋体" w:eastAsia="宋体" w:hAnsi="宋体" w:hint="eastAsia"/>
      <w:b w:val="0"/>
      <w:bCs w:val="0"/>
      <w:i w:val="0"/>
      <w:iCs w:val="0"/>
      <w:color w:val="000000"/>
      <w:sz w:val="24"/>
      <w:szCs w:val="24"/>
    </w:rPr>
  </w:style>
  <w:style w:type="paragraph" w:styleId="afa">
    <w:name w:val="Revision"/>
    <w:hidden/>
    <w:uiPriority w:val="99"/>
    <w:unhideWhenUsed/>
    <w:rsid w:val="003F48A2"/>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so.com/s?q=%E8%BF%98%E5%8E%9F%E5%8F%8D%E5%BA%94&amp;ie=utf-8&amp;src=internal_wenda_recommend_textn"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so.com/s?q=%E6%B0%A7%E5%8C%96%E5%8F%8D%E5%BA%94&amp;ie=utf-8&amp;src=internal_wenda_recommend_textn" TargetMode="External"/><Relationship Id="rId17" Type="http://schemas.microsoft.com/office/2016/09/relationships/commentsIds" Target="commentsIds.xml"/><Relationship Id="rId2" Type="http://schemas.openxmlformats.org/officeDocument/2006/relationships/styles" Target="styles.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9F73DC-EE2D-4AE6-AFAD-EE7E6773D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4236</Words>
  <Characters>24147</Characters>
  <Application>Microsoft Office Word</Application>
  <DocSecurity>0</DocSecurity>
  <Lines>201</Lines>
  <Paragraphs>56</Paragraphs>
  <ScaleCrop>false</ScaleCrop>
  <Company>Microsoft</Company>
  <LinksUpToDate>false</LinksUpToDate>
  <CharactersWithSpaces>28327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王晏</dc:creator>
  <cp:lastModifiedBy>张晏晏</cp:lastModifiedBy>
  <cp:revision>3</cp:revision>
  <cp:lastPrinted>2021-06-29T05:31:00Z</cp:lastPrinted>
  <dcterms:created xsi:type="dcterms:W3CDTF">2023-09-18T05:20:00Z</dcterms:created>
  <dcterms:modified xsi:type="dcterms:W3CDTF">2023-09-18T05:20:00Z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FF1682625B09407F9C020093938214F0_12</vt:lpwstr>
  </property>
</Properties>
</file>