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既有混凝土主体结构</w:t>
      </w:r>
      <w:bookmarkEnd w:id="0"/>
      <w:r>
        <w:rPr>
          <w:rFonts w:hint="eastAsia" w:ascii="宋体" w:hAnsi="宋体"/>
          <w:b/>
          <w:sz w:val="28"/>
          <w:szCs w:val="32"/>
        </w:rPr>
        <w:t>质量评价标准》（征求意见稿）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2117B7"/>
    <w:rsid w:val="180A4176"/>
    <w:rsid w:val="38171854"/>
    <w:rsid w:val="43D5523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2</TotalTime>
  <ScaleCrop>false</ScaleCrop>
  <LinksUpToDate>false</LinksUpToDate>
  <CharactersWithSpaces>90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wh</cp:lastModifiedBy>
  <dcterms:modified xsi:type="dcterms:W3CDTF">2022-04-20T02:11:38Z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FEBC3D2A288E4E02903D6306FDB015DA</vt:lpwstr>
  </property>
</Properties>
</file>