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城市地下综合管廊维护技术规程</w:t>
      </w:r>
      <w:r>
        <w:rPr>
          <w:rFonts w:hint="eastAsia" w:ascii="宋体" w:hAnsi="宋体"/>
          <w:b/>
          <w:sz w:val="28"/>
          <w:szCs w:val="32"/>
          <w:lang w:eastAsia="zh-CN"/>
        </w:rPr>
        <w:t>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0A21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5757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3E70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F69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04AE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1EFA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00752A9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TotalTime>2</TotalTime>
  <ScaleCrop>false</ScaleCrop>
  <LinksUpToDate>false</LinksUpToDate>
  <CharactersWithSpaces>143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2020-02-24T13:12:00Z</dcterms:created>
  <dc:creator>lenovo</dc:creator>
  <cp:lastModifiedBy>张睿</cp:lastModifiedBy>
  <dcterms:modified xsi:type="dcterms:W3CDTF">2021-09-02T02:59:12Z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9BEF5AC4768B498682FF76A09E9ED732</vt:lpwstr>
  </property>
</Properties>
</file>